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Space Grotesk" w:hAnsi="Space Grotesk"/>
          <w:b/>
          <w:color w:val="0D141A"/>
          <w:sz w:val="54"/>
        </w:rPr>
        <w:t>GLAZIA — WELCOME + HUB REGISTRATION</w:t>
      </w:r>
    </w:p>
    <w:p>
      <w:pPr>
        <w:spacing w:after="100"/>
        <w:jc w:val="center"/>
      </w:pPr>
      <w:r>
        <w:rPr>
          <w:color w:val="647184"/>
          <w:sz w:val="26"/>
        </w:rPr>
        <w:t>UI Design Specification &amp; Figma Handoff</w:t>
      </w:r>
    </w:p>
    <w:p>
      <w:pPr>
        <w:spacing w:before="40" w:after="160"/>
      </w:pPr>
      <w:r>
        <w:rPr>
          <w:i/>
          <w:color w:val="687784"/>
          <w:sz w:val="17"/>
        </w:rPr>
        <w:t>Prepared from the supplied editable SVG source assets and the supplied background image. Exact source values are distinguished from visual/placement guidance.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223760" cy="40655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backg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065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6A7A88"/>
          <w:sz w:val="15"/>
        </w:rPr>
        <w:t>Background reference embedded in this document • 1672 × 941 px • RGB • no logo/footer overlay</w:t>
      </w:r>
    </w:p>
    <w:p>
      <w:pPr>
        <w:pStyle w:val="Heading2"/>
        <w:spacing w:before="100" w:after="140"/>
      </w:pPr>
      <w:r>
        <w:t>At a glance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7E0E5"/>
          <w:left w:val="single" w:sz="5" w:space="0" w:color="D7E0E5"/>
          <w:bottom w:val="single" w:sz="5" w:space="0" w:color="D7E0E5"/>
          <w:right w:val="single" w:sz="5" w:space="0" w:color="D7E0E5"/>
          <w:insideH w:val="single" w:sz="5" w:space="0" w:color="D7E0E5"/>
          <w:insideV w:val="single" w:sz="5" w:space="0" w:color="D7E0E5"/>
        </w:tblBorders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Master frame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Hero fonts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Core UI ink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Primary CTA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172033"/>
                <w:sz w:val="18"/>
              </w:rPr>
              <w:t>1280 × 720 px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172033"/>
                <w:sz w:val="18"/>
              </w:rPr>
              <w:t>Space Grotesk / Inter / IBM Plex Mono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172033"/>
                <w:sz w:val="18"/>
              </w:rPr>
              <w:t>#0D141A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172033"/>
                <w:sz w:val="18"/>
              </w:rPr>
              <w:t>#151D22</w:t>
            </w:r>
          </w:p>
        </w:tc>
      </w:tr>
    </w:tbl>
    <w:p>
      <w:r>
        <w:br w:type="page"/>
      </w:r>
    </w:p>
    <w:p>
      <w:pPr>
        <w:pStyle w:val="Heading1"/>
        <w:spacing w:before="100" w:after="140"/>
      </w:pPr>
      <w:r>
        <w:t>1. Master frame, background &amp; transform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7E0E5"/>
          <w:left w:val="single" w:sz="5" w:space="0" w:color="D7E0E5"/>
          <w:bottom w:val="single" w:sz="5" w:space="0" w:color="D7E0E5"/>
          <w:right w:val="single" w:sz="5" w:space="0" w:color="D7E0E5"/>
          <w:insideH w:val="single" w:sz="5" w:space="0" w:color="D7E0E5"/>
          <w:insideV w:val="single" w:sz="5" w:space="0" w:color="D7E0E5"/>
        </w:tblBorders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Exact value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Figma implementation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6"/>
              </w:rPr>
              <w:t>Artboard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6"/>
              </w:rPr>
              <w:t>1280 × 720 px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6"/>
              </w:rPr>
              <w:t>Glazia_Welcome_Page_1280x720_Editable.svg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6"/>
              </w:rPr>
              <w:t>Frame = 1280×720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6"/>
              </w:rPr>
              <w:t>Background-only SVG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6"/>
              </w:rPr>
              <w:t>1280 × 720 px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6"/>
              </w:rPr>
              <w:t>a356…2.svg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6"/>
              </w:rPr>
              <w:t>Full-bleed background layer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6"/>
              </w:rPr>
              <w:t>Embedded background PNG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6"/>
              </w:rPr>
              <w:t>1672 × 941 px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6"/>
              </w:rPr>
              <w:t>embedded in a356…2.svg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6"/>
              </w:rPr>
              <w:t>Use at 1280×720; same 16:9 ratio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6"/>
              </w:rPr>
              <w:t>Background source in editable welcome SVG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6"/>
              </w:rPr>
              <w:t>1536 × 939 px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6"/>
              </w:rPr>
              <w:t>BACKGROUND_PHOTO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6"/>
              </w:rPr>
              <w:t>Full-screen raster background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6"/>
              </w:rPr>
              <w:t>Root group transform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6"/>
              </w:rPr>
              <w:t>translate(0 -31.2500) scale(0.83333333)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6"/>
              </w:rPr>
              <w:t>DESIGN_1280x720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6"/>
              </w:rPr>
              <w:t>Important when reconstructing source coordinates</w:t>
            </w:r>
          </w:p>
        </w:tc>
      </w:tr>
    </w:tbl>
    <w:p>
      <w:pPr>
        <w:spacing w:before="40" w:after="160"/>
      </w:pPr>
      <w:r>
        <w:rPr>
          <w:i/>
          <w:color w:val="687784"/>
          <w:sz w:val="17"/>
        </w:rPr>
        <w:t>Because 1672×941 is also 16:9, it fits the 1280×720 frame without distortion. The latest background reference is intentionally soft-focus while the hub stays readable.</w:t>
      </w:r>
    </w:p>
    <w:p>
      <w:pPr>
        <w:pStyle w:val="Heading2"/>
        <w:spacing w:before="100" w:after="140"/>
      </w:pPr>
      <w:r>
        <w:t>Coordinate conversion</w:t>
      </w:r>
    </w:p>
    <w:p>
      <w:pPr>
        <w:pStyle w:val="ListBullet"/>
        <w:spacing w:after="40"/>
      </w:pPr>
      <w:r>
        <w:rPr>
          <w:sz w:val="18"/>
        </w:rPr>
        <w:t>For elements inside the full-page welcome SVG: rendered size = source size × 0.83333333.</w:t>
      </w:r>
    </w:p>
    <w:p>
      <w:pPr>
        <w:pStyle w:val="ListBullet"/>
        <w:spacing w:after="40"/>
      </w:pPr>
      <w:r>
        <w:rPr>
          <w:sz w:val="18"/>
        </w:rPr>
        <w:t>Rendered Y = source Y × 0.83333333 − 31.25; rendered X = source X × 0.83333333.</w:t>
      </w:r>
    </w:p>
    <w:p>
      <w:pPr>
        <w:pStyle w:val="ListBullet"/>
        <w:spacing w:after="40"/>
      </w:pPr>
      <w:r>
        <w:rPr>
          <w:sz w:val="18"/>
        </w:rPr>
        <w:t>This explains why numeric font sizes/positions in the source are larger than their visible 1280×720 values.</w:t>
      </w:r>
    </w:p>
    <w:p>
      <w:pPr>
        <w:pStyle w:val="Heading2"/>
        <w:spacing w:before="100" w:after="140"/>
      </w:pPr>
      <w:r>
        <w:t>Background treatment</w:t>
      </w:r>
    </w:p>
    <w:p>
      <w:pPr>
        <w:pStyle w:val="ListBullet"/>
        <w:spacing w:after="40"/>
      </w:pPr>
      <w:r>
        <w:rPr>
          <w:sz w:val="18"/>
        </w:rPr>
        <w:t>Warm daylight / cream wall / light marble / wood slats / greenery.</w:t>
      </w:r>
    </w:p>
    <w:p>
      <w:pPr>
        <w:pStyle w:val="ListBullet"/>
        <w:spacing w:after="40"/>
      </w:pPr>
      <w:r>
        <w:rPr>
          <w:sz w:val="18"/>
        </w:rPr>
        <w:t>Mild depth-of-field blur in the environmental background; do not blur the main hub excessively.</w:t>
      </w:r>
    </w:p>
    <w:p>
      <w:pPr>
        <w:pStyle w:val="ListBullet"/>
        <w:spacing w:after="40"/>
      </w:pPr>
      <w:r>
        <w:rPr>
          <w:sz w:val="18"/>
        </w:rPr>
        <w:t>No logo and no bottom footer text baked into the background image.</w:t>
      </w:r>
    </w:p>
    <w:p>
      <w:r>
        <w:br w:type="page"/>
      </w:r>
    </w:p>
    <w:p>
      <w:pPr>
        <w:pStyle w:val="Heading1"/>
        <w:spacing w:before="100" w:after="140"/>
      </w:pPr>
      <w:r>
        <w:t>2. Typography system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D7E0E5"/>
          <w:left w:val="single" w:sz="5" w:space="0" w:color="D7E0E5"/>
          <w:bottom w:val="single" w:sz="5" w:space="0" w:color="D7E0E5"/>
          <w:right w:val="single" w:sz="5" w:space="0" w:color="D7E0E5"/>
          <w:insideH w:val="single" w:sz="5" w:space="0" w:color="D7E0E5"/>
          <w:insideV w:val="single" w:sz="5" w:space="0" w:color="D7E0E5"/>
        </w:tblBorders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Element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Font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Weight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Size in SVG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Visible size @1280×720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Color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Tracking</w:t>
            </w:r>
          </w:p>
        </w:tc>
      </w:tr>
      <w:tr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SMARTER LIVING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IBM Plex Mono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600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16 px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13.3 px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#5F6C78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5.2 px</w:t>
            </w:r>
          </w:p>
        </w:tc>
      </w:tr>
      <w:tr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Welcome to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Space Grotesk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700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66 px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55 px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#0D141A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normal</w:t>
            </w:r>
          </w:p>
        </w:tc>
      </w:tr>
      <w:tr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Glazia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Space Grotesk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600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66 px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55 px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#647184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normal</w:t>
            </w:r>
          </w:p>
        </w:tc>
      </w:tr>
      <w:tr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Hero body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Inter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400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27 px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22.5 px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#68747D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normal</w:t>
            </w:r>
          </w:p>
        </w:tc>
      </w:tr>
      <w:tr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Get Started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Inter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600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22 px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18.3 px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#FFFFFF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normal</w:t>
            </w:r>
          </w:p>
        </w:tc>
      </w:tr>
      <w:tr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Help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Inter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600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20 px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16.7 px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#0D141A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normal</w:t>
            </w:r>
          </w:p>
        </w:tc>
      </w:tr>
      <w:tr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Editorial lines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IBM Plex Mono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400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18 px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15 px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#5F6973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6 px</w:t>
            </w:r>
          </w:p>
        </w:tc>
      </w:tr>
      <w:tr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Footer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IBM Plex Mono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400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13 px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10.8 px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#F4F2ED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4.5 px</w:t>
            </w:r>
          </w:p>
        </w:tc>
      </w:tr>
      <w:tr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Setup badge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Inter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600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21 px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component scale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#151B20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normal</w:t>
            </w:r>
          </w:p>
        </w:tc>
      </w:tr>
      <w:tr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Setup heading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Space Grotesk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700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33 px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component scale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#0D141A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normal</w:t>
            </w:r>
          </w:p>
        </w:tc>
      </w:tr>
      <w:tr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Setup helper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Inter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400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20 px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component scale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#68747D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normal</w:t>
            </w:r>
          </w:p>
        </w:tc>
      </w:tr>
      <w:tr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Setup OR CODE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Inter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650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16 px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component scale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#252D33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normal</w:t>
            </w:r>
          </w:p>
        </w:tc>
      </w:tr>
      <w:tr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Setup MAC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IBM Plex Mono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400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16 px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component scale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#68727C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normal</w:t>
            </w:r>
          </w:p>
        </w:tc>
      </w:tr>
      <w:tr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Setup CTA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Inter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600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21 px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component scale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#FFFFFF</w:t>
            </w:r>
          </w:p>
        </w:tc>
        <w:tc>
          <w:tcPr>
            <w:tcW w:type="dxa" w:w="217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normal</w:t>
            </w:r>
          </w:p>
        </w:tc>
      </w:tr>
    </w:tbl>
    <w:p>
      <w:pPr>
        <w:pStyle w:val="Heading1"/>
        <w:spacing w:before="100" w:after="140"/>
      </w:pPr>
      <w:r>
        <w:t>3. Color tokens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D7E0E5"/>
          <w:left w:val="single" w:sz="5" w:space="0" w:color="D7E0E5"/>
          <w:bottom w:val="single" w:sz="5" w:space="0" w:color="D7E0E5"/>
          <w:right w:val="single" w:sz="5" w:space="0" w:color="D7E0E5"/>
          <w:insideH w:val="single" w:sz="5" w:space="0" w:color="D7E0E5"/>
          <w:insideV w:val="single" w:sz="5" w:space="0" w:color="D7E0E5"/>
        </w:tblBorders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Swatch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HEX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Usage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3812"/>
            <w:shd w:fill="0A0B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7"/>
              </w:rPr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172033"/>
                <w:sz w:val="15"/>
              </w:rPr>
              <w:t>#0A0B10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Logo primary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GLAZIA logo / Vector.svg</w:t>
            </w:r>
          </w:p>
        </w:tc>
      </w:tr>
      <w:tr>
        <w:tc>
          <w:tcPr>
            <w:tcW w:type="dxa" w:w="3812"/>
            <w:shd w:fill="0D141A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7"/>
              </w:rPr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172033"/>
                <w:sz w:val="15"/>
              </w:rPr>
              <w:t>#0D141A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Primary ink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Headlines + Help</w:t>
            </w:r>
          </w:p>
        </w:tc>
      </w:tr>
      <w:tr>
        <w:tc>
          <w:tcPr>
            <w:tcW w:type="dxa" w:w="3812"/>
            <w:shd w:fill="151D2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7"/>
              </w:rPr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172033"/>
                <w:sz w:val="15"/>
              </w:rPr>
              <w:t>#151D22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Primary CTA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Welcome Get Started</w:t>
            </w:r>
          </w:p>
        </w:tc>
      </w:tr>
      <w:tr>
        <w:tc>
          <w:tcPr>
            <w:tcW w:type="dxa" w:w="3812"/>
            <w:shd w:fill="6471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7"/>
              </w:rPr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172033"/>
                <w:sz w:val="15"/>
              </w:rPr>
              <w:t>#647184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Secondary accent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Glazia wordmark</w:t>
            </w:r>
          </w:p>
        </w:tc>
      </w:tr>
      <w:tr>
        <w:tc>
          <w:tcPr>
            <w:tcW w:type="dxa" w:w="3812"/>
            <w:shd w:fill="68747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7"/>
              </w:rPr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172033"/>
                <w:sz w:val="15"/>
              </w:rPr>
              <w:t>#68747D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Support text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Hero body / setup helper</w:t>
            </w:r>
          </w:p>
        </w:tc>
      </w:tr>
      <w:tr>
        <w:tc>
          <w:tcPr>
            <w:tcW w:type="dxa" w:w="3812"/>
            <w:shd w:fill="5F6C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7"/>
              </w:rPr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172033"/>
                <w:sz w:val="15"/>
              </w:rPr>
              <w:t>#5F6C78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Eyebrow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SMARTER LIVING</w:t>
            </w:r>
          </w:p>
        </w:tc>
      </w:tr>
      <w:tr>
        <w:tc>
          <w:tcPr>
            <w:tcW w:type="dxa" w:w="3812"/>
            <w:shd w:fill="5F69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7"/>
              </w:rPr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172033"/>
                <w:sz w:val="15"/>
              </w:rPr>
              <w:t>#5F6973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Editorial text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A SAFER / BRIGHTER / TOMORROW</w:t>
            </w:r>
          </w:p>
        </w:tc>
      </w:tr>
      <w:tr>
        <w:tc>
          <w:tcPr>
            <w:tcW w:type="dxa" w:w="3812"/>
            <w:shd w:fill="56606A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7"/>
              </w:rPr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172033"/>
                <w:sz w:val="15"/>
              </w:rPr>
              <w:t>#56606A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Editorial line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Editorial rule</w:t>
            </w:r>
          </w:p>
        </w:tc>
      </w:tr>
      <w:tr>
        <w:tc>
          <w:tcPr>
            <w:tcW w:type="dxa" w:w="3812"/>
            <w:shd w:fill="F7F7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7"/>
              </w:rPr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172033"/>
                <w:sz w:val="15"/>
              </w:rPr>
              <w:t>#F7F7F7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Help surface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86% opacity</w:t>
            </w:r>
          </w:p>
        </w:tc>
      </w:tr>
      <w:tr>
        <w:tc>
          <w:tcPr>
            <w:tcW w:type="dxa" w:w="3812"/>
            <w:shd w:fill="F4F2E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7"/>
              </w:rPr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172033"/>
                <w:sz w:val="15"/>
              </w:rPr>
              <w:t>#F4F2ED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Footer text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Footer copy</w:t>
            </w:r>
          </w:p>
        </w:tc>
      </w:tr>
      <w:tr>
        <w:tc>
          <w:tcPr>
            <w:tcW w:type="dxa" w:w="3812"/>
            <w:shd w:fill="D8D8D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7"/>
              </w:rPr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172033"/>
                <w:sz w:val="15"/>
              </w:rPr>
              <w:t>#D8D8D5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Footer rules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Footer line</w:t>
            </w:r>
          </w:p>
        </w:tc>
      </w:tr>
      <w:tr>
        <w:tc>
          <w:tcPr>
            <w:tcW w:type="dxa" w:w="3812"/>
            <w:shd w:fill="252D3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7"/>
              </w:rPr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172033"/>
                <w:sz w:val="15"/>
              </w:rPr>
              <w:t>#252D33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Setup label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OR CODE</w:t>
            </w:r>
          </w:p>
        </w:tc>
      </w:tr>
      <w:tr>
        <w:tc>
          <w:tcPr>
            <w:tcW w:type="dxa" w:w="3812"/>
            <w:shd w:fill="68727C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7"/>
              </w:rPr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172033"/>
                <w:sz w:val="15"/>
              </w:rPr>
              <w:t>#68727C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Setup data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MAC</w:t>
            </w:r>
          </w:p>
        </w:tc>
      </w:tr>
      <w:tr>
        <w:tc>
          <w:tcPr>
            <w:tcW w:type="dxa" w:w="3812"/>
            <w:shd w:fill="FFFFFF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7"/>
              </w:rPr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172033"/>
                <w:sz w:val="15"/>
              </w:rPr>
              <w:t>#FFFFFF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White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Border / CTA text / QR surface</w:t>
            </w:r>
          </w:p>
        </w:tc>
      </w:tr>
      <w:tr>
        <w:tc>
          <w:tcPr>
            <w:tcW w:type="dxa" w:w="3812"/>
            <w:shd w:fill="F7F3EE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7"/>
              </w:rPr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172033"/>
                <w:sz w:val="15"/>
              </w:rPr>
              <w:t>#F7F3EE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Setup gradient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82% opacity</w:t>
            </w:r>
          </w:p>
        </w:tc>
      </w:tr>
      <w:tr>
        <w:tc>
          <w:tcPr>
            <w:tcW w:type="dxa" w:w="3812"/>
            <w:shd w:fill="EEEAE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7"/>
              </w:rPr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172033"/>
                <w:sz w:val="15"/>
              </w:rPr>
              <w:t>#EEEAE5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Setup gradient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72% opacity</w:t>
            </w:r>
          </w:p>
        </w:tc>
      </w:tr>
      <w:tr>
        <w:tc>
          <w:tcPr>
            <w:tcW w:type="dxa" w:w="3812"/>
            <w:shd w:fill="DCD9D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7"/>
              </w:rPr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172033"/>
                <w:sz w:val="15"/>
              </w:rPr>
              <w:t>#DCD9D5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Setup gradient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76% opacity</w:t>
            </w:r>
          </w:p>
        </w:tc>
      </w:tr>
      <w:tr>
        <w:tc>
          <w:tcPr>
            <w:tcW w:type="dxa" w:w="3812"/>
            <w:shd w:fill="20282C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7"/>
              </w:rPr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172033"/>
                <w:sz w:val="15"/>
              </w:rPr>
              <w:t>#20282C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Setup CTA gradient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Start</w:t>
            </w:r>
          </w:p>
        </w:tc>
      </w:tr>
      <w:tr>
        <w:tc>
          <w:tcPr>
            <w:tcW w:type="dxa" w:w="3812"/>
            <w:shd w:fill="10161A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7"/>
              </w:rPr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172033"/>
                <w:sz w:val="15"/>
              </w:rPr>
              <w:t>#10161A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Setup CTA gradient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End</w:t>
            </w:r>
          </w:p>
        </w:tc>
      </w:tr>
    </w:tbl>
    <w:p>
      <w:r>
        <w:br w:type="page"/>
      </w:r>
    </w:p>
    <w:p>
      <w:pPr>
        <w:pStyle w:val="Heading1"/>
        <w:spacing w:before="100" w:after="140"/>
      </w:pPr>
      <w:r>
        <w:t>4. Geometry, spacing, opacity &amp; shadows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D7E0E5"/>
          <w:left w:val="single" w:sz="5" w:space="0" w:color="D7E0E5"/>
          <w:bottom w:val="single" w:sz="5" w:space="0" w:color="D7E0E5"/>
          <w:right w:val="single" w:sz="5" w:space="0" w:color="D7E0E5"/>
          <w:insideH w:val="single" w:sz="5" w:space="0" w:color="D7E0E5"/>
          <w:insideV w:val="single" w:sz="5" w:space="0" w:color="D7E0E5"/>
        </w:tblBorders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Token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Where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Source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Base rhythm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4 px / 8 px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Global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Glazia rhythm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Help pill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125×52 rendered; source 150×62; radius 25.8 rendered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Help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HELP_BUTTON.svg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Get Started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345.8×65 rendered; source 415×78; radius 32.5 rendered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Welcome CTA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Welcome-page SVG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Setup outer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601×820 inside 621×840; radius 34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Setup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Setup-card SVG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QR area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333×310; radius 17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Setup QR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Setup-card SVG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Setup CTA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503×83; radius 42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Setup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Setup-card SVG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Help opacity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86%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Help surface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#F7F7F7 @ .86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Setup badge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82%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Setup badge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White @ .82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QR surface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96%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Setup QR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White @ .96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Setup card shadow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0 / 10 / 14 • #171D21 @ 20%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Setup card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dx / dy / blur / opacity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Welcome CTA shadow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0 / 8 / 10 • #000 @ 16%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Get Started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dx / dy / blur / opacity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Help shadow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0 / 3 / 6 • #000 @ 10%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Help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dx / dy / blur / opacity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Setup soft blur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Gaussian stdDev 18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Setup card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5"/>
              </w:rPr>
              <w:t>Available in source</w:t>
            </w:r>
          </w:p>
        </w:tc>
      </w:tr>
    </w:tbl>
    <w:p>
      <w:pPr>
        <w:pStyle w:val="Heading1"/>
        <w:spacing w:before="100" w:after="140"/>
      </w:pPr>
      <w:r>
        <w:t>5. Source asset inventory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D7E0E5"/>
          <w:left w:val="single" w:sz="5" w:space="0" w:color="D7E0E5"/>
          <w:bottom w:val="single" w:sz="5" w:space="0" w:color="D7E0E5"/>
          <w:right w:val="single" w:sz="5" w:space="0" w:color="D7E0E5"/>
          <w:insideH w:val="single" w:sz="5" w:space="0" w:color="D7E0E5"/>
          <w:insideV w:val="single" w:sz="5" w:space="0" w:color="D7E0E5"/>
        </w:tblBorders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File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Canvas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Format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Key detail</w:t>
            </w:r>
          </w:p>
        </w:tc>
      </w:tr>
      <w:tr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Vector.svg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GLAZIA logo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89×81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Path vector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#0A0B10</w:t>
            </w:r>
          </w:p>
        </w:tc>
      </w:tr>
      <w:tr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Group(2).svg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Logo + hero + Get Started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395×480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Path vector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Standalone component</w:t>
            </w:r>
          </w:p>
        </w:tc>
      </w:tr>
      <w:tr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HELP_BUTTON.svg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Help pill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125×52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Path vector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86% surface</w:t>
            </w:r>
          </w:p>
        </w:tc>
      </w:tr>
      <w:tr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FOOTER.svg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Footer rule + mono label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424×15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Path vector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1.66667 px rule</w:t>
            </w:r>
          </w:p>
        </w:tc>
      </w:tr>
      <w:tr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EDITORIAL_MESSAGE.svg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Editorial block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72×105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Path vector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#56606A/#5F6973</w:t>
            </w:r>
          </w:p>
        </w:tc>
      </w:tr>
      <w:tr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a356…2.svg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Background-only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1280×720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SVG + embedded raster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1672×941 PNG</w:t>
            </w:r>
          </w:p>
        </w:tc>
      </w:tr>
      <w:tr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Glazia_Setup_Card_Editable.svg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Hub registration card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621×840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Editable SVG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Vector QR + glass CTA</w:t>
            </w:r>
          </w:p>
        </w:tc>
      </w:tr>
      <w:tr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Glazia_Welcome_Page_1280x720_Editable.svg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Full welcome screen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1280×720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Editable SVG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Font CSS + full transform</w:t>
            </w:r>
          </w:p>
        </w:tc>
      </w:tr>
    </w:tbl>
    <w:p>
      <w:pPr>
        <w:spacing w:before="40" w:after="160"/>
      </w:pPr>
      <w:r>
        <w:rPr>
          <w:i/>
          <w:color w:val="687784"/>
          <w:sz w:val="17"/>
        </w:rPr>
        <w:t>The standalone path-only SVGs do not retain original font-family metadata. The editable welcome/setup SVGs explicitly define Space Grotesk, Inter and IBM Plex Mono, so those are the text families to use when making the path assets editable again.</w:t>
      </w:r>
    </w:p>
    <w:p>
      <w:pPr>
        <w:pStyle w:val="Heading1"/>
        <w:spacing w:before="100" w:after="140"/>
      </w:pPr>
      <w:r>
        <w:t>6. Supplied component visuals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8ED"/>
          <w:left w:val="single" w:sz="4" w:space="0" w:color="E1E8ED"/>
          <w:bottom w:val="single" w:sz="4" w:space="0" w:color="E1E8ED"/>
          <w:right w:val="single" w:sz="4" w:space="0" w:color="E1E8ED"/>
          <w:insideH w:val="single" w:sz="4" w:space="0" w:color="E1E8ED"/>
          <w:insideV w:val="single" w:sz="4" w:space="0" w:color="E1E8ED"/>
        </w:tblBorders>
      </w:tblPr>
      <w:tblGrid>
        <w:gridCol w:w="7625"/>
        <w:gridCol w:w="7625"/>
      </w:tblGrid>
      <w:tr>
        <w:tc>
          <w:tcPr>
            <w:tcW w:type="dxa" w:w="7625"/>
          </w:tcPr>
          <w:p>
            <w:pPr>
              <w:jc w:val="center"/>
            </w:pPr>
            <w:r>
              <w:rPr>
                <w:b/>
                <w:sz w:val="17"/>
              </w:rPr>
              <w:t>Group(2).svg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3335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oup(2)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333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5"/>
          </w:tcPr>
          <w:p>
            <w:pPr>
              <w:jc w:val="center"/>
            </w:pPr>
            <w:r>
              <w:rPr>
                <w:b/>
                <w:sz w:val="17"/>
              </w:rPr>
              <w:t>HELP_BUTTON.svg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83685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LP_BUTT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836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625"/>
          </w:tcPr>
          <w:p>
            <w:pPr>
              <w:jc w:val="center"/>
            </w:pPr>
            <w:r>
              <w:rPr>
                <w:b/>
                <w:sz w:val="17"/>
              </w:rPr>
              <w:t>Vector.svg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2483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cto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248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5"/>
          </w:tcPr>
          <w:p>
            <w:pPr>
              <w:jc w:val="center"/>
            </w:pPr>
            <w:r>
              <w:rPr>
                <w:b/>
                <w:sz w:val="17"/>
              </w:rPr>
              <w:t>EDITORIAL_MESSAGE.svg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14668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ITORIAL_MESS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466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spacing w:before="100" w:after="140"/>
      </w:pPr>
      <w:r>
        <w:t>7. Hub registration / setup card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D7E0E5"/>
          <w:left w:val="single" w:sz="5" w:space="0" w:color="D7E0E5"/>
          <w:bottom w:val="single" w:sz="5" w:space="0" w:color="D7E0E5"/>
          <w:right w:val="single" w:sz="5" w:space="0" w:color="D7E0E5"/>
          <w:insideH w:val="single" w:sz="5" w:space="0" w:color="D7E0E5"/>
          <w:insideV w:val="single" w:sz="5" w:space="0" w:color="D7E0E5"/>
        </w:tblBorders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Part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Exact source geometry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Typography / color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Outer card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601×820 at x=10,y=10; canvas 621×840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2 px white border; radius 34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Gradient #F7F3EE → #EEEAE5 → #DCD9D5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Setup badge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150×51 at x=240,y=49; radius 26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Inter 21/600 #151B20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White @82%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Heading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center x=310.5; baseline y=160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Space Grotesk 33/700 #0D141A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Scan to Register the Hub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Helper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center x=310.5; baselines 202/230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Inter 20/400 #68747D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Two lines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QR area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333×310 at x=144,y=292; radius 17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#FFFFFF @96%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Vector QR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OR CODE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center x=310.5; baseline y=633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Inter 16/650 #252D33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Outlined text in some exports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MAC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center x=310.5; baseline y=664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IBM Plex Mono 16/400 #68727C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Example address retained in source</w:t>
            </w:r>
          </w:p>
        </w:tc>
      </w:tr>
      <w:tr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CTA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503×83 at x=59,y=701; radius 42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Inter 21/600 white</w:t>
            </w:r>
          </w:p>
        </w:tc>
        <w:tc>
          <w:tcPr>
            <w:tcW w:type="dxa" w:w="38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Gradient #20282C → #10161A</w:t>
            </w:r>
          </w:p>
        </w:tc>
      </w:tr>
    </w:tbl>
    <w:p>
      <w:pPr>
        <w:spacing w:before="40" w:after="160"/>
      </w:pPr>
      <w:r>
        <w:rPr>
          <w:i/>
          <w:color w:val="687784"/>
          <w:sz w:val="17"/>
        </w:rPr>
        <w:t>The setup card source is 621×840. A proportional display around 420×568 on a 1280×720 screen is approximately a 0.676 scale of the source; exact screen placement is composition-dependent and not stored in the standalone component.</w:t>
      </w:r>
    </w:p>
    <w:p>
      <w:r>
        <w:br w:type="page"/>
      </w:r>
    </w:p>
    <w:p>
      <w:pPr>
        <w:pStyle w:val="Heading1"/>
        <w:spacing w:before="100" w:after="140"/>
      </w:pPr>
      <w:r>
        <w:t>8. Welcome-page placement map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D7E0E5"/>
          <w:left w:val="single" w:sz="5" w:space="0" w:color="D7E0E5"/>
          <w:bottom w:val="single" w:sz="5" w:space="0" w:color="D7E0E5"/>
          <w:right w:val="single" w:sz="5" w:space="0" w:color="D7E0E5"/>
          <w:insideH w:val="single" w:sz="5" w:space="0" w:color="D7E0E5"/>
          <w:insideV w:val="single" w:sz="5" w:space="0" w:color="D7E0E5"/>
        </w:tblBorders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Element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Source position / size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Rendered @1280×720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Style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0D141A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SMARTER LIVING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x=98, baseline y=228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x≈81.7, baseline≈159.0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13.3 px mono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Scaled by root transform</w:t>
            </w:r>
          </w:p>
        </w:tc>
      </w:tr>
      <w:tr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Welcome to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x=98, baseline y=307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x≈81.7, baseline≈224.6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55 px Space Grotesk 700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Primary headline</w:t>
            </w:r>
          </w:p>
        </w:tc>
      </w:tr>
      <w:tr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Glazia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x=98, baseline y=384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x≈81.7, baseline≈288.7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55 px Space Grotesk 600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Accent #647184</w:t>
            </w:r>
          </w:p>
        </w:tc>
      </w:tr>
      <w:tr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Hero line 1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x=98, baseline y=442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x≈81.7, baseline≈337.1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22.5 px Inter 400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Support copy</w:t>
            </w:r>
          </w:p>
        </w:tc>
      </w:tr>
      <w:tr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Hero line 2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x=98, baseline y=478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x≈81.7, baseline≈367.1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22.5 px Inter 400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Support copy</w:t>
            </w:r>
          </w:p>
        </w:tc>
      </w:tr>
      <w:tr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Get Started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x=98,y=526; 415×78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x≈81.7,y≈407.1; 345.8×65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18.3 px Inter 600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Radius≈32.5</w:t>
            </w:r>
          </w:p>
        </w:tc>
      </w:tr>
      <w:tr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Help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x=1340,y=20; 150×62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x≈1116.7,y≈−14.6; 125×51.7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16.7 px Inter 600</w:t>
            </w:r>
          </w:p>
        </w:tc>
        <w:tc>
          <w:tcPr>
            <w:tcW w:type="dxa" w:w="305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43548"/>
                <w:sz w:val="14"/>
              </w:rPr>
              <w:t>Root transform applied</w:t>
            </w:r>
          </w:p>
        </w:tc>
      </w:tr>
    </w:tbl>
    <w:p>
      <w:pPr>
        <w:pStyle w:val="Heading1"/>
        <w:spacing w:before="100" w:after="140"/>
      </w:pPr>
      <w:r>
        <w:t>9. Figma implementation rules</w:t>
      </w:r>
    </w:p>
    <w:p>
      <w:pPr>
        <w:pStyle w:val="ListBullet"/>
        <w:spacing w:after="40"/>
      </w:pPr>
      <w:r>
        <w:rPr>
          <w:sz w:val="18"/>
        </w:rPr>
        <w:t>Frame: exactly 1280×720 px. Background: full-bleed 1280×720 image, no distortion.</w:t>
      </w:r>
    </w:p>
    <w:p>
      <w:pPr>
        <w:pStyle w:val="ListBullet"/>
        <w:spacing w:after="40"/>
      </w:pPr>
      <w:r>
        <w:rPr>
          <w:sz w:val="18"/>
        </w:rPr>
        <w:t>Logo: use Vector.svg or the editable logo group. Do not redraw or approximate the GLAZIA mark.</w:t>
      </w:r>
    </w:p>
    <w:p>
      <w:pPr>
        <w:pStyle w:val="ListBullet"/>
        <w:spacing w:after="40"/>
      </w:pPr>
      <w:r>
        <w:rPr>
          <w:sz w:val="18"/>
        </w:rPr>
        <w:t>Text: keep editable; Space Grotesk for display/headings, Inter for UI/body, IBM Plex Mono for mono/editorial/footer labels.</w:t>
      </w:r>
    </w:p>
    <w:p>
      <w:pPr>
        <w:pStyle w:val="ListBullet"/>
        <w:spacing w:after="40"/>
      </w:pPr>
      <w:r>
        <w:rPr>
          <w:sz w:val="18"/>
        </w:rPr>
        <w:t>Components: Background, GLAZIA Logo, Hero Copy, Get Started, Help, Setup Card, QR Area, Editorial Message, Footer.</w:t>
      </w:r>
    </w:p>
    <w:p>
      <w:pPr>
        <w:pStyle w:val="ListBullet"/>
        <w:spacing w:after="40"/>
      </w:pPr>
      <w:r>
        <w:rPr>
          <w:sz w:val="18"/>
        </w:rPr>
        <w:t>Preserve the setup-card gradients, opacity, border, radius and shadow values from source rather than adding extra effects.</w:t>
      </w:r>
    </w:p>
    <w:p>
      <w:pPr>
        <w:pStyle w:val="ListBullet"/>
        <w:spacing w:after="40"/>
      </w:pPr>
      <w:r>
        <w:rPr>
          <w:sz w:val="18"/>
        </w:rPr>
        <w:t>Use the current background with mild softness; keep the hub and UI overlays readable.</w:t>
      </w:r>
    </w:p>
    <w:p>
      <w:pPr>
        <w:pStyle w:val="Heading1"/>
        <w:spacing w:before="100" w:after="140"/>
      </w:pPr>
      <w:r>
        <w:t>10. Source notes &amp; exactness</w:t>
      </w:r>
    </w:p>
    <w:p>
      <w:pPr>
        <w:pStyle w:val="ListBullet"/>
        <w:spacing w:after="40"/>
      </w:pPr>
      <w:r>
        <w:rPr>
          <w:sz w:val="18"/>
        </w:rPr>
        <w:t>The editable welcome-page SVG is an exact 1280×720 SVG and includes text elements, font-family CSS, positions, fills and the root transform.</w:t>
      </w:r>
    </w:p>
    <w:p>
      <w:pPr>
        <w:pStyle w:val="ListBullet"/>
        <w:spacing w:after="40"/>
      </w:pPr>
      <w:r>
        <w:rPr>
          <w:sz w:val="18"/>
        </w:rPr>
        <w:t>The setup-card SVG is an exact 621×840 component and includes text styles, gradients, card geometry, vector QR content and CTA geometry.</w:t>
      </w:r>
    </w:p>
    <w:p>
      <w:pPr>
        <w:pStyle w:val="ListBullet"/>
        <w:spacing w:after="40"/>
      </w:pPr>
      <w:r>
        <w:rPr>
          <w:sz w:val="18"/>
        </w:rPr>
        <w:t>Path-only component files do not preserve their original font metadata; their vector geometry is exact, while text font reconstruction uses the explicitly documented Glazia families.</w:t>
      </w:r>
    </w:p>
    <w:p>
      <w:pPr>
        <w:pStyle w:val="ListBullet"/>
        <w:spacing w:after="40"/>
      </w:pPr>
      <w:r>
        <w:rPr>
          <w:sz w:val="18"/>
        </w:rPr>
        <w:t>The background image embedded in this document is the logo-free, footer-free 1672×941 background extracted from the supplied background-only SVG.</w:t>
      </w:r>
    </w:p>
    <w:p>
      <w:pPr>
        <w:spacing w:before="140"/>
        <w:jc w:val="center"/>
      </w:pPr>
      <w:r>
        <w:rPr>
          <w:color w:val="718291"/>
          <w:sz w:val="15"/>
        </w:rPr>
        <w:t>GLAZIA DESIGN HANDOFF • 1280 × 720 • Figma-ready reference</w:t>
      </w:r>
    </w:p>
    <w:sectPr w:rsidR="00FC693F" w:rsidRPr="0006063C" w:rsidSect="00034616">
      <w:pgSz w:w="16834" w:h="11909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2435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101A2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1B2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b/>
      <w:color w:val="0D141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