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firstLine="482" w:firstLineChars="200"/>
        <w:jc w:val="both"/>
        <w:textAlignment w:va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firstLine="480" w:firstLineChars="200"/>
        <w:jc w:val="both"/>
        <w:textAlignment w:va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«1С» — это продукт для автоматизации предприятий. Перед пользователями открыт широкий ассортимент типовых решений и отраслевых конфигураций. С их помощью возможно автоматизировать бизнес-процессы в любой компании, независимо от масштабов и направлений. Почти за три десятилетия ИТ-решения выросли из простой программы для ведения учета и сдачи отчётности до многопользовательских систем класса </w:t>
      </w:r>
      <w:r>
        <w:rPr>
          <w:rFonts w:ascii="Times New Roman" w:hAnsi="Times New Roman" w:cs="Times New Roman"/>
          <w:sz w:val="24"/>
          <w:szCs w:val="24"/>
        </w:rPr>
        <w:t>ERP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firstLine="480" w:firstLineChars="200"/>
        <w:jc w:val="both"/>
        <w:textAlignment w:va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программные решения фирмы «1С» созданы на базе единой технологической платформы «1С:Предприятие». 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firstLine="480" w:firstLineChars="200"/>
        <w:jc w:val="both"/>
        <w:textAlignment w:val="auto"/>
        <w:rPr>
          <w:rFonts w:hint="default" w:ascii="Times New Roman" w:hAnsi="Times New Roman" w:eastAsia="Roboto" w:cs="Times New Roman"/>
          <w:i w:val="0"/>
          <w:iCs w:val="0"/>
          <w:caps w:val="0"/>
          <w:color w:val="414141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14141"/>
          <w:spacing w:val="0"/>
          <w:sz w:val="24"/>
          <w:szCs w:val="24"/>
          <w:shd w:val="clear" w:fill="FFFFFF"/>
        </w:rPr>
        <w:t>Области, где для автоматизации применяются программы «1С:Предприятие»: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14141"/>
          <w:spacing w:val="0"/>
          <w:sz w:val="24"/>
          <w:szCs w:val="24"/>
          <w:shd w:val="clear" w:fill="FFFFFF"/>
        </w:rPr>
        <w:t>Бухгалтерский и налоговый учет по стандартам России и стран СНГ, отчетность МСФО;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14141"/>
          <w:spacing w:val="0"/>
          <w:sz w:val="24"/>
          <w:szCs w:val="24"/>
          <w:shd w:val="clear" w:fill="FFFFFF"/>
        </w:rPr>
        <w:t>Торгово-складской учет и управление торговой компанией;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14141"/>
          <w:spacing w:val="0"/>
          <w:sz w:val="24"/>
          <w:szCs w:val="24"/>
          <w:shd w:val="clear" w:fill="FFFFFF"/>
        </w:rPr>
        <w:t>Управленческий учет и бюджетирование, консолидация;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14141"/>
          <w:spacing w:val="0"/>
          <w:sz w:val="24"/>
          <w:szCs w:val="24"/>
          <w:shd w:val="clear" w:fill="FFFFFF"/>
        </w:rPr>
        <w:t>Учет денежных средств и финансовое планирование;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14141"/>
          <w:spacing w:val="0"/>
          <w:sz w:val="24"/>
          <w:szCs w:val="24"/>
          <w:shd w:val="clear" w:fill="FFFFFF"/>
        </w:rPr>
        <w:t>Управление производством и учет производственных затрат, расчет себестоимости;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14141"/>
          <w:spacing w:val="0"/>
          <w:sz w:val="24"/>
          <w:szCs w:val="24"/>
          <w:shd w:val="clear" w:fill="FFFFFF"/>
        </w:rPr>
        <w:t>Управление логистикой, закупками;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14141"/>
          <w:spacing w:val="0"/>
          <w:sz w:val="24"/>
          <w:szCs w:val="24"/>
          <w:shd w:val="clear" w:fill="FFFFFF"/>
        </w:rPr>
        <w:t>Розничная торговля;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"https://www.1cbit.ru/1csoft/bit-integracia-marketplace/?utm_source=statiya_chto-takoe-programma-1s" \t "https://www.1cbit.ru/blog/chto-takoe-programma-1s/_blank" </w:instrTex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Управление торговлей на маркетплейсах.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14141"/>
          <w:spacing w:val="0"/>
          <w:sz w:val="24"/>
          <w:szCs w:val="24"/>
          <w:shd w:val="clear" w:fill="FFFFFF"/>
        </w:rPr>
        <w:t>Управление документооборотом;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14141"/>
          <w:spacing w:val="0"/>
          <w:sz w:val="24"/>
          <w:szCs w:val="24"/>
          <w:shd w:val="clear" w:fill="FFFFFF"/>
        </w:rPr>
        <w:t>Кадровый учет и управление персоналом, ведение кадровой политики и расчетов с сотрудниками;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14141"/>
          <w:spacing w:val="0"/>
          <w:sz w:val="24"/>
          <w:szCs w:val="24"/>
          <w:shd w:val="clear" w:fill="FFFFFF"/>
        </w:rPr>
        <w:t>Управление взаимоотношениями с клиентами (CRM);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14141"/>
          <w:spacing w:val="0"/>
          <w:sz w:val="24"/>
          <w:szCs w:val="24"/>
          <w:shd w:val="clear" w:fill="FFFFFF"/>
        </w:rPr>
        <w:t>Комплексное управление предприятиями (ERP) различных сфер деятельности, в т.ч. – производство, торговля, строительство, сельское хозяйство, ТЭК, ЖКХ, финансовый сектор, общественное питание, гостиничный бизнес, медицина и пр.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Постановка задачи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помощью 1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нужно спроектировать программу для учета дел бизнеса по продаже мебели. Информация о расходах, доходах и продажах.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Проектирование интерфейса приложения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программе 1С была создана БД об учете по продаже мебели, для этого в самом 1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была создана рабочая область для учета продажи, остатков и прихода мебели. В конфигураторе были созданы справочники, константы, документы, журналы документов и другие объекты.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6" w:firstLine="300" w:firstLineChars="125"/>
        <w:jc w:val="both"/>
        <w:textAlignment w:val="auto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Правила и принципы разработки интерфейса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00" w:firstLineChars="125"/>
        <w:jc w:val="both"/>
        <w:textAlignment w:val="auto"/>
        <w:rPr>
          <w:color w:val="000000"/>
          <w:lang w:val="ru-RU"/>
        </w:rPr>
      </w:pPr>
      <w:r>
        <w:rPr>
          <w:color w:val="000000"/>
          <w:lang w:val="ru-RU"/>
        </w:rPr>
        <w:t>1. Для каждой укрупненной группы пользователей (рабочего места) в конфигурации рекомендуется определять отдельный интерфейс: главное меню, набор и состав панелей инструментов.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00" w:firstLineChars="125"/>
        <w:jc w:val="both"/>
        <w:textAlignment w:val="auto"/>
        <w:rPr>
          <w:lang w:val="ru-RU"/>
        </w:rPr>
      </w:pPr>
      <w:bookmarkStart w:id="0" w:name="2.1"/>
      <w:bookmarkEnd w:id="0"/>
      <w:r>
        <w:rPr>
          <w:color w:val="000000"/>
          <w:lang w:val="ru-RU"/>
        </w:rPr>
        <w:t>2.1.</w:t>
      </w:r>
      <w:r>
        <w:rPr>
          <w:color w:val="000000"/>
        </w:rPr>
        <w:t> </w:t>
      </w:r>
      <w:r>
        <w:rPr>
          <w:color w:val="000000"/>
          <w:lang w:val="ru-RU"/>
        </w:rPr>
        <w:t>Главное меню обеспечивает доступ ко всем формам, которые требуются пользователю для работы или сервисных функций. В подменю с большим числом элементов, группы элементов должны быть ограничены разделителями. Максимальное число элементов в одной группе не более 7.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00" w:firstLineChars="125"/>
        <w:jc w:val="both"/>
        <w:textAlignment w:val="auto"/>
        <w:rPr>
          <w:lang w:val="ru-RU"/>
        </w:rPr>
      </w:pPr>
      <w:bookmarkStart w:id="1" w:name="2.2"/>
      <w:bookmarkEnd w:id="1"/>
      <w:r>
        <w:rPr>
          <w:color w:val="000000"/>
          <w:lang w:val="ru-RU"/>
        </w:rPr>
        <w:t>2.2. При любом положении выбора действия из главного меню, его размер должен быть таким, чтобы полностью умещаться на экране при минимальном разрешении, из расчета на которое разработана конфигурация.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00" w:firstLineChars="125"/>
        <w:jc w:val="both"/>
        <w:textAlignment w:val="auto"/>
        <w:rPr>
          <w:lang w:val="ru-RU"/>
        </w:rPr>
      </w:pPr>
      <w:bookmarkStart w:id="2" w:name="2.3"/>
      <w:bookmarkEnd w:id="2"/>
      <w:r>
        <w:rPr>
          <w:color w:val="000000"/>
          <w:lang w:val="ru-RU"/>
        </w:rPr>
        <w:t>2.3. По умолчанию пункты меню для</w:t>
      </w:r>
      <w:r>
        <w:rPr>
          <w:color w:val="000000"/>
        </w:rPr>
        <w:t> </w:t>
      </w:r>
      <w:r>
        <w:rPr>
          <w:color w:val="000000"/>
          <w:lang w:val="ru-RU"/>
        </w:rPr>
        <w:t>доступа к справочникам, документам, планам видов характеристик, планам счетов, планам видов расчетов и регистрам вызывают формы списков этих объектов.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00" w:firstLineChars="125"/>
        <w:jc w:val="both"/>
        <w:textAlignment w:val="auto"/>
        <w:rPr>
          <w:lang w:val="ru-RU"/>
        </w:rPr>
      </w:pPr>
      <w:bookmarkStart w:id="3" w:name="3.1"/>
      <w:bookmarkEnd w:id="3"/>
      <w:r>
        <w:rPr>
          <w:color w:val="000000"/>
          <w:lang w:val="ru-RU"/>
        </w:rPr>
        <w:t>3.1. Интерфейс следует проектировать таким образом, чтобы группе пользователей, с одной стороны, был доступен необходимый набор действий, а с другой, не предоставлялся доступ к действиям на которые нет прав. Вызовы наиболее часто выполняемых пользователем действий в интерфейсе лучше располагать так, чтобы они были наиболее доступны, и наоборот.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00" w:firstLineChars="125"/>
        <w:jc w:val="both"/>
        <w:textAlignment w:val="auto"/>
        <w:rPr>
          <w:lang w:val="ru-RU"/>
        </w:rPr>
      </w:pPr>
      <w:bookmarkStart w:id="4" w:name="3.2"/>
      <w:bookmarkEnd w:id="4"/>
      <w:r>
        <w:rPr>
          <w:color w:val="000000"/>
          <w:lang w:val="ru-RU"/>
        </w:rPr>
        <w:t>3.2. Желательно однотипные блоки меню и панелей инструментов в разных интерфейсах делать похожим образом.</w:t>
      </w:r>
    </w:p>
    <w:p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Разработка макета приложения </w:t>
      </w:r>
    </w:p>
    <w:p>
      <w:pPr>
        <w:ind w:left="0" w:leftChars="0" w:firstLine="1000" w:firstLineChars="500"/>
      </w:pPr>
      <w:r>
        <w:drawing>
          <wp:inline distT="0" distB="0" distL="114300" distR="114300">
            <wp:extent cx="4180205" cy="7221220"/>
            <wp:effectExtent l="0" t="0" r="1079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722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199" w:firstLineChars="83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(Рис.1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Главная страница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</w:p>
    <w:p>
      <w:pPr>
        <w:ind w:left="800" w:leftChars="400" w:firstLine="1400" w:firstLineChars="700"/>
      </w:pPr>
    </w:p>
    <w:p>
      <w:pPr>
        <w:ind w:left="-600" w:leftChars="-300" w:firstLine="1000" w:firstLineChars="500"/>
        <w:jc w:val="center"/>
      </w:pPr>
      <w:r>
        <w:drawing>
          <wp:inline distT="0" distB="0" distL="114300" distR="114300">
            <wp:extent cx="4329430" cy="7432040"/>
            <wp:effectExtent l="0" t="0" r="1397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(Рис.2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Оплата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</w:p>
    <w:p>
      <w:pPr>
        <w:ind w:left="-600" w:leftChars="-300" w:firstLine="1000" w:firstLineChars="500"/>
        <w:jc w:val="center"/>
      </w:pPr>
    </w:p>
    <w:p>
      <w:pPr>
        <w:ind w:left="-600" w:leftChars="-300" w:firstLine="1000" w:firstLineChars="500"/>
        <w:jc w:val="center"/>
      </w:pPr>
    </w:p>
    <w:p>
      <w:pPr>
        <w:ind w:left="-600" w:leftChars="-300" w:firstLine="1000" w:firstLineChars="500"/>
        <w:jc w:val="center"/>
      </w:pPr>
    </w:p>
    <w:p>
      <w:pPr>
        <w:ind w:left="-600" w:leftChars="-300" w:firstLine="1000" w:firstLineChars="500"/>
        <w:jc w:val="center"/>
      </w:pPr>
    </w:p>
    <w:p>
      <w:pPr>
        <w:ind w:left="-600" w:leftChars="-300" w:firstLine="1000" w:firstLineChars="500"/>
        <w:jc w:val="center"/>
      </w:pPr>
    </w:p>
    <w:p>
      <w:pPr>
        <w:ind w:left="-600" w:leftChars="-300" w:firstLine="1000" w:firstLineChars="500"/>
        <w:jc w:val="center"/>
      </w:pPr>
    </w:p>
    <w:p>
      <w:pPr>
        <w:ind w:left="-600" w:leftChars="-300" w:firstLine="1000" w:firstLineChars="500"/>
        <w:jc w:val="center"/>
      </w:pPr>
    </w:p>
    <w:p>
      <w:pPr>
        <w:ind w:left="-600" w:leftChars="-300" w:firstLine="1000" w:firstLineChars="500"/>
        <w:jc w:val="center"/>
      </w:pPr>
    </w:p>
    <w:p>
      <w:pPr>
        <w:ind w:left="-600" w:leftChars="-300" w:firstLine="1000" w:firstLineChars="500"/>
        <w:jc w:val="center"/>
      </w:pPr>
      <w:r>
        <w:drawing>
          <wp:inline distT="0" distB="0" distL="114300" distR="114300">
            <wp:extent cx="3954145" cy="6827520"/>
            <wp:effectExtent l="0" t="0" r="825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(Рис.3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Заказы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-600" w:leftChars="-300" w:firstLine="1200" w:firstLineChars="5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хранения данных</w:t>
      </w:r>
    </w:p>
    <w:p>
      <w:pPr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color w:val="000000"/>
          <w:lang w:val="ru-RU"/>
        </w:rPr>
      </w:pPr>
      <w:r>
        <w:rPr>
          <w:color w:val="000000"/>
          <w:lang w:val="ru-RU"/>
        </w:rPr>
        <w:t>При проектировании системы одной из задач является выбор типов объектов метаданых для реализации хранения соответствующих сущностей предметной области. Неправильный выбор типов объектов ведет к неэффективности прикладного решения, невозможности его последующего развития и делает невозможным адаптацию к возможным изменениям состава решаемых задач.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color w:val="000000"/>
          <w:lang w:val="ru-RU"/>
        </w:rPr>
      </w:pPr>
      <w:r>
        <w:rPr>
          <w:color w:val="000000"/>
          <w:lang w:val="ru-RU"/>
        </w:rPr>
        <w:t>При выборе типа объектов метаданных в общем случае следует руководствоваться следующей схемой прикладного решения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98" w:firstLineChars="166"/>
        <w:jc w:val="both"/>
        <w:textAlignment w:val="auto"/>
      </w:pPr>
      <w:r>
        <w:drawing>
          <wp:inline distT="0" distB="0" distL="114300" distR="114300">
            <wp:extent cx="4782820" cy="3688080"/>
            <wp:effectExtent l="0" t="0" r="254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1800" w:firstLineChars="75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(Рис.4 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Схема структур хранения данных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)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00" w:firstLineChars="125"/>
        <w:textAlignment w:val="auto"/>
        <w:rPr>
          <w:color w:val="000000"/>
          <w:lang w:val="ru-RU"/>
        </w:rPr>
      </w:pPr>
      <w:r>
        <w:rPr>
          <w:color w:val="000000"/>
          <w:lang w:val="ru-RU"/>
        </w:rPr>
        <w:t>На схеме выделяются следующие блоки: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00" w:firstLineChars="125"/>
        <w:textAlignment w:val="auto"/>
        <w:rPr>
          <w:b w:val="0"/>
          <w:bCs w:val="0"/>
          <w:color w:val="000000"/>
          <w:lang w:val="ru-RU"/>
        </w:rPr>
      </w:pPr>
      <w:bookmarkStart w:id="5" w:name="1"/>
      <w:bookmarkEnd w:id="5"/>
      <w:r>
        <w:rPr>
          <w:b w:val="0"/>
          <w:bCs w:val="0"/>
          <w:color w:val="000000"/>
          <w:lang w:val="ru-RU"/>
        </w:rPr>
        <w:t>1.</w:t>
      </w:r>
      <w:r>
        <w:rPr>
          <w:b w:val="0"/>
          <w:bCs w:val="0"/>
          <w:color w:val="000000"/>
        </w:rPr>
        <w:t> </w:t>
      </w:r>
      <w:r>
        <w:rPr>
          <w:rStyle w:val="5"/>
          <w:b w:val="0"/>
          <w:bCs w:val="0"/>
          <w:i/>
          <w:iCs/>
          <w:color w:val="000000"/>
          <w:lang w:val="ru-RU"/>
        </w:rPr>
        <w:t>Условно-постоянная информация</w:t>
      </w:r>
      <w:r>
        <w:rPr>
          <w:b w:val="0"/>
          <w:bCs w:val="0"/>
          <w:color w:val="000000"/>
          <w:lang w:val="ru-RU"/>
        </w:rPr>
        <w:t>. К этой части относится информация, которая вводится один раз, сравнительно редко изменяется и многократно используется. Примером такой информации могут служить различные классификаторы, настройки, перечни, реестры, нормативно-справочная информация и т.п.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00" w:firstLineChars="125"/>
        <w:textAlignment w:val="auto"/>
        <w:rPr>
          <w:b w:val="0"/>
          <w:bCs w:val="0"/>
          <w:color w:val="000000"/>
          <w:lang w:val="ru-RU"/>
        </w:rPr>
      </w:pPr>
      <w:bookmarkStart w:id="6" w:name="2"/>
      <w:bookmarkEnd w:id="6"/>
      <w:r>
        <w:rPr>
          <w:b w:val="0"/>
          <w:bCs w:val="0"/>
          <w:color w:val="000000"/>
          <w:lang w:val="ru-RU"/>
        </w:rPr>
        <w:t>2.</w:t>
      </w:r>
      <w:r>
        <w:rPr>
          <w:b w:val="0"/>
          <w:bCs w:val="0"/>
          <w:color w:val="000000"/>
        </w:rPr>
        <w:t> </w:t>
      </w:r>
      <w:r>
        <w:rPr>
          <w:b w:val="0"/>
          <w:bCs w:val="0"/>
          <w:i/>
          <w:iCs/>
          <w:color w:val="000000"/>
          <w:lang w:val="ru-RU"/>
        </w:rPr>
        <w:t>Различные</w:t>
      </w:r>
      <w:r>
        <w:rPr>
          <w:b w:val="0"/>
          <w:bCs w:val="0"/>
          <w:i/>
          <w:iCs/>
          <w:color w:val="000000"/>
        </w:rPr>
        <w:t> </w:t>
      </w:r>
      <w:r>
        <w:rPr>
          <w:rStyle w:val="5"/>
          <w:b w:val="0"/>
          <w:bCs w:val="0"/>
          <w:i/>
          <w:iCs/>
          <w:color w:val="000000"/>
          <w:lang w:val="ru-RU"/>
        </w:rPr>
        <w:t>события процессов предметной области</w:t>
      </w:r>
      <w:r>
        <w:rPr>
          <w:b w:val="0"/>
          <w:bCs w:val="0"/>
          <w:i/>
          <w:iCs/>
          <w:color w:val="000000"/>
          <w:lang w:val="ru-RU"/>
        </w:rPr>
        <w:t>,</w:t>
      </w:r>
      <w:r>
        <w:rPr>
          <w:b w:val="0"/>
          <w:bCs w:val="0"/>
          <w:color w:val="000000"/>
          <w:lang w:val="ru-RU"/>
        </w:rPr>
        <w:t xml:space="preserve"> которые привязаны ко времени и могут порождать при регистрации различные сведения, изменять значения показателей. Пример – документооборот предприятия, ведение учета; регистрация заявок, звонков и т. п.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00" w:firstLineChars="125"/>
        <w:textAlignment w:val="auto"/>
        <w:rPr>
          <w:b w:val="0"/>
          <w:bCs w:val="0"/>
          <w:color w:val="000000"/>
          <w:lang w:val="ru-RU"/>
        </w:rPr>
      </w:pPr>
      <w:bookmarkStart w:id="7" w:name="3"/>
      <w:bookmarkEnd w:id="7"/>
      <w:r>
        <w:rPr>
          <w:b w:val="0"/>
          <w:bCs w:val="0"/>
          <w:color w:val="000000"/>
          <w:lang w:val="ru-RU"/>
        </w:rPr>
        <w:t>3.</w:t>
      </w:r>
      <w:r>
        <w:rPr>
          <w:b w:val="0"/>
          <w:bCs w:val="0"/>
          <w:color w:val="000000"/>
        </w:rPr>
        <w:t> </w:t>
      </w:r>
      <w:r>
        <w:rPr>
          <w:rStyle w:val="5"/>
          <w:b w:val="0"/>
          <w:bCs w:val="0"/>
          <w:i/>
          <w:iCs/>
          <w:color w:val="000000"/>
          <w:lang w:val="ru-RU"/>
        </w:rPr>
        <w:t>Накопленные сведения, значения показателей</w:t>
      </w:r>
      <w:r>
        <w:rPr>
          <w:b w:val="0"/>
          <w:bCs w:val="0"/>
          <w:i/>
          <w:iCs/>
          <w:color w:val="000000"/>
          <w:lang w:val="ru-RU"/>
        </w:rPr>
        <w:t xml:space="preserve">, </w:t>
      </w:r>
      <w:r>
        <w:rPr>
          <w:b w:val="0"/>
          <w:bCs w:val="0"/>
          <w:color w:val="000000"/>
          <w:lang w:val="ru-RU"/>
        </w:rPr>
        <w:t>которые характеризуют процессы и текущее состояние прикладной области. В отличие от первых двух частей, эти данные имеют необъектную природу и не являются самостоятельными сущностями с точки зрения прикладной области. Пример – история продаж товара, остатки на складах, текущий бухгалтерский баланс, история изменения курсов валют и т.п.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00" w:firstLineChars="125"/>
        <w:textAlignment w:val="auto"/>
        <w:rPr>
          <w:b w:val="0"/>
          <w:bCs w:val="0"/>
          <w:color w:val="000000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3.1. Проектирование структуры хранения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Разрабатывая базу данных на клиент-серверной платформе возникает необходимость быстро и оперативно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готовить копию базы без лишней информации (для внешних программистов например).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Разрабатывая базу данных на клиент-серверной платформе возникает необходимость быстро и оперативно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готовить копию базы без лишней информации (для внешних программистов например).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Данная обработка позволяет по названиям объектов метаданных быстро очистить таблицы или колонки в базе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данных SQL — прямым запросом.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400" w:firstLineChars="700"/>
        <w:jc w:val="both"/>
        <w:textAlignment w:val="auto"/>
      </w:pPr>
      <w:r>
        <w:drawing>
          <wp:inline distT="0" distB="0" distL="114300" distR="114300">
            <wp:extent cx="3505200" cy="1971675"/>
            <wp:effectExtent l="0" t="0" r="0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98" w:firstLineChars="1166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(Рис.5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Справочники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Наполнение структуры данными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Структура в 1С  это динамический набор данных (коллекция значений), каждый элемент которой состоит из пары «Ключ» и «Значение». Ключи структуры уникальны, поэтому ими можно идентифицировать значения. Ключ структуры должен иметь строковый тип данных и отвечать требованиям к именам переменных. К значениям структуры можно обращаться как к свойствам объекта, при этом ключ используется как имя свойства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000" w:firstLineChars="500"/>
        <w:jc w:val="both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036695" cy="3686175"/>
            <wp:effectExtent l="0" t="0" r="1905" b="190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98" w:firstLineChars="1166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(Рис.6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Документы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98" w:firstLineChars="1166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Пример кода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Заказ клиента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Процедура ПечатьСчетаНаОплату(ТабДок, Ссылка) Экспорт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//{{_КОНСТРУКТОР_ПЕЧАТИ(ПечатьСчетаНаОплату)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Макет = Документы.ЗаказКлиента.ПолучитьМакет("ПечатьСчетаНаОплату");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Запрос = Новый Запрос;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Запрос.Текст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"ВЫБРАТЬ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ЗаказКлиента.Дата,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ЗаказКлиента.Клиент,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ЗаказКлиента.Номер,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ЗаказКлиента.Склад,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ЗаказКлиента.Товары.(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НомерСтроки,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Товар,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Количество,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Цена,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Сумма,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Склад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|ИЗ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Документ.ЗаказКлиента КАК ЗаказКлиента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|ГДЕ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ЗаказКлиента.Ссылка В (&amp;Ссылка)";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Запрос.Параметры.Вставить("Ссылка", Ссылка);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Выборка = Запрос.Выполнить().Выбрать();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ОбластьЗаголовок = Макет.ПолучитьОбласть("Заголовок");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Шапка = Макет.ПолучитьОбласть("Шапка");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ОбластьТоварыШапка = Макет.ПолучитьОбласть("ТоварыШапка");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ОбластьТовары = Макет.ПолучитьОбласть("Товары");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Подвал = Макет.ПолучитьОбласть("Подвал");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ТабДок.Очистить();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ВставлятьРазделительСтраниц = Ложь;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Пока Выборка.Следующий() Цикл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Если ВставлятьРазделительСтраниц Тогда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ТабДок.ВывестиГоризонтальныйРазделительСтраниц();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КонецЕсли;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ТабДок.Вывести(ОбластьЗаголовок);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Шапка.Параметры.Заполнить(Выборка);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ТабДок.Вывести(Шапка, Выборка.Уровень());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ТабДок.Вывести(ОбластьТоварыШапка);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ВыборкаТовары = Выборка.Товары.Выбрать();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Пока ВыборкаТовары.Следующий() Цикл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ОбластьТовары.Параметры.Заполнить(ВыборкаТовары);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ТабДок.Вывести(ОбластьТовары, ВыборкаТовары.Уровень());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КонецЦикла;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Подвал.Параметры.Заполнить(Выборка);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ТабДок.Вывести(Подвал);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ВставлятьРазделительСтраниц = Истина;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КонецЦикла;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КонецПроцедуры</w:t>
      </w:r>
      <w:bookmarkStart w:id="8" w:name="_GoBack"/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4. Разработка технической документации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99" w:firstLineChars="83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98" w:firstLineChars="1166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ind w:left="-600" w:leftChars="-300" w:firstLine="1000" w:firstLineChars="500"/>
        <w:jc w:val="center"/>
        <w:rPr>
          <w:b w:val="0"/>
          <w:bCs w:val="0"/>
        </w:rPr>
      </w:pPr>
    </w:p>
    <w:p>
      <w:pPr>
        <w:ind w:left="-600" w:leftChars="-300" w:firstLine="1000" w:firstLineChars="500"/>
        <w:jc w:val="center"/>
        <w:rPr>
          <w:b w:val="0"/>
          <w:bCs w:val="0"/>
        </w:rPr>
      </w:pPr>
    </w:p>
    <w:p>
      <w:pPr>
        <w:ind w:left="-600" w:leftChars="-300" w:firstLine="1000" w:firstLineChars="500"/>
        <w:jc w:val="center"/>
        <w:rPr>
          <w:b w:val="0"/>
          <w:bCs w:val="0"/>
        </w:rPr>
      </w:pPr>
    </w:p>
    <w:p>
      <w:pPr>
        <w:ind w:left="-600" w:leftChars="-300" w:firstLine="1000" w:firstLineChars="500"/>
        <w:jc w:val="center"/>
        <w:rPr>
          <w:rFonts w:hint="default"/>
          <w:b w:val="0"/>
          <w:bCs w:val="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A7C95"/>
    <w:multiLevelType w:val="singleLevel"/>
    <w:tmpl w:val="EB9A7C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">
    <w:nsid w:val="01D66DE7"/>
    <w:multiLevelType w:val="multilevel"/>
    <w:tmpl w:val="01D66D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ED2AF81"/>
    <w:multiLevelType w:val="multilevel"/>
    <w:tmpl w:val="3ED2AF81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D7EB8"/>
    <w:rsid w:val="680D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2023-04-16T18:01:00Z</dcterms:created>
  <dc:creator>bubyl</dc:creator>
  <cp:lastModifiedBy>bubyl</cp:lastModifiedBy>
  <dcterms:modified xsi:type="dcterms:W3CDTF">2023-04-16T19:59:57Z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EF3059DFBFAD4E938D37FD568C33C5CC</vt:lpwstr>
  </property>
</Properties>
</file>