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5408" w:type="dxa"/>
        <w:tblBorders/>
        <w:tblLayout w:type="fixed"/>
        <w:tblpPr w:horzAnchor="page" w:tblpX="250" w:vertAnchor="page" w:tblpY="256" w:leftFromText="180" w:topFromText="0" w:rightFromText="180" w:bottomFromText="0"/>
        <w:tblLook w:val="04A0" w:firstRow="1" w:lastRow="0" w:firstColumn="1" w:lastColumn="0" w:noHBand="0" w:noVBand="1"/>
      </w:tblPr>
      <w:tblGrid>
        <w:gridCol w:w="15408"/>
      </w:tblGrid>
      <w:tr>
        <w:trPr>
          <w:trHeight w:val="324"/>
        </w:trPr>
        <w:tc>
          <w:tcPr>
            <w:tcBorders/>
            <w:tcW w:w="15408" w:type="dxa"/>
            <w:vAlign w:val="bottom"/>
            <w:noWrap/>
          </w:tcPr>
          <w:p w14:paraId="08D4C6F8" w14:textId="77777777">
            <w:pPr>
              <w:pBdr/>
              <w:spacing w:after="0"/>
              <w:ind w:firstLine="78"/>
              <w:jc w:val="center"/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კალენდარული გეგმა</w:t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</w:r>
          </w:p>
          <w:p w14:paraId="65E1D41C" w14:textId="77777777">
            <w:pPr>
              <w:pBdr/>
              <w:spacing w:after="0"/>
              <w:ind w:firstLine="78"/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  <w:r>
              <w:rPr>
                <w:rFonts w:ascii="Sylfaen" w:hAnsi="Sylfaen" w:eastAsia="Times New Roma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r>
          </w:p>
          <w:p w14:paraId="239322F8" w14:textId="23BF6A8E">
            <w:pPr>
              <w:pBdr/>
              <w:spacing w:after="0"/>
              <w:ind/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4"/>
                <w:szCs w:val="24"/>
                <w:lang w:val="ka-GE"/>
              </w:rPr>
              <w:t xml:space="preserve">პროგრამა: Front-end დეველოპმენტი, მეოთხე დონე (არაინტეგრირებული), კრედიტების რაოდენობა: 60</w:t>
            </w:r>
            <w:r>
              <w:rPr>
                <w:rFonts w:ascii="Sylfaen" w:hAnsi="Sylfaen" w:eastAsia="Times New Roman" w:cs="Calibri"/>
                <w:bCs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</w:r>
          </w:p>
        </w:tc>
      </w:tr>
      <w:tr>
        <w:trPr>
          <w:trHeight w:val="648"/>
        </w:trPr>
        <w:tc>
          <w:tcPr>
            <w:tcBorders>
              <w:bottom w:val="none" w:color="000000" w:sz="4" w:space="0"/>
            </w:tcBorders>
            <w:tcW w:w="15408" w:type="dxa"/>
            <w:noWrap/>
          </w:tcPr>
          <w:p w14:paraId="53F1FC91" w14:textId="29396A39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მოდული: სარეგისტრაციო №06.1.1.1, ვებ გვერდის მარკირება და სტილებით გაფორმება, კრედიტების რაოდენობა: 7, საკონტაქტო და დამოუკიდებელი საათების რაოდენობა: 175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  <w:lang w:val="ru-RU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  <w:lang w:val="ka-GE"/>
              </w:rPr>
              <w:t xml:space="preserve"/>
            </w:r>
            <w:r>
              <w:rPr>
                <w:rFonts w:ascii="Sylfaen" w:hAnsi="Sylfaen" w:eastAsia="Times New Roman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  <w:p w14:paraId="057326F6" w14:textId="089779BE">
            <w:pPr>
              <w:pBdr/>
              <w:spacing w:after="0"/>
              <w:ind/>
              <w:jc w:val="both"/>
              <w:rPr>
                <w:rFonts w:ascii="Sylfaen" w:hAnsi="Sylfaen" w:cs="Arial"/>
                <w:sz w:val="24"/>
                <w:szCs w:val="24"/>
              </w:rPr>
            </w:pP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მოდულის სასწავლო გარემო</w:t>
            </w:r>
            <w:r>
              <w:rPr>
                <w:rStyle w:val="1077"/>
                <w:rFonts w:ascii="Sylfaen" w:hAnsi="Sylfaen" w:cs="Arial"/>
                <w:sz w:val="24"/>
                <w:szCs w:val="24"/>
                <w:lang w:val="ka-GE"/>
              </w:rPr>
              <w:footnoteReference w:id="2"/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:</w:t>
            </w:r>
            <w:r>
              <w:rPr>
                <w:rFonts w:ascii="Sylfaen" w:hAnsi="Sylfaen" w:cs="Arial"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 w:cs="Arial"/>
                <w:sz w:val="24"/>
                <w:szCs w:val="24"/>
              </w:rPr>
              <w:t xml:space="preserve">AB</w:t>
            </w:r>
            <w:bookmarkStart w:id="0" w:name="_GoBack"/>
            <w:r/>
            <w:bookmarkEnd w:id="0"/>
            <w:r>
              <w:rPr>
                <w:rFonts w:ascii="Sylfaen" w:hAnsi="Sylfaen" w:cs="Arial"/>
                <w:sz w:val="24"/>
                <w:szCs w:val="24"/>
              </w:rPr>
            </w:r>
            <w:r>
              <w:rPr>
                <w:rFonts w:ascii="Sylfaen" w:hAnsi="Sylfaen" w:cs="Arial"/>
                <w:sz w:val="24"/>
                <w:szCs w:val="24"/>
              </w:rPr>
            </w:r>
          </w:p>
        </w:tc>
      </w:tr>
    </w:tbl>
    <w:p w14:paraId="1C9D6C21" w14:textId="77777777">
      <w:pPr>
        <w:pBdr/>
        <w:spacing w:after="0"/>
        <w:ind/>
        <w:rPr>
          <w:rFonts w:ascii="Sylfaen" w:hAnsi="Sylfaen"/>
          <w:lang w:val="ka-GE"/>
        </w:rPr>
      </w:pP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tbl>
      <w:tblPr>
        <w:tblStyle w:val="1065"/>
        <w:tblInd w:w="-1157" w:type="dxa"/>
        <w:tblW w:w="15362" w:type="dxa"/>
        <w:tblBorders/>
        <w:tblLayout w:type="fixed"/>
        <w:tblLook w:val="04A0" w:firstRow="1" w:lastRow="0" w:firstColumn="1" w:lastColumn="0" w:noHBand="0" w:noVBand="1"/>
      </w:tblPr>
      <w:tblGrid>
        <w:gridCol w:w="1135"/>
        <w:gridCol w:w="567"/>
        <w:gridCol w:w="5528"/>
        <w:gridCol w:w="567"/>
        <w:gridCol w:w="557"/>
        <w:gridCol w:w="2448"/>
        <w:gridCol w:w="1442"/>
        <w:gridCol w:w="1701"/>
        <w:gridCol w:w="1417"/>
      </w:tblGrid>
      <w:tr>
        <w:trPr>
          <w:cantSplit/>
          <w:trHeight w:val="221"/>
        </w:trPr>
        <w:tc>
          <w:tcPr>
            <w:tcBorders/>
            <w:tcW w:w="1135" w:type="dxa"/>
            <w:vMerge w:val="restart"/>
            <w:textDirection w:val="btLr"/>
          </w:tcPr>
          <w:p w14:paraId="7B42EF9D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სასწავლო კვირის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ru-RU"/>
              </w:rPr>
              <w:t xml:space="preserve">№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საკონტაქტო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51EF5059" w14:textId="77777777">
            <w:pPr>
              <w:pBdr/>
              <w:spacing/>
              <w:ind w:right="113" w:left="113"/>
              <w:rPr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b/>
                <w:sz w:val="20"/>
                <w:szCs w:val="20"/>
                <w:lang w:val="ka-GE"/>
              </w:rPr>
            </w:r>
            <w:r>
              <w:rPr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Align w:val="center"/>
            <w:vMerge w:val="restart"/>
            <w:textDirection w:val="btLr"/>
          </w:tcPr>
          <w:p w14:paraId="64EA38FA" w14:textId="77777777">
            <w:pPr>
              <w:pBdr/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ჩატარების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თარიღი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/>
            <w:tcW w:w="5528" w:type="dxa"/>
            <w:vAlign w:val="center"/>
            <w:vMerge w:val="restart"/>
          </w:tcPr>
          <w:p w14:paraId="0898B613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თემატიკა</w:t>
            </w:r>
            <w:r>
              <w:rPr>
                <w:rFonts w:ascii="Sylfaen" w:hAnsi="Sylfaen"/>
                <w:b/>
                <w:sz w:val="20"/>
                <w:szCs w:val="20"/>
              </w:rPr>
              <w:t xml:space="preserve">, </w:t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 განსახორციელებელი აქტივობა</w:t>
            </w:r>
            <w:r>
              <w:rPr>
                <w:rStyle w:val="1077"/>
                <w:rFonts w:ascii="Sylfaen" w:hAnsi="Sylfaen"/>
                <w:b/>
                <w:sz w:val="20"/>
                <w:szCs w:val="20"/>
                <w:lang w:val="ka-GE"/>
              </w:rPr>
              <w:footnoteReference w:id="3"/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  <w:p w14:paraId="658DB5EA" w14:textId="77777777">
            <w:pPr>
              <w:pBdr/>
              <w:tabs>
                <w:tab w:val="left" w:leader="none" w:pos="2206"/>
              </w:tabs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gridSpan w:val="2"/>
            <w:tcBorders>
              <w:bottom w:val="single" w:color="auto" w:sz="4" w:space="0"/>
            </w:tcBorders>
            <w:tcW w:w="1124" w:type="dxa"/>
            <w:vAlign w:val="center"/>
          </w:tcPr>
          <w:p w14:paraId="0888C8FF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საათი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  <w:tc>
          <w:tcPr>
            <w:tcBorders/>
            <w:tcW w:w="2448" w:type="dxa"/>
            <w:vAlign w:val="center"/>
            <w:vMerge w:val="restart"/>
            <w:textDirection w:val="btLr"/>
          </w:tcPr>
          <w:p w14:paraId="0293A333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ს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წავლების და შეფასების მეთოდები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                                                                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</w:tc>
        <w:tc>
          <w:tcPr>
            <w:tcBorders/>
            <w:tcW w:w="1442" w:type="dxa"/>
            <w:vAlign w:val="center"/>
            <w:vMerge w:val="restart"/>
          </w:tcPr>
          <w:p w14:paraId="74E896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გამოყენებული ლიტერატურა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4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1701" w:type="dxa"/>
            <w:vAlign w:val="center"/>
            <w:vMerge w:val="restart"/>
          </w:tcPr>
          <w:p w14:paraId="19EAFDB8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მეცადინეობის/შეფასების ჩასატარებლად საჭირო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რესურსი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, მასალები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  <w:p w14:paraId="67144366" w14:textId="77777777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  <w:r>
              <w:rPr>
                <w:rFonts w:ascii="Sylfaen" w:hAnsi="Sylfaen"/>
                <w:b/>
                <w:sz w:val="20"/>
                <w:szCs w:val="20"/>
                <w:lang w:val="ka-GE"/>
              </w:rPr>
            </w:r>
          </w:p>
        </w:tc>
        <w:tc>
          <w:tcPr>
            <w:tcBorders/>
            <w:tcW w:w="1417" w:type="dxa"/>
            <w:vAlign w:val="center"/>
            <w:vMerge w:val="restart"/>
          </w:tcPr>
          <w:p w14:paraId="0F6A8BCE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მასწავ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058218F5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ლებლის ჩანაწერები განხორცი-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</w:r>
          </w:p>
          <w:p w14:paraId="6B042E8A" w14:textId="77777777">
            <w:pPr>
              <w:pBdr/>
              <w:spacing/>
              <w:ind/>
              <w:jc w:val="center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ელების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18"/>
                <w:szCs w:val="18"/>
                <w:lang w:val="ka-GE"/>
              </w:rPr>
              <w:t xml:space="preserve">შესახებ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156"/>
        </w:trPr>
        <w:tc>
          <w:tcPr>
            <w:tcBorders/>
            <w:tcW w:w="1135" w:type="dxa"/>
            <w:vMerge w:val="continue"/>
            <w:textDirection w:val="btLr"/>
          </w:tcPr>
          <w:p w14:paraId="649606EB" w14:textId="77777777">
            <w:pPr>
              <w:pBdr/>
              <w:spacing/>
              <w:ind w:right="113" w:left="113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67" w:type="dxa"/>
            <w:vMerge w:val="continue"/>
          </w:tcPr>
          <w:p w14:paraId="6A945084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/>
            <w:tcW w:w="5528" w:type="dxa"/>
            <w:vMerge w:val="continue"/>
          </w:tcPr>
          <w:p w14:paraId="56E1CE6A" w14:textId="77777777">
            <w:pPr>
              <w:pBdr/>
              <w:spacing/>
              <w:ind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67" w:type="dxa"/>
            <w:textDirection w:val="btLr"/>
          </w:tcPr>
          <w:p w14:paraId="2FB89904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i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საკონტაქტო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5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557" w:type="dxa"/>
            <w:textDirection w:val="btLr"/>
          </w:tcPr>
          <w:p w14:paraId="57D3067E" w14:textId="77777777">
            <w:pPr>
              <w:pBdr/>
              <w:spacing/>
              <w:ind w:right="-108"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t xml:space="preserve">დამოუკიდებელი</w:t>
            </w:r>
            <w:r>
              <w:rPr>
                <w:rStyle w:val="1077"/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  <w:footnoteReference w:id="6"/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2448" w:type="dxa"/>
            <w:vMerge w:val="continue"/>
          </w:tcPr>
          <w:p w14:paraId="55ACFA05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42" w:type="dxa"/>
            <w:vMerge w:val="continue"/>
          </w:tcPr>
          <w:p w14:paraId="6800816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701" w:type="dxa"/>
            <w:vMerge w:val="continue"/>
          </w:tcPr>
          <w:p w14:paraId="7670783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  <w:lang w:val="ka-GE"/>
              </w:rPr>
            </w:r>
          </w:p>
        </w:tc>
        <w:tc>
          <w:tcPr>
            <w:tcBorders>
              <w:bottom w:val="single" w:color="auto" w:sz="4" w:space="0"/>
            </w:tcBorders>
            <w:tcW w:w="1417" w:type="dxa"/>
            <w:vMerge w:val="continue"/>
          </w:tcPr>
          <w:p w14:paraId="53C01012" w14:textId="77777777">
            <w:pPr>
              <w:pBdr/>
              <w:spacing/>
              <w:ind/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pP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  <w:r>
              <w:rPr>
                <w:rFonts w:ascii="Sylfaen" w:hAnsi="Sylfaen" w:eastAsia="Times New Roman" w:cs="Calibri"/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1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თანამედროვე ვებტექნოლოგიები; ვებმარკირების დანიშნულება და გამოყენების სფერო; კოდის წერის სინტაქსი და ეთიკა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ე. ჩიკაშუა, ნ. ელიზბარაშვილი, ზ. დოლიძე, გ. კევლიშვილი - ვებინტერფეისის დეველოპერი. განათლების ხარისხის განვითარების ეროვნული ცენტრი. თბილისი 2015.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ს. კარაკოზოვი, გ. კევლიშვილი, ე. ჩიკაშუა, ნ. ელიზბარაშვილი - ვებინტერფეისის დიზაინერი. თბილისი 2015.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www.w3schools.com/html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www.w3schools.com/css</w:t>
            </w:r>
          </w:p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  <w:t xml:space="preserve">developer.mozilla.org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მაკეტის შექმნის ტეგები; ვებგვერდის შენახვის ფორმატი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სათაურების, აბზაცისა და სიების ფორმატირების ტეგები; სიმბოლოების ფორმატირების ლოგიკური ტეგები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ხაზოვანი და ბლოკური ტეგები; ინფორმაციის დახარისხება შესაბამისი ბრძანებების მეშვეობით; W3C სტანდარტი და ვალიდაციის ინსტრუმენტი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გვერდის სტრუქტურის აგება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2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1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ფორმატები; ვებგვერდზე გრაფიკული ობიექტის ასახვის საშუალებები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ობიექტის პარამეტრები; ბმულის ტიპები და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ცხრილის ტეგები და მისი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მულტიმედია ობიექტების ფორმატები, ასახვის საშუალებები და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ობიექტების და ბმულების ასახვა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3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20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ელემენტები და მათი ტიპები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ვებგვერდზე ფორმის ველების ასახვის ტეგები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ფორმის ველების შესაბამისი პარამეტრები და ატრიბუტები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ფორმების მოსახერხებელი დიზაინი, რომელიც უზრუნველყოფს მკაფიო ნავიგაციას და მარტივად გამოყენებას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 გვერდზე ფორმების ასახვა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4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30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4.5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სტილების მნიშვნელობა და გამოყენების სფერო; დოკუმენტის სტილებით გაფორმების მეთოდები; css-ის კოდის წერის სინტაქსი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ძირითადი სელექტორები; სელექტორების თვისებისა და მნიშვნელობის არსი; Class და ID სელექტორები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3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ზომის ერთეულები და მათი გამოყენების ასპექტები; ვებგვერდის ფონის პარამეტრები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შრიფტის თვისებები და მათი მნიშვნელობები; ვებფონტები; ტექსტის თვისებები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ბმულების თვისებები; ხაზოვანი და ბლოკური ელემენტების თვისებები; სიის თვისებები და მნიშვნელობები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გამოსახულებებისა და ცხრილის თვისებები; ფონის გაფართოებული შესაძლებლობები; ბლოკის 2D ტრანსფორმაცია და ანიმაციის პარამეტრები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4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ელემენტების გაფორმება სტილების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40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7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4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სტილის ტიპები და მათი გამოყენების ასპექტები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10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5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2.5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ვებგვერდის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3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მორგება სხვადასხვა მოწყობილობებზე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279"/>
        </w:trPr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135" w:type="dxa"/>
          </w:tcPr>
          <w:p w14:paraId="3F33A3B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</w:tcPr>
          <w:p w14:paraId="3B1D344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28" w:type="dxa"/>
          </w:tcPr>
          <w:p w14:paraId="6A6C08A5" w14:textId="579A9160">
            <w:pPr>
              <w:pStyle w:val="1066"/>
              <w:pBdr/>
              <w:spacing/>
              <w:ind/>
              <w:jc w:val="center"/>
              <w:rPr>
                <w:rFonts w:ascii="Sylfaen" w:hAnsi="Sylfaen" w:cs="Arial"/>
                <w:b/>
                <w:color w:val="ff0000"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6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67" w:type="dxa"/>
            <w:vAlign w:val="center"/>
          </w:tcPr>
          <w:p w14:paraId="4D949541" w14:textId="4906BAB3">
            <w:pPr>
              <w:pBdr/>
              <w:spacing/>
              <w:ind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en-US"/>
              </w:rPr>
              <w:t xml:space="preserve">10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557" w:type="dxa"/>
            <w:vAlign w:val="center"/>
          </w:tcPr>
          <w:p w14:paraId="582ECD5B" w14:textId="6209BA5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1.5</w:t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2448" w:type="dxa"/>
          </w:tcPr>
          <w:p w14:paraId="168907BC" w14:textId="2FE70B0E">
            <w:pPr>
              <w:pBdr/>
              <w:spacing/>
              <w:ind/>
              <w:rPr>
                <w:rFonts w:ascii="Sylfaen" w:hAnsi="Sylfaen"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sz w:val="18"/>
                <w:szCs w:val="18"/>
                <w:lang w:val="ka-GE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442" w:type="dxa"/>
          </w:tcPr>
          <w:p w14:paraId="21FA6B73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bottom w:val="single" w:color="auto" w:sz="4" w:space="0"/>
            </w:tcBorders>
            <w:tcW w:w="1701" w:type="dxa"/>
          </w:tcPr>
          <w:p w14:paraId="1EF8DE7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>
              <w:top w:val="single" w:color="auto" w:sz="4" w:space="0"/>
              <w:bottom w:val="single" w:color="auto" w:sz="4" w:space="0"/>
            </w:tcBorders>
            <w:tcW w:w="1417" w:type="dxa"/>
          </w:tcPr>
          <w:p w14:paraId="4C7A495A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გრაფიკული ხელსაწყოს დაინსტალირება; გრაფიკული ობიექტის დაექსპორტება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406"/>
        </w:trPr>
        <w:tc>
          <w:tcPr>
            <w:shd w:val="clear" w:color="auto" w:fill="auto"/>
            <w:tcBorders/>
            <w:tcW w:w="1135" w:type="dxa"/>
          </w:tcPr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6 კვირა</w:t>
            </w:r>
          </w:p>
          <w:p w14:paraId="58D98F67" w14:textId="11256CCC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25სთ</w:t>
            </w:r>
          </w:p>
        </w:tc>
        <w:tc>
          <w:tcPr>
            <w:shd w:val="clear" w:color="auto" w:fill="auto"/>
            <w:tcBorders/>
            <w:tcW w:w="567" w:type="dxa"/>
          </w:tcPr>
          <w:p w14:paraId="1CC69078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28" w:type="dxa"/>
          </w:tcPr>
          <w:p w14:paraId="6A9905BD">
            <w:pPr>
              <w:numPr>
                <w:ilvl w:val="0"/>
                <w:numId w:val="33"/>
              </w:numPr>
              <w:pBdr/>
              <w:spacing/>
              <w:ind w:hanging="218" w:left="310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კოდის გაფორმება გრაფიკული ობიექტების შესაბამისად; გრაფიკული ობიექტის თავსებადობა სხვადასხვა მოწყობილობასთან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26FB1DF5" w14:textId="799A0ABE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sz w:val="20"/>
                <w:szCs w:val="20"/>
                <w:lang w:val="ka-GE"/>
              </w:rPr>
              <w:t xml:space="preserve">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0AB90F22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0.5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08948748">
            <w:pPr>
              <w:pBdr/>
              <w:spacing/>
              <w:ind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color w:val="auto"/>
                <w:sz w:val="20"/>
                <w:szCs w:val="20"/>
                <w:lang w:val="ka-GE"/>
              </w:rPr>
              <w:t xml:space="preserve">ლექცია, ინტერაქტიული ლექცია, დემონსტრირება, პრაქტიკული მეცადინეობა, სამუშაო ჯგუფში მუშაობა.</w:t>
            </w:r>
          </w:p>
        </w:tc>
        <w:tc>
          <w:tcPr>
            <w:tcBorders/>
            <w:tcW w:w="1442" w:type="dxa"/>
          </w:tcPr>
          <w:p w14:paraId="07B859D7">
            <w:pPr>
              <w:widowControl w:val="tru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after="0" w:before="120" w:line="240" w:lineRule="auto"/>
              <w:ind w:firstLine="0" w:left="0"/>
              <w:jc w:val="both"/>
              <w:rPr>
                <w:rFonts w:ascii="Sylfaen" w:hAnsi="Sylfaen" w:eastAsia="Merriweather" w:cs="Merriweather"/>
                <w:b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cs="Arial"/>
                <w:color w:val="auto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დაფა, მარკერი,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კომპიუტერი,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პროექტორი,</w:t>
            </w:r>
          </w:p>
          <w:p w14:paraId="6C3B4D50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ინტერნეტი</w:t>
            </w:r>
          </w:p>
        </w:tc>
        <w:tc>
          <w:tcPr>
            <w:shd w:val="clear" w:color="auto" w:fill="auto"/>
            <w:tcBorders/>
            <w:tcW w:w="1417" w:type="dxa"/>
          </w:tcPr>
          <w:p w14:paraId="0E05C20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  <w:tr>
        <w:trPr>
          <w:cantSplit/>
          <w:trHeight w:val="548"/>
        </w:trPr>
        <w:tc>
          <w:tcPr>
            <w:shd w:val="clear" w:color="auto" w:fill="auto"/>
            <w:tcBorders>
              <w:bottom w:val="single" w:color="000000" w:themeColor="text1" w:sz="4" w:space="0"/>
              <w:right w:val="none" w:color="000000" w:sz="4" w:space="0"/>
            </w:tcBorders>
            <w:tcW w:w="1135" w:type="dxa"/>
          </w:tcPr>
          <w:p w14:paraId="756CF772" w14:textId="1560A503">
            <w:pPr>
              <w:pBdr/>
              <w:spacing/>
              <w:ind/>
              <w:jc w:val="center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567" w:type="dxa"/>
          </w:tcPr>
          <w:p w14:paraId="705DBE7B" w14:textId="2BB8BF83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tcW w:w="5528" w:type="dxa"/>
          </w:tcPr>
          <w:p w14:paraId="57616E71" w14:textId="086195B4">
            <w:pPr>
              <w:widowControl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contextualSpacing w:val="true"/>
              <w:jc w:val="both"/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sz w:val="20"/>
                <w:szCs w:val="20"/>
                <w:lang w:val="ka-GE"/>
              </w:rPr>
              <w:t xml:space="preserve">შეფასება 6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67" w:type="dxa"/>
            <w:vAlign w:val="center"/>
          </w:tcPr>
          <w:p w14:paraId="4FD6C555" w14:textId="3DBAD201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  <w:t xml:space="preserve">1</w:t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557" w:type="dxa"/>
          </w:tcPr>
          <w:p w14:paraId="7D5D3760" w14:textId="77777777">
            <w:pPr>
              <w:pBdr/>
              <w:spacing/>
              <w:ind/>
              <w:jc w:val="center"/>
              <w:rPr>
                <w:rFonts w:ascii="Sylfaen" w:hAnsi="Sylfaen"/>
                <w:b/>
                <w:sz w:val="20"/>
                <w:szCs w:val="20"/>
              </w:rPr>
            </w:pPr>
            <w:r>
              <w:rPr>
                <w:rFonts w:ascii="Sylfaen" w:hAnsi="Sylfaen"/>
                <w:b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2448" w:type="dxa"/>
          </w:tcPr>
          <w:p w14:paraId="51FE8F7C">
            <w:pPr>
              <w:pBdr/>
              <w:spacing/>
              <w:ind w:left="-59"/>
              <w:contextualSpacing w:val="false"/>
              <w:jc w:val="center"/>
              <w:rPr>
                <w:rFonts w:ascii="Sylfaen" w:hAnsi="Sylfaen" w:eastAsia="Merriweather" w:cs="Merriweather"/>
                <w:color w:val="auto"/>
                <w:sz w:val="20"/>
                <w:szCs w:val="20"/>
                <w:lang w:val="ka-GE"/>
              </w:rPr>
            </w:pPr>
            <w:r>
              <w:rPr>
                <w:rFonts w:ascii="Sylfaen" w:hAnsi="Sylfaen" w:eastAsia="Arial Unicode MS" w:cs="Arial Unicode MS"/>
                <w:b/>
                <w:color w:val="auto"/>
                <w:sz w:val="20"/>
                <w:szCs w:val="20"/>
                <w:lang w:val="ka-GE"/>
              </w:rPr>
              <w:t xml:space="preserve">პრაქტიკული დავალება - ვებგვერდის ინტერფეისის გაფორმება დიზაინის ხელსაწყოს საშუალებით</w:t>
            </w:r>
          </w:p>
        </w:tc>
        <w:tc>
          <w:tcPr>
            <w:tcBorders/>
            <w:tcW w:w="1442" w:type="dxa"/>
          </w:tcPr>
          <w:p w14:paraId="4C100791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701" w:type="dxa"/>
          </w:tcPr>
          <w:p w14:paraId="1DFF1C85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</w:r>
          </w:p>
        </w:tc>
        <w:tc>
          <w:tcPr>
            <w:shd w:val="clear" w:color="auto" w:fill="auto"/>
            <w:tcBorders/>
            <w:tcW w:w="1417" w:type="dxa"/>
          </w:tcPr>
          <w:p w14:paraId="5EF5E1CC" w14:textId="77777777">
            <w:pPr>
              <w:pBdr/>
              <w:spacing/>
              <w:ind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  <w:lang w:val="ka-GE"/>
              </w:rPr>
            </w:r>
          </w:p>
        </w:tc>
      </w:tr>
    </w:tbl>
    <w:p w14:paraId="6A43E11A" w14:textId="77777777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6CD6E228" w14:textId="0D149925">
      <w:pPr>
        <w:pBdr/>
        <w:tabs>
          <w:tab w:val="left" w:leader="none" w:pos="9435"/>
        </w:tabs>
        <w:spacing/>
        <w:ind/>
        <w:jc w:val="both"/>
        <w:rPr>
          <w:rFonts w:ascii="Sylfaen" w:hAnsi="Sylfaen" w:cs="Sylfaen"/>
          <w:b/>
          <w:lang w:val="ka-GE"/>
        </w:rPr>
      </w:pP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/>
      </w:r>
      <w:r>
        <w:rPr>
          <w:rFonts w:ascii="Sylfaen" w:hAnsi="Sylfaen" w:cs="Sylfaen"/>
          <w:b/>
          <w:lang w:val="ka-GE"/>
        </w:rPr>
        <w:t xml:space="preserve">მასწავლებელი</w:t>
      </w:r>
      <w:r>
        <w:rPr>
          <w:rFonts w:ascii="Sylfaen" w:hAnsi="Sylfaen" w:cs="Sylfaen"/>
          <w:b/>
          <w:lang w:val="ka-GE"/>
        </w:rPr>
        <w:t xml:space="preserve">: ლევან ჭუმბურიძე</w:t>
      </w:r>
      <w:r>
        <w:rPr>
          <w:rFonts w:ascii="Sylfaen" w:hAnsi="Sylfaen" w:cs="Sylfaen"/>
          <w:b/>
          <w:lang w:val="ka-GE"/>
        </w:rPr>
      </w:r>
      <w:r>
        <w:rPr>
          <w:rFonts w:ascii="Sylfaen" w:hAnsi="Sylfaen" w:cs="Sylfaen"/>
          <w:b/>
          <w:lang w:val="ka-GE"/>
        </w:rPr>
      </w:r>
    </w:p>
    <w:p w14:paraId="0AAF1058" w14:textId="77777777">
      <w:pPr>
        <w:pBdr/>
        <w:tabs>
          <w:tab w:val="left" w:leader="none" w:pos="9435"/>
        </w:tabs>
        <w:spacing/>
        <w:ind/>
        <w:jc w:val="both"/>
        <w:rPr>
          <w:b/>
          <w:lang w:val="ru-RU"/>
        </w:rPr>
      </w:pPr>
      <w:r>
        <w:rPr>
          <w:rFonts w:ascii="Sylfaen" w:hAnsi="Sylfaen" w:cs="Sylfaen"/>
          <w:b/>
          <w:lang w:val="ka-GE"/>
        </w:rPr>
        <w:t xml:space="preserve">შეთანხმებულია</w:t>
      </w:r>
      <w:r>
        <w:rPr>
          <w:b/>
          <w:lang w:val="ka-GE"/>
        </w:rPr>
        <w:t xml:space="preserve">:        სასწავლო პროცესის მენეჯერი  მ. დანელია</w:t>
      </w:r>
      <w:r>
        <w:rPr>
          <w:b/>
          <w:lang w:val="ru-RU"/>
        </w:rPr>
      </w:r>
      <w:r>
        <w:rPr>
          <w:b/>
          <w:lang w:val="ru-RU"/>
        </w:rPr>
      </w:r>
    </w:p>
    <w:p w14:paraId="06C2EA9B" w14:textId="77777777">
      <w:pPr>
        <w:pBdr/>
        <w:tabs>
          <w:tab w:val="left" w:leader="none" w:pos="2160"/>
        </w:tabs>
        <w:spacing/>
        <w:ind/>
        <w:rPr>
          <w:rFonts w:ascii="Sylfaen" w:hAnsi="Sylfaen"/>
          <w:lang w:val="ka-GE"/>
        </w:rPr>
      </w:pPr>
      <w:r>
        <w:rPr>
          <w:lang w:val="ru-RU"/>
        </w:rPr>
        <w:tab/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  <w:sectPr>
      <w:footnotePr/>
      <w:endnotePr/>
      <w:type w:val="nextPage"/>
      <w:pgSz w:h="12240" w:orient="landscape" w:w="15840"/>
      <w:pgMar w:top="1021" w:right="672" w:bottom="284" w:left="144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7D3CFEA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08676516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lfaen">
    <w:panose1 w:val="010A0502050306030303"/>
  </w:font>
  <w:font w:name="Calibri">
    <w:panose1 w:val="020F0502020204030204"/>
  </w:font>
  <w:font w:name="Merriweather">
    <w:panose1 w:val="00000500000000000000"/>
  </w:font>
  <w:font w:name="Courier New">
    <w:panose1 w:val="02070309020205020404"/>
  </w:font>
  <w:font w:name="Wingdings">
    <w:panose1 w:val="05000000000000000000"/>
  </w:font>
  <w:font w:name="Symbol">
    <w:panose1 w:val="05050102010706020507"/>
  </w:font>
  <w:font w:name="Tahoma">
    <w:panose1 w:val="020B06040305040402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44BC590D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B8743D6" w14:textId="77777777">
      <w:pPr>
        <w:pBdr/>
        <w:spacing w:after="0" w:line="240" w:lineRule="auto"/>
        <w:ind/>
        <w:rPr/>
      </w:pPr>
      <w:r>
        <w:continuationSeparator/>
      </w:r>
      <w:r/>
    </w:p>
  </w:footnote>
  <w:footnote w:id="2">
    <w:p w14:paraId="5196B3E2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მიეთითება შესაბამისი გარემო (</w:t>
      </w:r>
      <w:r>
        <w:rPr>
          <w:rFonts w:ascii="Sylfaen" w:hAnsi="Sylfaen"/>
        </w:rPr>
        <w:t xml:space="preserve">A, B, C, AB </w:t>
      </w:r>
      <w:r>
        <w:rPr>
          <w:rFonts w:ascii="Sylfaen" w:hAnsi="Sylfaen"/>
          <w:lang w:val="ka-GE"/>
        </w:rPr>
        <w:t xml:space="preserve">ინტეგრირებული</w:t>
      </w:r>
      <w:r>
        <w:rPr>
          <w:rFonts w:ascii="Sylfaen" w:hAnsi="Sylfaen"/>
        </w:rPr>
        <w:t xml:space="preserve">, AC</w:t>
      </w:r>
      <w:r>
        <w:rPr>
          <w:rFonts w:ascii="Sylfaen" w:hAnsi="Sylfaen"/>
          <w:lang w:val="ka-GE"/>
        </w:rPr>
        <w:t xml:space="preserve"> ინტეგრირებული)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3">
    <w:p w14:paraId="1D7FD4AC" w14:textId="77777777">
      <w:pPr>
        <w:pStyle w:val="1075"/>
        <w:pBdr/>
        <w:spacing/>
        <w:ind/>
        <w:rPr/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თემატიკასთან ერთად უნდა ჩაიწეროს ის აქტივობები, რომლითაც მასწავლებელი სტუდენტს შედეგზე გაიყვანს</w:t>
      </w:r>
      <w:r/>
    </w:p>
  </w:footnote>
  <w:footnote w:id="4">
    <w:p w14:paraId="4C0E8FB8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ამ გრაფაში ჩაიწერება ადაპტირებულ მოდულში მითითებული </w:t>
      </w:r>
      <w:r>
        <w:rPr>
          <w:rFonts w:ascii="Sylfaen" w:hAnsi="Sylfaen"/>
          <w:lang w:val="ka-GE"/>
        </w:rPr>
        <w:t xml:space="preserve">ლიტერატურა</w:t>
      </w:r>
      <w:r>
        <w:rPr>
          <w:rFonts w:ascii="Sylfaen" w:hAnsi="Sylfaen"/>
          <w:lang w:val="ka-GE"/>
        </w:rPr>
        <w:t xml:space="preserve"> </w:t>
      </w:r>
      <w:r>
        <w:rPr>
          <w:rFonts w:ascii="Sylfaen" w:hAnsi="Sylfaen"/>
          <w:lang w:val="ka-GE"/>
        </w:rPr>
        <w:t xml:space="preserve">თემატიკის შესაბამისი გვერდების მითითებით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5">
    <w:p w14:paraId="65AC5963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საკ</w:t>
      </w:r>
      <w:r>
        <w:rPr>
          <w:rFonts w:ascii="Sylfaen" w:hAnsi="Sylfaen"/>
          <w:lang w:val="ka-GE"/>
        </w:rPr>
        <w:t xml:space="preserve">ო</w:t>
      </w:r>
      <w:r>
        <w:rPr>
          <w:rFonts w:ascii="Sylfaen" w:hAnsi="Sylfaen"/>
          <w:lang w:val="ka-GE"/>
        </w:rPr>
        <w:t xml:space="preserve">ნტაქტო საათების აღნიშვნისას გამოიყენება შემოკლებული აღნიშვნები: </w:t>
      </w:r>
      <w:r>
        <w:rPr>
          <w:rFonts w:ascii="Sylfaen" w:hAnsi="Sylfaen"/>
          <w:b/>
          <w:lang w:val="ka-GE"/>
        </w:rPr>
        <w:t xml:space="preserve">თ. - თეორია, პ. - პრაქტიკული, შ. - შეფასება</w:t>
      </w:r>
      <w:r>
        <w:rPr>
          <w:rFonts w:ascii="Sylfaen" w:hAnsi="Sylfaen"/>
          <w:b/>
        </w:rPr>
        <w:t xml:space="preserve">,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  <w:footnote w:id="6">
    <w:p w14:paraId="1FEE191D" w14:textId="77777777">
      <w:pPr>
        <w:pStyle w:val="1075"/>
        <w:pBdr/>
        <w:spacing/>
        <w:ind/>
        <w:rPr>
          <w:rFonts w:ascii="Sylfaen" w:hAnsi="Sylfaen"/>
          <w:lang w:val="ka-GE"/>
        </w:rPr>
      </w:pPr>
      <w:r>
        <w:rPr>
          <w:rStyle w:val="1077"/>
        </w:rPr>
        <w:footnoteRef/>
      </w:r>
      <w:r>
        <w:t xml:space="preserve"> </w:t>
      </w:r>
      <w:r>
        <w:rPr>
          <w:rFonts w:ascii="Sylfaen" w:hAnsi="Sylfaen"/>
          <w:lang w:val="ka-GE"/>
        </w:rPr>
        <w:t xml:space="preserve">დამოუკიდებელი</w:t>
      </w:r>
      <w:r>
        <w:rPr>
          <w:rFonts w:ascii="Sylfaen" w:hAnsi="Sylfaen"/>
          <w:lang w:val="ka-GE"/>
        </w:rPr>
        <w:t xml:space="preserve"> საათების აღნიშვნისას გამოიყენება შემოკლებული </w:t>
      </w:r>
      <w:r>
        <w:rPr>
          <w:rFonts w:ascii="Sylfaen" w:hAnsi="Sylfaen"/>
          <w:lang w:val="ka-GE"/>
        </w:rPr>
        <w:t xml:space="preserve">აღნიშვნა</w:t>
      </w:r>
      <w:r>
        <w:rPr>
          <w:rFonts w:ascii="Sylfaen" w:hAnsi="Sylfaen"/>
          <w:lang w:val="ka-GE"/>
        </w:rPr>
        <w:t xml:space="preserve">:</w:t>
      </w:r>
      <w:r>
        <w:rPr>
          <w:rFonts w:ascii="Sylfaen" w:hAnsi="Sylfaen"/>
          <w:b/>
        </w:rPr>
        <w:t xml:space="preserve"> </w:t>
      </w:r>
      <w:r>
        <w:rPr>
          <w:rFonts w:ascii="Sylfaen" w:hAnsi="Sylfaen"/>
          <w:b/>
          <w:lang w:val="ka-GE"/>
        </w:rPr>
        <w:t xml:space="preserve">დ. - დამოუკიდებელი</w:t>
      </w:r>
      <w:r>
        <w:rPr>
          <w:rFonts w:ascii="Sylfaen" w:hAnsi="Sylfaen"/>
          <w:lang w:val="ka-GE"/>
        </w:rPr>
      </w:r>
      <w:r>
        <w:rPr>
          <w:rFonts w:ascii="Sylfaen" w:hAnsi="Sylfaen"/>
          <w:lang w:val="ka-GE"/>
        </w:rPr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9744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2BF0EF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">
    <w:nsid w:val="083E73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82F79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9FC609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2FD4044E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>
        <w:rFonts w:ascii="Merriweather" w:hAnsi="Merriweather" w:eastAsia="Merriweather" w:cs="Merriweather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6">
    <w:nsid w:val="34747BB6"/>
    <w:lvl w:ilvl="0">
      <w:isLgl w:val="false"/>
      <w:lvlJc w:val="left"/>
      <w:lvlText w:val="%1."/>
      <w:numFmt w:val="decimal"/>
      <w:pPr>
        <w:pBdr/>
        <w:spacing/>
        <w:ind w:hanging="73" w:left="28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646" w:left="100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546" w:left="172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086" w:left="244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06" w:left="316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06" w:left="388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246" w:left="460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4966" w:left="532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866" w:left="6046"/>
      </w:pPr>
      <w:rPr/>
      <w:start w:val="1"/>
      <w:suff w:val="tab"/>
    </w:lvl>
  </w:abstractNum>
  <w:abstractNum w:abstractNumId="7">
    <w:nsid w:val="36B4526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6E24A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380C6A1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3BD93390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11">
    <w:nsid w:val="48AA559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93404C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AD3431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BF775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4CE06CB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4FB3413C"/>
    <w:lvl w:ilvl="0">
      <w:isLgl w:val="false"/>
      <w:lvlJc w:val="left"/>
      <w:lvlText w:val=""/>
      <w:numFmt w:val="bullet"/>
      <w:pPr>
        <w:pBdr/>
        <w:spacing/>
        <w:ind w:hanging="360" w:left="9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4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1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5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2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0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735"/>
      </w:pPr>
      <w:rPr>
        <w:rFonts w:hint="default" w:ascii="Wingdings" w:hAnsi="Wingdings"/>
      </w:rPr>
      <w:start w:val="1"/>
      <w:suff w:val="tab"/>
    </w:lvl>
  </w:abstractNum>
  <w:abstractNum w:abstractNumId="17">
    <w:nsid w:val="50C424A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85B621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58700658"/>
    <w:lvl w:ilvl="0">
      <w:isLgl w:val="false"/>
      <w:lvlJc w:val="left"/>
      <w:lvlText w:val="%1."/>
      <w:numFmt w:val="decimal"/>
      <w:pPr>
        <w:pBdr/>
        <w:spacing/>
        <w:ind w:firstLine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108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9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52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324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414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68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40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6300" w:left="6480"/>
      </w:pPr>
      <w:rPr/>
      <w:start w:val="1"/>
      <w:suff w:val="tab"/>
    </w:lvl>
  </w:abstractNum>
  <w:abstractNum w:abstractNumId="20">
    <w:nsid w:val="588F339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nsid w:val="5B1579A5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664D684D"/>
    <w:lvl w:ilvl="0">
      <w:isLgl w:val="false"/>
      <w:lvlJc w:val="left"/>
      <w:lvlText w:val="%1."/>
      <w:numFmt w:val="decimal"/>
      <w:pPr>
        <w:pBdr/>
        <w:spacing/>
        <w:ind w:firstLine="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firstLine="72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firstLine="162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21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firstLine="288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firstLine="37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432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firstLine="504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firstLine="5940" w:left="6120"/>
      </w:pPr>
      <w:rPr/>
      <w:start w:val="1"/>
      <w:suff w:val="tab"/>
    </w:lvl>
  </w:abstractNum>
  <w:abstractNum w:abstractNumId="23">
    <w:nsid w:val="6C4E2C4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nsid w:val="6E3C424B"/>
    <w:lvl w:ilvl="0">
      <w:isLgl w:val="false"/>
      <w:lvlJc w:val="left"/>
      <w:lvlText w:val="%1."/>
      <w:numFmt w:val="decimal"/>
      <w:pPr>
        <w:pBdr/>
        <w:spacing/>
        <w:ind w:firstLine="0" w:left="360"/>
      </w:pPr>
      <w:rPr>
        <w:i w:val="0"/>
        <w:color w:val="000000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firstLine="360" w:left="78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firstLine="720" w:left="144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firstLine="1080" w:left="180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firstLine="1440" w:left="252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firstLine="1800" w:left="32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firstLine="2160" w:left="36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firstLine="2520" w:left="432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firstLine="2880" w:left="4680"/>
      </w:pPr>
      <w:rPr/>
      <w:start w:val="1"/>
      <w:suff w:val="tab"/>
    </w:lvl>
  </w:abstractNum>
  <w:abstractNum w:abstractNumId="25">
    <w:nsid w:val="71BA4A9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731545A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nsid w:val="73222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color w:val="auto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73BF445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74D6056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76C068E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ADD5551"/>
    <w:lvl w:ilvl="0">
      <w:isLgl w:val="false"/>
      <w:lvlJc w:val="left"/>
      <w:lvlText w:val=""/>
      <w:numFmt w:val="bullet"/>
      <w:pPr>
        <w:pBdr/>
        <w:spacing/>
        <w:ind w:hanging="360" w:left="171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3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15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87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59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1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3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75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470"/>
      </w:pPr>
      <w:rPr>
        <w:rFonts w:hint="default" w:ascii="Wingdings" w:hAnsi="Wingdings"/>
      </w:rPr>
      <w:start w:val="1"/>
      <w:suff w:val="tab"/>
    </w:lvl>
  </w:abstractNum>
  <w:abstractNum w:abstractNumId="3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3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6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49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0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1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2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3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4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5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6">
    <w:nsid w:val="3D7501F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7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abstractNum w:abstractNumId="58">
    <w:nsid w:val="64D9178C"/>
    <w:lvl w:ilvl="0">
      <w:isLgl w:val="false"/>
      <w:lvlJc w:val="left"/>
      <w:lvlText w:val=""/>
      <w:numFmt w:val="bullet"/>
      <w:pPr>
        <w:pBdr/>
        <w:spacing/>
        <w:ind w:hanging="360" w:left="66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381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0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2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41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26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98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01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21"/>
      </w:pPr>
      <w:rPr>
        <w:rFonts w:hint="default" w:ascii="Wingdings" w:hAnsi="Wingdings"/>
      </w:rPr>
      <w:start w:val="1"/>
      <w:suff w:val="tab"/>
    </w:lvl>
  </w:abstractNum>
  <w:num w:numId="1">
    <w:abstractNumId w:val="4"/>
  </w:num>
  <w:num w:numId="2">
    <w:abstractNumId w:val="18"/>
  </w:num>
  <w:num w:numId="3">
    <w:abstractNumId w:val="31"/>
  </w:num>
  <w:num w:numId="4">
    <w:abstractNumId w:val="13"/>
  </w:num>
  <w:num w:numId="5">
    <w:abstractNumId w:val="26"/>
  </w:num>
  <w:num w:numId="6">
    <w:abstractNumId w:val="3"/>
  </w:num>
  <w:num w:numId="7">
    <w:abstractNumId w:val="27"/>
  </w:num>
  <w:num w:numId="8">
    <w:abstractNumId w:val="17"/>
  </w:num>
  <w:num w:numId="9">
    <w:abstractNumId w:val="11"/>
  </w:num>
  <w:num w:numId="10">
    <w:abstractNumId w:val="28"/>
  </w:num>
  <w:num w:numId="11">
    <w:abstractNumId w:val="15"/>
  </w:num>
  <w:num w:numId="12">
    <w:abstractNumId w:val="2"/>
  </w:num>
  <w:num w:numId="13">
    <w:abstractNumId w:val="0"/>
  </w:num>
  <w:num w:numId="14">
    <w:abstractNumId w:val="25"/>
  </w:num>
  <w:num w:numId="15">
    <w:abstractNumId w:val="23"/>
  </w:num>
  <w:num w:numId="16">
    <w:abstractNumId w:val="30"/>
  </w:num>
  <w:num w:numId="17">
    <w:abstractNumId w:val="29"/>
  </w:num>
  <w:num w:numId="18">
    <w:abstractNumId w:val="14"/>
  </w:num>
  <w:num w:numId="19">
    <w:abstractNumId w:val="8"/>
  </w:num>
  <w:num w:numId="20">
    <w:abstractNumId w:val="20"/>
  </w:num>
  <w:num w:numId="21">
    <w:abstractNumId w:val="21"/>
  </w:num>
  <w:num w:numId="22">
    <w:abstractNumId w:val="7"/>
  </w:num>
  <w:num w:numId="23">
    <w:abstractNumId w:val="12"/>
  </w:num>
  <w:num w:numId="24">
    <w:abstractNumId w:val="16"/>
  </w:num>
  <w:num w:numId="25">
    <w:abstractNumId w:val="19"/>
  </w:num>
  <w:num w:numId="26">
    <w:abstractNumId w:val="6"/>
  </w:num>
  <w:num w:numId="27">
    <w:abstractNumId w:val="5"/>
  </w:num>
  <w:num w:numId="28">
    <w:abstractNumId w:val="24"/>
  </w:num>
  <w:num w:numId="29">
    <w:abstractNumId w:val="1"/>
  </w:num>
  <w:num w:numId="30">
    <w:abstractNumId w:val="10"/>
  </w:num>
  <w:num w:numId="31">
    <w:abstractNumId w:val="22"/>
  </w:num>
  <w:num w:numId="32">
    <w:abstractNumId w:val="9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88">
    <w:name w:val="Table Grid Light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Plain Table 1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Plain Table 2"/>
    <w:basedOn w:val="106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Plain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Plain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Plain Table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Grid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Grid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Grid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Grid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Grid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4 - Accent 1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4 - Accent 2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4 - Accent 3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4 - Accent 4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4 - Accent 5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4 - Accent 6"/>
    <w:basedOn w:val="10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5 Dark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5 Dark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1 Light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1 Light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1 Light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1 Light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1 Light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st Table 1 Light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st Table 1 Light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st Table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st Table 2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st Table 2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2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2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2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2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3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3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3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3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3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3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4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4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4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4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4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4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5 Dark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5 Dark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5 Dark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5 Dark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5 Dark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5 Dark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5 Dark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6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6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6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6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6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6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6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7 Colorful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7 Colorful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7 Colorful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7 Colorful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7 Colorful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7 Colorful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7 Colorful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Bordered &amp; Lined - Accent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Bordered &amp; Lined - Accent 1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Bordered &amp; Lined - Accent 2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Bordered &amp; Lined - Accent 3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Bordered &amp; Lined - Accent 4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Bordered &amp; Lined - Accent 5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Bordered &amp; Lined - Accent 6"/>
    <w:basedOn w:val="10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Bordered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Bordered - Accent 1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Bordered - Accent 2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- Accent 3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- Accent 4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- Accent 5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- Accent 6"/>
    <w:basedOn w:val="10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13">
    <w:name w:val="Heading 1"/>
    <w:basedOn w:val="1061"/>
    <w:next w:val="1061"/>
    <w:link w:val="10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14">
    <w:name w:val="Heading 2"/>
    <w:basedOn w:val="1061"/>
    <w:next w:val="1061"/>
    <w:link w:val="10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15">
    <w:name w:val="Heading 3"/>
    <w:basedOn w:val="1061"/>
    <w:next w:val="1061"/>
    <w:link w:val="10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16">
    <w:name w:val="Heading 4"/>
    <w:basedOn w:val="1061"/>
    <w:next w:val="1061"/>
    <w:link w:val="10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17">
    <w:name w:val="Heading 5"/>
    <w:basedOn w:val="1061"/>
    <w:next w:val="1061"/>
    <w:link w:val="10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18">
    <w:name w:val="Heading 6"/>
    <w:basedOn w:val="1061"/>
    <w:next w:val="1061"/>
    <w:link w:val="10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19">
    <w:name w:val="Heading 7"/>
    <w:basedOn w:val="1061"/>
    <w:next w:val="1061"/>
    <w:link w:val="10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20">
    <w:name w:val="Heading 8"/>
    <w:basedOn w:val="1061"/>
    <w:next w:val="1061"/>
    <w:link w:val="10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21">
    <w:name w:val="Heading 9"/>
    <w:basedOn w:val="1061"/>
    <w:next w:val="1061"/>
    <w:link w:val="10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22">
    <w:name w:val="Heading 1 Char"/>
    <w:basedOn w:val="1062"/>
    <w:link w:val="10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23">
    <w:name w:val="Heading 2 Char"/>
    <w:basedOn w:val="1062"/>
    <w:link w:val="10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24">
    <w:name w:val="Heading 3 Char"/>
    <w:basedOn w:val="1062"/>
    <w:link w:val="10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25">
    <w:name w:val="Heading 4 Char"/>
    <w:basedOn w:val="1062"/>
    <w:link w:val="10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26">
    <w:name w:val="Heading 5 Char"/>
    <w:basedOn w:val="1062"/>
    <w:link w:val="10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27">
    <w:name w:val="Heading 6 Char"/>
    <w:basedOn w:val="1062"/>
    <w:link w:val="10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28">
    <w:name w:val="Heading 7 Char"/>
    <w:basedOn w:val="1062"/>
    <w:link w:val="10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29">
    <w:name w:val="Heading 8 Char"/>
    <w:basedOn w:val="1062"/>
    <w:link w:val="10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30">
    <w:name w:val="Heading 9 Char"/>
    <w:basedOn w:val="1062"/>
    <w:link w:val="10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Title"/>
    <w:basedOn w:val="1061"/>
    <w:next w:val="1061"/>
    <w:link w:val="10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32">
    <w:name w:val="Title Char"/>
    <w:basedOn w:val="1062"/>
    <w:link w:val="10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33">
    <w:name w:val="Subtitle"/>
    <w:basedOn w:val="1061"/>
    <w:next w:val="1061"/>
    <w:link w:val="10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34">
    <w:name w:val="Subtitle Char"/>
    <w:basedOn w:val="1062"/>
    <w:link w:val="10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35">
    <w:name w:val="Quote"/>
    <w:basedOn w:val="1061"/>
    <w:next w:val="1061"/>
    <w:link w:val="10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36">
    <w:name w:val="Quote Char"/>
    <w:basedOn w:val="1062"/>
    <w:link w:val="10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37">
    <w:name w:val="Intense Emphasis"/>
    <w:basedOn w:val="10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8">
    <w:name w:val="Intense Quote"/>
    <w:basedOn w:val="1061"/>
    <w:next w:val="1061"/>
    <w:link w:val="10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39">
    <w:name w:val="Intense Quote Char"/>
    <w:basedOn w:val="1062"/>
    <w:link w:val="10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40">
    <w:name w:val="Intense Reference"/>
    <w:basedOn w:val="10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41">
    <w:name w:val="No Spacing"/>
    <w:basedOn w:val="1061"/>
    <w:uiPriority w:val="1"/>
    <w:qFormat/>
    <w:pPr>
      <w:pBdr/>
      <w:spacing w:after="0" w:line="240" w:lineRule="auto"/>
      <w:ind/>
    </w:pPr>
  </w:style>
  <w:style w:type="character" w:styleId="1042">
    <w:name w:val="Subtle Emphasis"/>
    <w:basedOn w:val="10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43">
    <w:name w:val="Strong"/>
    <w:basedOn w:val="1062"/>
    <w:uiPriority w:val="22"/>
    <w:qFormat/>
    <w:pPr>
      <w:pBdr/>
      <w:spacing/>
      <w:ind/>
    </w:pPr>
    <w:rPr>
      <w:b/>
      <w:bCs/>
    </w:rPr>
  </w:style>
  <w:style w:type="character" w:styleId="1044">
    <w:name w:val="Subtle Reference"/>
    <w:basedOn w:val="10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45">
    <w:name w:val="Book Title"/>
    <w:basedOn w:val="10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46">
    <w:name w:val="Caption"/>
    <w:basedOn w:val="1061"/>
    <w:next w:val="10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047">
    <w:name w:val="Hyperlink"/>
    <w:basedOn w:val="10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48">
    <w:name w:val="FollowedHyperlink"/>
    <w:basedOn w:val="10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49">
    <w:name w:val="toc 1"/>
    <w:basedOn w:val="1061"/>
    <w:next w:val="1061"/>
    <w:uiPriority w:val="39"/>
    <w:unhideWhenUsed/>
    <w:pPr>
      <w:pBdr/>
      <w:spacing w:after="100"/>
      <w:ind/>
    </w:pPr>
  </w:style>
  <w:style w:type="paragraph" w:styleId="1050">
    <w:name w:val="toc 2"/>
    <w:basedOn w:val="1061"/>
    <w:next w:val="1061"/>
    <w:uiPriority w:val="39"/>
    <w:unhideWhenUsed/>
    <w:pPr>
      <w:pBdr/>
      <w:spacing w:after="100"/>
      <w:ind w:left="220"/>
    </w:pPr>
  </w:style>
  <w:style w:type="paragraph" w:styleId="1051">
    <w:name w:val="toc 3"/>
    <w:basedOn w:val="1061"/>
    <w:next w:val="1061"/>
    <w:uiPriority w:val="39"/>
    <w:unhideWhenUsed/>
    <w:pPr>
      <w:pBdr/>
      <w:spacing w:after="100"/>
      <w:ind w:left="440"/>
    </w:pPr>
  </w:style>
  <w:style w:type="paragraph" w:styleId="1052">
    <w:name w:val="toc 4"/>
    <w:basedOn w:val="1061"/>
    <w:next w:val="1061"/>
    <w:uiPriority w:val="39"/>
    <w:unhideWhenUsed/>
    <w:pPr>
      <w:pBdr/>
      <w:spacing w:after="100"/>
      <w:ind w:left="660"/>
    </w:pPr>
  </w:style>
  <w:style w:type="paragraph" w:styleId="1053">
    <w:name w:val="toc 5"/>
    <w:basedOn w:val="1061"/>
    <w:next w:val="1061"/>
    <w:uiPriority w:val="39"/>
    <w:unhideWhenUsed/>
    <w:pPr>
      <w:pBdr/>
      <w:spacing w:after="100"/>
      <w:ind w:left="880"/>
    </w:pPr>
  </w:style>
  <w:style w:type="paragraph" w:styleId="1054">
    <w:name w:val="toc 6"/>
    <w:basedOn w:val="1061"/>
    <w:next w:val="1061"/>
    <w:uiPriority w:val="39"/>
    <w:unhideWhenUsed/>
    <w:pPr>
      <w:pBdr/>
      <w:spacing w:after="100"/>
      <w:ind w:left="1100"/>
    </w:pPr>
  </w:style>
  <w:style w:type="paragraph" w:styleId="1055">
    <w:name w:val="toc 7"/>
    <w:basedOn w:val="1061"/>
    <w:next w:val="1061"/>
    <w:uiPriority w:val="39"/>
    <w:unhideWhenUsed/>
    <w:pPr>
      <w:pBdr/>
      <w:spacing w:after="100"/>
      <w:ind w:left="1320"/>
    </w:pPr>
  </w:style>
  <w:style w:type="paragraph" w:styleId="1056">
    <w:name w:val="toc 8"/>
    <w:basedOn w:val="1061"/>
    <w:next w:val="1061"/>
    <w:uiPriority w:val="39"/>
    <w:unhideWhenUsed/>
    <w:pPr>
      <w:pBdr/>
      <w:spacing w:after="100"/>
      <w:ind w:left="1540"/>
    </w:pPr>
  </w:style>
  <w:style w:type="paragraph" w:styleId="1057">
    <w:name w:val="toc 9"/>
    <w:basedOn w:val="1061"/>
    <w:next w:val="1061"/>
    <w:uiPriority w:val="39"/>
    <w:unhideWhenUsed/>
    <w:pPr>
      <w:pBdr/>
      <w:spacing w:after="100"/>
      <w:ind w:left="1760"/>
    </w:pPr>
  </w:style>
  <w:style w:type="character" w:styleId="1058">
    <w:name w:val="Placeholder Text"/>
    <w:basedOn w:val="1062"/>
    <w:uiPriority w:val="99"/>
    <w:semiHidden/>
    <w:pPr>
      <w:pBdr/>
      <w:spacing/>
      <w:ind/>
    </w:pPr>
    <w:rPr>
      <w:color w:val="666666"/>
    </w:rPr>
  </w:style>
  <w:style w:type="paragraph" w:styleId="1059">
    <w:name w:val="TOC Heading"/>
    <w:uiPriority w:val="39"/>
    <w:unhideWhenUsed/>
    <w:pPr>
      <w:pBdr/>
      <w:spacing/>
      <w:ind/>
    </w:pPr>
  </w:style>
  <w:style w:type="paragraph" w:styleId="1060">
    <w:name w:val="table of figures"/>
    <w:basedOn w:val="1061"/>
    <w:next w:val="1061"/>
    <w:uiPriority w:val="99"/>
    <w:unhideWhenUsed/>
    <w:pPr>
      <w:pBdr/>
      <w:spacing w:after="0" w:afterAutospacing="0"/>
      <w:ind/>
    </w:pPr>
  </w:style>
  <w:style w:type="paragraph" w:styleId="1061" w:default="1">
    <w:name w:val="Normal"/>
    <w:qFormat/>
    <w:pPr>
      <w:pBdr/>
      <w:spacing/>
      <w:ind/>
    </w:pPr>
  </w:style>
  <w:style w:type="character" w:styleId="1062" w:default="1">
    <w:name w:val="Default Paragraph Font"/>
    <w:uiPriority w:val="1"/>
    <w:semiHidden/>
    <w:unhideWhenUsed/>
    <w:pPr>
      <w:pBdr/>
      <w:spacing/>
      <w:ind/>
    </w:pPr>
  </w:style>
  <w:style w:type="table" w:styleId="106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64" w:default="1">
    <w:name w:val="No List"/>
    <w:uiPriority w:val="99"/>
    <w:semiHidden/>
    <w:unhideWhenUsed/>
    <w:pPr>
      <w:pBdr/>
      <w:spacing/>
      <w:ind/>
    </w:pPr>
  </w:style>
  <w:style w:type="table" w:styleId="1065">
    <w:name w:val="Table Grid"/>
    <w:basedOn w:val="1063"/>
    <w:uiPriority w:val="59"/>
    <w:pPr>
      <w:pBdr/>
      <w:spacing w:after="0" w:line="240" w:lineRule="auto"/>
      <w:ind/>
    </w:pPr>
    <w:rPr>
      <w:rFonts w:eastAsiaTheme="minorHAnsi"/>
    </w:r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6">
    <w:name w:val="List Paragraph"/>
    <w:basedOn w:val="1061"/>
    <w:link w:val="1072"/>
    <w:uiPriority w:val="34"/>
    <w:qFormat/>
    <w:pPr>
      <w:pBdr/>
      <w:spacing/>
      <w:ind w:left="720"/>
      <w:contextualSpacing w:val="true"/>
    </w:pPr>
  </w:style>
  <w:style w:type="paragraph" w:styleId="1067">
    <w:name w:val="Header"/>
    <w:basedOn w:val="1061"/>
    <w:link w:val="10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8" w:customStyle="1">
    <w:name w:val="Header Char"/>
    <w:basedOn w:val="1062"/>
    <w:link w:val="1067"/>
    <w:uiPriority w:val="99"/>
    <w:pPr>
      <w:pBdr/>
      <w:spacing/>
      <w:ind/>
    </w:pPr>
  </w:style>
  <w:style w:type="paragraph" w:styleId="1069">
    <w:name w:val="Footer"/>
    <w:basedOn w:val="1061"/>
    <w:link w:val="10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70" w:customStyle="1">
    <w:name w:val="Footer Char"/>
    <w:basedOn w:val="1062"/>
    <w:link w:val="1069"/>
    <w:uiPriority w:val="99"/>
    <w:pPr>
      <w:pBdr/>
      <w:spacing/>
      <w:ind/>
    </w:pPr>
  </w:style>
  <w:style w:type="character" w:styleId="1071">
    <w:name w:val="Emphasis"/>
    <w:basedOn w:val="1062"/>
    <w:uiPriority w:val="20"/>
    <w:qFormat/>
    <w:pPr>
      <w:pBdr/>
      <w:spacing/>
      <w:ind/>
    </w:pPr>
    <w:rPr>
      <w:i/>
      <w:iCs/>
    </w:rPr>
  </w:style>
  <w:style w:type="character" w:styleId="1072" w:customStyle="1">
    <w:name w:val="List Paragraph Char"/>
    <w:link w:val="1066"/>
    <w:uiPriority w:val="34"/>
    <w:qFormat/>
    <w:pPr>
      <w:pBdr/>
      <w:spacing/>
      <w:ind/>
    </w:pPr>
  </w:style>
  <w:style w:type="paragraph" w:styleId="1073">
    <w:name w:val="Balloon Text"/>
    <w:basedOn w:val="1061"/>
    <w:link w:val="1074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1074" w:customStyle="1">
    <w:name w:val="Balloon Text Char"/>
    <w:basedOn w:val="1062"/>
    <w:link w:val="1073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1075">
    <w:name w:val="footnote text"/>
    <w:basedOn w:val="1061"/>
    <w:link w:val="10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6" w:customStyle="1">
    <w:name w:val="Footnote Text Char"/>
    <w:basedOn w:val="1062"/>
    <w:link w:val="1075"/>
    <w:uiPriority w:val="99"/>
    <w:semiHidden/>
    <w:pPr>
      <w:pBdr/>
      <w:spacing/>
      <w:ind/>
    </w:pPr>
    <w:rPr>
      <w:sz w:val="20"/>
      <w:szCs w:val="20"/>
    </w:rPr>
  </w:style>
  <w:style w:type="character" w:styleId="1077">
    <w:name w:val="footnote reference"/>
    <w:basedOn w:val="1062"/>
    <w:uiPriority w:val="99"/>
    <w:semiHidden/>
    <w:unhideWhenUsed/>
    <w:pPr>
      <w:pBdr/>
      <w:spacing/>
      <w:ind/>
    </w:pPr>
    <w:rPr>
      <w:vertAlign w:val="superscript"/>
    </w:rPr>
  </w:style>
  <w:style w:type="paragraph" w:styleId="1078">
    <w:name w:val="endnote text"/>
    <w:basedOn w:val="1061"/>
    <w:link w:val="10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79" w:customStyle="1">
    <w:name w:val="Endnote Text Char"/>
    <w:basedOn w:val="1062"/>
    <w:link w:val="1078"/>
    <w:uiPriority w:val="99"/>
    <w:semiHidden/>
    <w:pPr>
      <w:pBdr/>
      <w:spacing/>
      <w:ind/>
    </w:pPr>
    <w:rPr>
      <w:sz w:val="20"/>
      <w:szCs w:val="20"/>
    </w:rPr>
  </w:style>
  <w:style w:type="character" w:styleId="1080">
    <w:name w:val="endnote reference"/>
    <w:basedOn w:val="1062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customXml" Target="../customXml/item1.xml"/><Relationship Id="rId10" Type="http://schemas.openxmlformats.org/officeDocument/2006/relationships/hyperlink" Target="http://vet.ge/wp-content/uploads/2015/08/studentis-saxelmzgvanelo-web-interfeisis-developeri.pdf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C9A90DC7-1420-49CC-B875-03062FA442D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Home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revision>46</cp:revision>
  <dcterms:created xsi:type="dcterms:W3CDTF">2018-11-21T09:37:00Z</dcterms:created>
  <dcterms:modified xsi:type="dcterms:W3CDTF">2026-04-18T14:04:15Z</dcterms:modified>
</cp:coreProperties>
</file>