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6CC" w:rsidRDefault="00F4541F" w:rsidP="00F4541F">
      <w:pPr>
        <w:pStyle w:val="Title"/>
      </w:pPr>
      <w:r>
        <w:t>Instrument Toolkit</w:t>
      </w:r>
      <w:r w:rsidR="00C019B3">
        <w:t xml:space="preserve"> Program</w:t>
      </w:r>
      <w:r>
        <w:t xml:space="preserve"> Overview</w:t>
      </w:r>
    </w:p>
    <w:p w:rsidR="00C019B3" w:rsidRDefault="00C019B3" w:rsidP="00C019B3"/>
    <w:p w:rsidR="00C019B3" w:rsidRDefault="00C019B3" w:rsidP="00C019B3">
      <w:r>
        <w:t>The Instrument Toolkit Program has been created to support the development of high quality monitoring devices based on commonly available hardware and utilizing VDAB dataflow programming and customized nodes for instrument construction.</w:t>
      </w:r>
    </w:p>
    <w:p w:rsidR="00822F53" w:rsidRDefault="00822F53" w:rsidP="00C019B3">
      <w:r>
        <w:t>While appropriate for building low-cost monitoring instruments and stations, some of the capabilities would enhance the performance of higher-cost commercially built stations.</w:t>
      </w:r>
    </w:p>
    <w:p w:rsidR="0023767B" w:rsidRDefault="0023767B" w:rsidP="0023767B">
      <w:pPr>
        <w:pStyle w:val="Heading2"/>
      </w:pPr>
    </w:p>
    <w:p w:rsidR="0023767B" w:rsidRDefault="0023767B" w:rsidP="0023767B">
      <w:pPr>
        <w:pStyle w:val="Heading2"/>
      </w:pPr>
    </w:p>
    <w:p w:rsidR="00C019B3" w:rsidRDefault="00822F53" w:rsidP="0023767B">
      <w:pPr>
        <w:pStyle w:val="Heading2"/>
      </w:pPr>
      <w:r>
        <w:t>Enhanced Value</w:t>
      </w:r>
    </w:p>
    <w:p w:rsidR="00822F53" w:rsidRPr="00822F53" w:rsidRDefault="00822F53" w:rsidP="00822F53"/>
    <w:p w:rsidR="00822F53" w:rsidRDefault="00822F53" w:rsidP="0023767B">
      <w:r>
        <w:t>Incorporating VDAB and elements of the toolkit provides the following benefits for all instruments.</w:t>
      </w:r>
    </w:p>
    <w:tbl>
      <w:tblPr>
        <w:tblStyle w:val="TableGrid"/>
        <w:tblW w:w="0" w:type="auto"/>
        <w:tblLook w:val="04A0" w:firstRow="1" w:lastRow="0" w:firstColumn="1" w:lastColumn="0" w:noHBand="0" w:noVBand="1"/>
      </w:tblPr>
      <w:tblGrid>
        <w:gridCol w:w="3078"/>
        <w:gridCol w:w="6390"/>
      </w:tblGrid>
      <w:tr w:rsidR="0023767B" w:rsidTr="0023767B">
        <w:tc>
          <w:tcPr>
            <w:tcW w:w="3078" w:type="dxa"/>
            <w:shd w:val="clear" w:color="auto" w:fill="C6D9F1" w:themeFill="text2" w:themeFillTint="33"/>
          </w:tcPr>
          <w:p w:rsidR="0023767B" w:rsidRDefault="0023767B" w:rsidP="000B2DA1">
            <w:r>
              <w:t>Value Area</w:t>
            </w:r>
          </w:p>
        </w:tc>
        <w:tc>
          <w:tcPr>
            <w:tcW w:w="6390" w:type="dxa"/>
            <w:shd w:val="clear" w:color="auto" w:fill="C6D9F1" w:themeFill="text2" w:themeFillTint="33"/>
          </w:tcPr>
          <w:p w:rsidR="0023767B" w:rsidRDefault="0023767B" w:rsidP="000B2DA1">
            <w:r>
              <w:t>Details</w:t>
            </w:r>
          </w:p>
        </w:tc>
      </w:tr>
      <w:tr w:rsidR="0023767B" w:rsidTr="0023767B">
        <w:tc>
          <w:tcPr>
            <w:tcW w:w="3078" w:type="dxa"/>
          </w:tcPr>
          <w:p w:rsidR="0023767B" w:rsidRDefault="0023767B" w:rsidP="000B2DA1">
            <w:r>
              <w:t>Remote Management and Control</w:t>
            </w:r>
          </w:p>
        </w:tc>
        <w:tc>
          <w:tcPr>
            <w:tcW w:w="6390" w:type="dxa"/>
          </w:tcPr>
          <w:p w:rsidR="0023767B" w:rsidRDefault="0023767B" w:rsidP="000B2DA1">
            <w:r>
              <w:t>VDAB provides complete control and management of the monitoring system which is easily customized with flows.</w:t>
            </w:r>
          </w:p>
        </w:tc>
      </w:tr>
      <w:tr w:rsidR="0023767B" w:rsidTr="0023767B">
        <w:tc>
          <w:tcPr>
            <w:tcW w:w="3078" w:type="dxa"/>
          </w:tcPr>
          <w:p w:rsidR="0023767B" w:rsidRDefault="0023767B" w:rsidP="000B2DA1">
            <w:r>
              <w:t>Integrated and Flexible Alerting</w:t>
            </w:r>
          </w:p>
        </w:tc>
        <w:tc>
          <w:tcPr>
            <w:tcW w:w="6390" w:type="dxa"/>
          </w:tcPr>
          <w:p w:rsidR="0023767B" w:rsidRDefault="0023767B" w:rsidP="000B2DA1">
            <w:r>
              <w:t>VDAB provides significantly more flexibility and capability with regards to both detecting alert conditions and providing notification on alert conditions.</w:t>
            </w:r>
          </w:p>
        </w:tc>
      </w:tr>
      <w:tr w:rsidR="0023767B" w:rsidTr="0023767B">
        <w:tc>
          <w:tcPr>
            <w:tcW w:w="3078" w:type="dxa"/>
          </w:tcPr>
          <w:p w:rsidR="0023767B" w:rsidRDefault="0023767B" w:rsidP="000B2DA1">
            <w:r>
              <w:t>Immediate real-time data propagation</w:t>
            </w:r>
          </w:p>
        </w:tc>
        <w:tc>
          <w:tcPr>
            <w:tcW w:w="6390" w:type="dxa"/>
          </w:tcPr>
          <w:p w:rsidR="0023767B" w:rsidRDefault="006D3006" w:rsidP="000B2DA1">
            <w:r>
              <w:t xml:space="preserve">VDAB includes the ability to propagate data to both a) other VDAB servers like GLDW and b) to key </w:t>
            </w:r>
            <w:proofErr w:type="spellStart"/>
            <w:r>
              <w:t>IoT</w:t>
            </w:r>
            <w:proofErr w:type="spellEnd"/>
            <w:r>
              <w:t xml:space="preserve"> data repositories like AWS and  AT&amp;T’s M2X</w:t>
            </w:r>
          </w:p>
        </w:tc>
      </w:tr>
      <w:tr w:rsidR="00822F53" w:rsidTr="0023767B">
        <w:tc>
          <w:tcPr>
            <w:tcW w:w="3078" w:type="dxa"/>
          </w:tcPr>
          <w:p w:rsidR="00822F53" w:rsidRDefault="00822F53" w:rsidP="000B2DA1">
            <w:r>
              <w:t>Irrefutable Event Tracking</w:t>
            </w:r>
          </w:p>
        </w:tc>
        <w:tc>
          <w:tcPr>
            <w:tcW w:w="6390" w:type="dxa"/>
          </w:tcPr>
          <w:p w:rsidR="00822F53" w:rsidRDefault="00822F53" w:rsidP="000B2DA1">
            <w:r>
              <w:t>By include VDAB processing in the instrument itself, irrefutable evidence regarding that data is maintained.</w:t>
            </w:r>
          </w:p>
        </w:tc>
      </w:tr>
    </w:tbl>
    <w:p w:rsidR="0023767B" w:rsidRDefault="0023767B" w:rsidP="0023767B"/>
    <w:p w:rsidR="0023767B" w:rsidRPr="0023767B" w:rsidRDefault="0023767B" w:rsidP="0023767B">
      <w:pPr>
        <w:pStyle w:val="Heading1"/>
      </w:pPr>
      <w:r>
        <w:t>Value Emphasis by Group</w:t>
      </w:r>
      <w:r>
        <w:tab/>
      </w:r>
    </w:p>
    <w:p w:rsidR="00822F53" w:rsidRDefault="00822F53" w:rsidP="0023767B"/>
    <w:p w:rsidR="0023767B" w:rsidRDefault="00822F53" w:rsidP="0023767B">
      <w:r>
        <w:t>While the Instrument Toolkit with VDAB provides significant value for all environmental monitoring systems and stations, specific values would likely be most important to specific users.</w:t>
      </w:r>
    </w:p>
    <w:tbl>
      <w:tblPr>
        <w:tblStyle w:val="TableGrid"/>
        <w:tblW w:w="0" w:type="auto"/>
        <w:tblLook w:val="04A0" w:firstRow="1" w:lastRow="0" w:firstColumn="1" w:lastColumn="0" w:noHBand="0" w:noVBand="1"/>
      </w:tblPr>
      <w:tblGrid>
        <w:gridCol w:w="2628"/>
        <w:gridCol w:w="3060"/>
        <w:gridCol w:w="3888"/>
      </w:tblGrid>
      <w:tr w:rsidR="0023767B" w:rsidTr="006D3006">
        <w:tc>
          <w:tcPr>
            <w:tcW w:w="2628" w:type="dxa"/>
            <w:shd w:val="clear" w:color="auto" w:fill="B8CCE4" w:themeFill="accent1" w:themeFillTint="66"/>
          </w:tcPr>
          <w:p w:rsidR="0023767B" w:rsidRDefault="0023767B" w:rsidP="0023767B">
            <w:r>
              <w:t>Target</w:t>
            </w:r>
          </w:p>
        </w:tc>
        <w:tc>
          <w:tcPr>
            <w:tcW w:w="3060" w:type="dxa"/>
            <w:shd w:val="clear" w:color="auto" w:fill="B8CCE4" w:themeFill="accent1" w:themeFillTint="66"/>
          </w:tcPr>
          <w:p w:rsidR="0023767B" w:rsidRDefault="00E8135F" w:rsidP="0023767B">
            <w:r>
              <w:t>How the use it.</w:t>
            </w:r>
          </w:p>
        </w:tc>
        <w:tc>
          <w:tcPr>
            <w:tcW w:w="3888" w:type="dxa"/>
            <w:shd w:val="clear" w:color="auto" w:fill="B8CCE4" w:themeFill="accent1" w:themeFillTint="66"/>
          </w:tcPr>
          <w:p w:rsidR="0023767B" w:rsidRDefault="00E8135F" w:rsidP="0023767B">
            <w:r>
              <w:t>Key Value</w:t>
            </w:r>
          </w:p>
        </w:tc>
      </w:tr>
      <w:tr w:rsidR="0023767B" w:rsidTr="0023767B">
        <w:tc>
          <w:tcPr>
            <w:tcW w:w="2628" w:type="dxa"/>
          </w:tcPr>
          <w:p w:rsidR="0023767B" w:rsidRDefault="0023767B" w:rsidP="0023767B">
            <w:r>
              <w:t>University/Research programs</w:t>
            </w:r>
          </w:p>
        </w:tc>
        <w:tc>
          <w:tcPr>
            <w:tcW w:w="3060" w:type="dxa"/>
          </w:tcPr>
          <w:p w:rsidR="0023767B" w:rsidRDefault="00E8135F" w:rsidP="0023767B">
            <w:r>
              <w:t>Develop a customized instrument or station based on the Instrument Toolkit</w:t>
            </w:r>
          </w:p>
        </w:tc>
        <w:tc>
          <w:tcPr>
            <w:tcW w:w="3888" w:type="dxa"/>
          </w:tcPr>
          <w:p w:rsidR="0023767B" w:rsidRDefault="00E8135F" w:rsidP="0023767B">
            <w:pPr>
              <w:pStyle w:val="ListParagraph"/>
              <w:numPr>
                <w:ilvl w:val="0"/>
                <w:numId w:val="1"/>
              </w:numPr>
            </w:pPr>
            <w:r>
              <w:t xml:space="preserve">Provide a custom instrument at a </w:t>
            </w:r>
            <w:r w:rsidRPr="00E8135F">
              <w:rPr>
                <w:b/>
              </w:rPr>
              <w:t>fraction of the cost</w:t>
            </w:r>
            <w:r>
              <w:t xml:space="preserve"> of assembling all commercial components.</w:t>
            </w:r>
          </w:p>
          <w:p w:rsidR="0023767B" w:rsidRDefault="0023767B" w:rsidP="0023767B">
            <w:pPr>
              <w:pStyle w:val="ListParagraph"/>
              <w:numPr>
                <w:ilvl w:val="0"/>
                <w:numId w:val="1"/>
              </w:numPr>
            </w:pPr>
          </w:p>
        </w:tc>
      </w:tr>
      <w:tr w:rsidR="006D3006" w:rsidTr="0023767B">
        <w:tc>
          <w:tcPr>
            <w:tcW w:w="2628" w:type="dxa"/>
          </w:tcPr>
          <w:p w:rsidR="006D3006" w:rsidRDefault="006D3006" w:rsidP="0023767B">
            <w:r>
              <w:lastRenderedPageBreak/>
              <w:t>Instrument Assemblers</w:t>
            </w:r>
          </w:p>
          <w:p w:rsidR="00822F53" w:rsidRDefault="00822F53" w:rsidP="0023767B">
            <w:proofErr w:type="spellStart"/>
            <w:r>
              <w:t>Limnotech</w:t>
            </w:r>
            <w:proofErr w:type="spellEnd"/>
            <w:r>
              <w:t>)</w:t>
            </w:r>
          </w:p>
        </w:tc>
        <w:tc>
          <w:tcPr>
            <w:tcW w:w="3060" w:type="dxa"/>
          </w:tcPr>
          <w:p w:rsidR="006D3006" w:rsidRDefault="00822F53" w:rsidP="00E8135F">
            <w:r>
              <w:t xml:space="preserve">Adding a small system (pi3) to their assembled instrument </w:t>
            </w:r>
            <w:r w:rsidR="00E8135F">
              <w:t>which would primarily be built with commercial components.</w:t>
            </w:r>
          </w:p>
        </w:tc>
        <w:tc>
          <w:tcPr>
            <w:tcW w:w="3888" w:type="dxa"/>
          </w:tcPr>
          <w:p w:rsidR="006D3006" w:rsidRDefault="00822F53" w:rsidP="00822F53">
            <w:pPr>
              <w:pStyle w:val="ListParagraph"/>
              <w:numPr>
                <w:ilvl w:val="0"/>
                <w:numId w:val="2"/>
              </w:numPr>
            </w:pPr>
            <w:r>
              <w:t>Enhanced Management Capabilities</w:t>
            </w:r>
          </w:p>
          <w:p w:rsidR="00E8135F" w:rsidRDefault="00E8135F" w:rsidP="00822F53">
            <w:pPr>
              <w:pStyle w:val="ListParagraph"/>
              <w:numPr>
                <w:ilvl w:val="0"/>
                <w:numId w:val="2"/>
              </w:numPr>
            </w:pPr>
            <w:r>
              <w:t xml:space="preserve">Enhanced diagnostic capabilities. </w:t>
            </w:r>
          </w:p>
          <w:p w:rsidR="00E8135F" w:rsidRDefault="00E8135F" w:rsidP="00822F53">
            <w:pPr>
              <w:pStyle w:val="ListParagraph"/>
              <w:numPr>
                <w:ilvl w:val="0"/>
                <w:numId w:val="2"/>
              </w:numPr>
            </w:pPr>
            <w:r>
              <w:t>Integrated alerting</w:t>
            </w:r>
          </w:p>
          <w:p w:rsidR="00E8135F" w:rsidRDefault="00E8135F" w:rsidP="00822F53">
            <w:pPr>
              <w:pStyle w:val="ListParagraph"/>
              <w:numPr>
                <w:ilvl w:val="0"/>
                <w:numId w:val="2"/>
              </w:numPr>
            </w:pPr>
            <w:r>
              <w:t>Irrefutable data tracking.</w:t>
            </w:r>
          </w:p>
          <w:p w:rsidR="00E8135F" w:rsidRDefault="00E8135F" w:rsidP="00822F53">
            <w:pPr>
              <w:pStyle w:val="ListParagraph"/>
              <w:numPr>
                <w:ilvl w:val="0"/>
                <w:numId w:val="2"/>
              </w:numPr>
            </w:pPr>
            <w:r>
              <w:t>Support remote software update.</w:t>
            </w:r>
          </w:p>
        </w:tc>
      </w:tr>
      <w:tr w:rsidR="0023767B" w:rsidTr="0023767B">
        <w:tc>
          <w:tcPr>
            <w:tcW w:w="2628" w:type="dxa"/>
          </w:tcPr>
          <w:p w:rsidR="0023767B" w:rsidRDefault="0023767B" w:rsidP="006D3006">
            <w:r>
              <w:t xml:space="preserve">Instrument </w:t>
            </w:r>
            <w:r w:rsidR="006D3006">
              <w:t>Product Companies</w:t>
            </w:r>
          </w:p>
          <w:p w:rsidR="00822F53" w:rsidRDefault="00E8135F" w:rsidP="006D3006">
            <w:r>
              <w:t>(</w:t>
            </w:r>
            <w:r w:rsidR="00822F53">
              <w:t>YSI)</w:t>
            </w:r>
          </w:p>
        </w:tc>
        <w:tc>
          <w:tcPr>
            <w:tcW w:w="3060" w:type="dxa"/>
          </w:tcPr>
          <w:p w:rsidR="0023767B" w:rsidRDefault="00822F53" w:rsidP="0023767B">
            <w:r>
              <w:t>Incorporating VDAB</w:t>
            </w:r>
            <w:r w:rsidR="00E8135F">
              <w:t xml:space="preserve"> natively in</w:t>
            </w:r>
            <w:r>
              <w:t xml:space="preserve"> the instrument.</w:t>
            </w:r>
          </w:p>
        </w:tc>
        <w:tc>
          <w:tcPr>
            <w:tcW w:w="3888" w:type="dxa"/>
          </w:tcPr>
          <w:p w:rsidR="0023767B" w:rsidRDefault="00822F53" w:rsidP="0023767B">
            <w:pPr>
              <w:pStyle w:val="ListParagraph"/>
              <w:numPr>
                <w:ilvl w:val="0"/>
                <w:numId w:val="2"/>
              </w:numPr>
            </w:pPr>
            <w:r w:rsidRPr="00E8135F">
              <w:rPr>
                <w:b/>
              </w:rPr>
              <w:t>Eliminate</w:t>
            </w:r>
            <w:r>
              <w:t xml:space="preserve"> most of their </w:t>
            </w:r>
            <w:r w:rsidR="00E8135F">
              <w:t xml:space="preserve">internal </w:t>
            </w:r>
            <w:r w:rsidRPr="00E8135F">
              <w:rPr>
                <w:b/>
              </w:rPr>
              <w:t>software development cost</w:t>
            </w:r>
            <w:r>
              <w:t>.</w:t>
            </w:r>
          </w:p>
          <w:p w:rsidR="0023767B" w:rsidRDefault="0023767B" w:rsidP="00E8135F">
            <w:pPr>
              <w:pStyle w:val="ListParagraph"/>
              <w:numPr>
                <w:ilvl w:val="0"/>
                <w:numId w:val="2"/>
              </w:numPr>
            </w:pPr>
            <w:r>
              <w:t>Enhance</w:t>
            </w:r>
            <w:r w:rsidR="00E8135F">
              <w:t xml:space="preserve">s the flexibility </w:t>
            </w:r>
            <w:proofErr w:type="gramStart"/>
            <w:r w:rsidR="00E8135F">
              <w:t>of  their</w:t>
            </w:r>
            <w:proofErr w:type="gramEnd"/>
            <w:r w:rsidR="00E8135F">
              <w:t xml:space="preserve"> custom</w:t>
            </w:r>
            <w:r>
              <w:t xml:space="preserve">ers to </w:t>
            </w:r>
            <w:r w:rsidR="00E8135F">
              <w:t>modify behaviors and add features by customizing flows.</w:t>
            </w:r>
          </w:p>
          <w:p w:rsidR="00E8135F" w:rsidRDefault="00E8135F" w:rsidP="00E8135F">
            <w:pPr>
              <w:pStyle w:val="ListParagraph"/>
              <w:numPr>
                <w:ilvl w:val="0"/>
                <w:numId w:val="2"/>
              </w:numPr>
            </w:pPr>
            <w:r>
              <w:t>Enhanced Management Capabilities</w:t>
            </w:r>
          </w:p>
          <w:p w:rsidR="00E8135F" w:rsidRDefault="00E8135F" w:rsidP="00E8135F">
            <w:pPr>
              <w:pStyle w:val="ListParagraph"/>
              <w:numPr>
                <w:ilvl w:val="0"/>
                <w:numId w:val="2"/>
              </w:numPr>
            </w:pPr>
            <w:r>
              <w:t xml:space="preserve">Enhanced diagnostic capabilities. </w:t>
            </w:r>
          </w:p>
          <w:p w:rsidR="00E8135F" w:rsidRDefault="00E8135F" w:rsidP="00E8135F">
            <w:pPr>
              <w:pStyle w:val="ListParagraph"/>
              <w:numPr>
                <w:ilvl w:val="0"/>
                <w:numId w:val="2"/>
              </w:numPr>
            </w:pPr>
            <w:r>
              <w:t>Integrated alerting</w:t>
            </w:r>
          </w:p>
          <w:p w:rsidR="00E8135F" w:rsidRDefault="00E8135F" w:rsidP="00E8135F">
            <w:pPr>
              <w:pStyle w:val="ListParagraph"/>
              <w:numPr>
                <w:ilvl w:val="0"/>
                <w:numId w:val="2"/>
              </w:numPr>
            </w:pPr>
            <w:r>
              <w:t>Irrefutable data tracking.</w:t>
            </w:r>
          </w:p>
        </w:tc>
      </w:tr>
    </w:tbl>
    <w:p w:rsidR="0023767B" w:rsidRDefault="0023767B" w:rsidP="0023767B"/>
    <w:p w:rsidR="00C454A6" w:rsidRDefault="00C454A6" w:rsidP="0023767B"/>
    <w:p w:rsidR="00C454A6" w:rsidRDefault="00C454A6" w:rsidP="0023767B"/>
    <w:p w:rsidR="00C454A6" w:rsidRDefault="00C454A6" w:rsidP="00C454A6">
      <w:pPr>
        <w:pStyle w:val="Heading1"/>
      </w:pPr>
      <w:r>
        <w:t>APPENDIX NOTES</w:t>
      </w:r>
    </w:p>
    <w:p w:rsidR="00C454A6" w:rsidRDefault="007A206C" w:rsidP="007A206C">
      <w:pPr>
        <w:pStyle w:val="Heading2"/>
      </w:pPr>
      <w:r>
        <w:t>These are some old notes</w:t>
      </w:r>
      <w:bookmarkStart w:id="0" w:name="_GoBack"/>
      <w:bookmarkEnd w:id="0"/>
    </w:p>
    <w:p w:rsidR="00C454A6" w:rsidRPr="00C454A6" w:rsidRDefault="00C454A6" w:rsidP="00C454A6">
      <w:pPr>
        <w:numPr>
          <w:ilvl w:val="0"/>
          <w:numId w:val="3"/>
        </w:numPr>
        <w:spacing w:after="0" w:line="240" w:lineRule="auto"/>
        <w:ind w:left="126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Monitoring station are built with inexpensive OTS standard processors</w:t>
      </w:r>
    </w:p>
    <w:p w:rsidR="00C454A6" w:rsidRPr="00C454A6" w:rsidRDefault="00C454A6" w:rsidP="00C454A6">
      <w:pPr>
        <w:numPr>
          <w:ilvl w:val="0"/>
          <w:numId w:val="3"/>
        </w:numPr>
        <w:spacing w:after="0" w:line="240" w:lineRule="auto"/>
        <w:ind w:left="126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VDAB – Visual Dataflow Application Builder includes integrated automated data propagation from the station to a VDAB cloud server.</w:t>
      </w:r>
    </w:p>
    <w:p w:rsidR="00C454A6" w:rsidRPr="00C454A6" w:rsidRDefault="00C454A6" w:rsidP="00C454A6">
      <w:pPr>
        <w:numPr>
          <w:ilvl w:val="0"/>
          <w:numId w:val="3"/>
        </w:numPr>
        <w:spacing w:after="0" w:line="240" w:lineRule="auto"/>
        <w:ind w:left="126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Key VDAB standard processing nodes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Digital inputs and outputs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 xml:space="preserve"> Serial input and output</w:t>
      </w:r>
    </w:p>
    <w:p w:rsidR="00C454A6" w:rsidRPr="00C454A6" w:rsidRDefault="00C454A6" w:rsidP="00C454A6">
      <w:pPr>
        <w:numPr>
          <w:ilvl w:val="1"/>
          <w:numId w:val="3"/>
        </w:numPr>
        <w:spacing w:after="0" w:line="240" w:lineRule="auto"/>
        <w:ind w:left="198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New VDAB instrument nodes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Calibration</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Titration  Controller</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Liquid control commands.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Trend alerts.</w:t>
      </w:r>
    </w:p>
    <w:p w:rsidR="00C454A6" w:rsidRPr="00C454A6" w:rsidRDefault="00C454A6" w:rsidP="00C454A6">
      <w:pPr>
        <w:numPr>
          <w:ilvl w:val="0"/>
          <w:numId w:val="3"/>
        </w:numPr>
        <w:spacing w:after="0" w:line="240" w:lineRule="auto"/>
        <w:ind w:left="126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 xml:space="preserve">Flows can be </w:t>
      </w:r>
      <w:proofErr w:type="spellStart"/>
      <w:r w:rsidRPr="00C454A6">
        <w:rPr>
          <w:rFonts w:ascii="Calibri" w:eastAsia="+mn-ea" w:hAnsi="Calibri" w:cs="+mn-cs"/>
          <w:color w:val="000000"/>
          <w:kern w:val="24"/>
          <w:sz w:val="26"/>
          <w:szCs w:val="26"/>
        </w:rPr>
        <w:t>build</w:t>
      </w:r>
      <w:proofErr w:type="spellEnd"/>
      <w:r w:rsidRPr="00C454A6">
        <w:rPr>
          <w:rFonts w:ascii="Calibri" w:eastAsia="+mn-ea" w:hAnsi="Calibri" w:cs="+mn-cs"/>
          <w:color w:val="000000"/>
          <w:kern w:val="24"/>
          <w:sz w:val="26"/>
          <w:szCs w:val="26"/>
        </w:rPr>
        <w:t xml:space="preserve"> to detect and send alerts </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Electrode fouling</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Reduced precision</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Battery issues</w:t>
      </w:r>
    </w:p>
    <w:p w:rsidR="00C454A6" w:rsidRPr="00C454A6" w:rsidRDefault="00C454A6" w:rsidP="00C454A6">
      <w:pPr>
        <w:numPr>
          <w:ilvl w:val="1"/>
          <w:numId w:val="3"/>
        </w:numPr>
        <w:spacing w:after="0" w:line="240" w:lineRule="auto"/>
        <w:ind w:left="2606"/>
        <w:contextualSpacing/>
        <w:rPr>
          <w:rFonts w:ascii="Times New Roman" w:eastAsia="Times New Roman" w:hAnsi="Times New Roman" w:cs="Times New Roman"/>
          <w:szCs w:val="24"/>
        </w:rPr>
      </w:pPr>
      <w:r w:rsidRPr="00C454A6">
        <w:rPr>
          <w:rFonts w:ascii="Calibri" w:eastAsia="+mn-ea" w:hAnsi="Calibri" w:cs="+mn-cs"/>
          <w:color w:val="000000"/>
          <w:kern w:val="24"/>
        </w:rPr>
        <w:t>Other component diagnosis.</w:t>
      </w:r>
    </w:p>
    <w:p w:rsidR="00C454A6" w:rsidRPr="00C454A6" w:rsidRDefault="00C454A6" w:rsidP="00C454A6">
      <w:pPr>
        <w:numPr>
          <w:ilvl w:val="1"/>
          <w:numId w:val="3"/>
        </w:numPr>
        <w:spacing w:after="0" w:line="240" w:lineRule="auto"/>
        <w:ind w:left="1987"/>
        <w:contextualSpacing/>
        <w:rPr>
          <w:rFonts w:ascii="Times New Roman" w:eastAsia="Times New Roman" w:hAnsi="Times New Roman" w:cs="Times New Roman"/>
          <w:sz w:val="26"/>
          <w:szCs w:val="24"/>
        </w:rPr>
      </w:pPr>
      <w:r w:rsidRPr="00C454A6">
        <w:rPr>
          <w:rFonts w:ascii="Calibri" w:eastAsia="+mn-ea" w:hAnsi="Calibri" w:cs="+mn-cs"/>
          <w:color w:val="000000"/>
          <w:kern w:val="24"/>
          <w:sz w:val="26"/>
          <w:szCs w:val="26"/>
        </w:rPr>
        <w:t>Integrated GPS data for data events from moving sources.</w:t>
      </w:r>
    </w:p>
    <w:p w:rsidR="00C454A6" w:rsidRDefault="00C454A6" w:rsidP="0023767B"/>
    <w:p w:rsidR="0023767B" w:rsidRDefault="0023767B" w:rsidP="0023767B"/>
    <w:p w:rsidR="0023767B" w:rsidRPr="0023767B" w:rsidRDefault="0023767B" w:rsidP="0023767B"/>
    <w:p w:rsidR="00C019B3" w:rsidRPr="00C019B3" w:rsidRDefault="00C019B3" w:rsidP="00C019B3"/>
    <w:sectPr w:rsidR="00C019B3" w:rsidRPr="00C0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071"/>
    <w:multiLevelType w:val="hybridMultilevel"/>
    <w:tmpl w:val="49EC30A6"/>
    <w:lvl w:ilvl="0" w:tplc="C23865A6">
      <w:start w:val="1"/>
      <w:numFmt w:val="bullet"/>
      <w:lvlText w:val="•"/>
      <w:lvlJc w:val="left"/>
      <w:pPr>
        <w:tabs>
          <w:tab w:val="num" w:pos="720"/>
        </w:tabs>
        <w:ind w:left="720" w:hanging="360"/>
      </w:pPr>
      <w:rPr>
        <w:rFonts w:ascii="Arial" w:hAnsi="Arial" w:hint="default"/>
      </w:rPr>
    </w:lvl>
    <w:lvl w:ilvl="1" w:tplc="2C5C32E0">
      <w:start w:val="2037"/>
      <w:numFmt w:val="bullet"/>
      <w:lvlText w:val="–"/>
      <w:lvlJc w:val="left"/>
      <w:pPr>
        <w:tabs>
          <w:tab w:val="num" w:pos="1440"/>
        </w:tabs>
        <w:ind w:left="1440" w:hanging="360"/>
      </w:pPr>
      <w:rPr>
        <w:rFonts w:ascii="Arial" w:hAnsi="Arial" w:hint="default"/>
      </w:rPr>
    </w:lvl>
    <w:lvl w:ilvl="2" w:tplc="1C241BAA" w:tentative="1">
      <w:start w:val="1"/>
      <w:numFmt w:val="bullet"/>
      <w:lvlText w:val="•"/>
      <w:lvlJc w:val="left"/>
      <w:pPr>
        <w:tabs>
          <w:tab w:val="num" w:pos="2160"/>
        </w:tabs>
        <w:ind w:left="2160" w:hanging="360"/>
      </w:pPr>
      <w:rPr>
        <w:rFonts w:ascii="Arial" w:hAnsi="Arial" w:hint="default"/>
      </w:rPr>
    </w:lvl>
    <w:lvl w:ilvl="3" w:tplc="96049E60" w:tentative="1">
      <w:start w:val="1"/>
      <w:numFmt w:val="bullet"/>
      <w:lvlText w:val="•"/>
      <w:lvlJc w:val="left"/>
      <w:pPr>
        <w:tabs>
          <w:tab w:val="num" w:pos="2880"/>
        </w:tabs>
        <w:ind w:left="2880" w:hanging="360"/>
      </w:pPr>
      <w:rPr>
        <w:rFonts w:ascii="Arial" w:hAnsi="Arial" w:hint="default"/>
      </w:rPr>
    </w:lvl>
    <w:lvl w:ilvl="4" w:tplc="477024CA" w:tentative="1">
      <w:start w:val="1"/>
      <w:numFmt w:val="bullet"/>
      <w:lvlText w:val="•"/>
      <w:lvlJc w:val="left"/>
      <w:pPr>
        <w:tabs>
          <w:tab w:val="num" w:pos="3600"/>
        </w:tabs>
        <w:ind w:left="3600" w:hanging="360"/>
      </w:pPr>
      <w:rPr>
        <w:rFonts w:ascii="Arial" w:hAnsi="Arial" w:hint="default"/>
      </w:rPr>
    </w:lvl>
    <w:lvl w:ilvl="5" w:tplc="C5E20E5A" w:tentative="1">
      <w:start w:val="1"/>
      <w:numFmt w:val="bullet"/>
      <w:lvlText w:val="•"/>
      <w:lvlJc w:val="left"/>
      <w:pPr>
        <w:tabs>
          <w:tab w:val="num" w:pos="4320"/>
        </w:tabs>
        <w:ind w:left="4320" w:hanging="360"/>
      </w:pPr>
      <w:rPr>
        <w:rFonts w:ascii="Arial" w:hAnsi="Arial" w:hint="default"/>
      </w:rPr>
    </w:lvl>
    <w:lvl w:ilvl="6" w:tplc="FA0C4462" w:tentative="1">
      <w:start w:val="1"/>
      <w:numFmt w:val="bullet"/>
      <w:lvlText w:val="•"/>
      <w:lvlJc w:val="left"/>
      <w:pPr>
        <w:tabs>
          <w:tab w:val="num" w:pos="5040"/>
        </w:tabs>
        <w:ind w:left="5040" w:hanging="360"/>
      </w:pPr>
      <w:rPr>
        <w:rFonts w:ascii="Arial" w:hAnsi="Arial" w:hint="default"/>
      </w:rPr>
    </w:lvl>
    <w:lvl w:ilvl="7" w:tplc="CD249844" w:tentative="1">
      <w:start w:val="1"/>
      <w:numFmt w:val="bullet"/>
      <w:lvlText w:val="•"/>
      <w:lvlJc w:val="left"/>
      <w:pPr>
        <w:tabs>
          <w:tab w:val="num" w:pos="5760"/>
        </w:tabs>
        <w:ind w:left="5760" w:hanging="360"/>
      </w:pPr>
      <w:rPr>
        <w:rFonts w:ascii="Arial" w:hAnsi="Arial" w:hint="default"/>
      </w:rPr>
    </w:lvl>
    <w:lvl w:ilvl="8" w:tplc="D39A6F6A" w:tentative="1">
      <w:start w:val="1"/>
      <w:numFmt w:val="bullet"/>
      <w:lvlText w:val="•"/>
      <w:lvlJc w:val="left"/>
      <w:pPr>
        <w:tabs>
          <w:tab w:val="num" w:pos="6480"/>
        </w:tabs>
        <w:ind w:left="6480" w:hanging="360"/>
      </w:pPr>
      <w:rPr>
        <w:rFonts w:ascii="Arial" w:hAnsi="Arial" w:hint="default"/>
      </w:rPr>
    </w:lvl>
  </w:abstractNum>
  <w:abstractNum w:abstractNumId="1">
    <w:nsid w:val="257B27C5"/>
    <w:multiLevelType w:val="hybridMultilevel"/>
    <w:tmpl w:val="DDBE7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BC52E1"/>
    <w:multiLevelType w:val="hybridMultilevel"/>
    <w:tmpl w:val="72B4D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F16"/>
    <w:rsid w:val="0023767B"/>
    <w:rsid w:val="005526CC"/>
    <w:rsid w:val="006D3006"/>
    <w:rsid w:val="007A206C"/>
    <w:rsid w:val="00822F53"/>
    <w:rsid w:val="00C019B3"/>
    <w:rsid w:val="00C454A6"/>
    <w:rsid w:val="00D50F16"/>
    <w:rsid w:val="00E8135F"/>
    <w:rsid w:val="00F4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6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4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4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767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3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76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76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76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76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4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41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767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37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76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5835">
      <w:bodyDiv w:val="1"/>
      <w:marLeft w:val="0"/>
      <w:marRight w:val="0"/>
      <w:marTop w:val="0"/>
      <w:marBottom w:val="0"/>
      <w:divBdr>
        <w:top w:val="none" w:sz="0" w:space="0" w:color="auto"/>
        <w:left w:val="none" w:sz="0" w:space="0" w:color="auto"/>
        <w:bottom w:val="none" w:sz="0" w:space="0" w:color="auto"/>
        <w:right w:val="none" w:sz="0" w:space="0" w:color="auto"/>
      </w:divBdr>
      <w:divsChild>
        <w:div w:id="1770196238">
          <w:marLeft w:val="547"/>
          <w:marRight w:val="0"/>
          <w:marTop w:val="62"/>
          <w:marBottom w:val="0"/>
          <w:divBdr>
            <w:top w:val="none" w:sz="0" w:space="0" w:color="auto"/>
            <w:left w:val="none" w:sz="0" w:space="0" w:color="auto"/>
            <w:bottom w:val="none" w:sz="0" w:space="0" w:color="auto"/>
            <w:right w:val="none" w:sz="0" w:space="0" w:color="auto"/>
          </w:divBdr>
        </w:div>
        <w:div w:id="1369258237">
          <w:marLeft w:val="547"/>
          <w:marRight w:val="0"/>
          <w:marTop w:val="62"/>
          <w:marBottom w:val="0"/>
          <w:divBdr>
            <w:top w:val="none" w:sz="0" w:space="0" w:color="auto"/>
            <w:left w:val="none" w:sz="0" w:space="0" w:color="auto"/>
            <w:bottom w:val="none" w:sz="0" w:space="0" w:color="auto"/>
            <w:right w:val="none" w:sz="0" w:space="0" w:color="auto"/>
          </w:divBdr>
        </w:div>
        <w:div w:id="1501233390">
          <w:marLeft w:val="547"/>
          <w:marRight w:val="0"/>
          <w:marTop w:val="62"/>
          <w:marBottom w:val="0"/>
          <w:divBdr>
            <w:top w:val="none" w:sz="0" w:space="0" w:color="auto"/>
            <w:left w:val="none" w:sz="0" w:space="0" w:color="auto"/>
            <w:bottom w:val="none" w:sz="0" w:space="0" w:color="auto"/>
            <w:right w:val="none" w:sz="0" w:space="0" w:color="auto"/>
          </w:divBdr>
        </w:div>
        <w:div w:id="21826563">
          <w:marLeft w:val="1166"/>
          <w:marRight w:val="0"/>
          <w:marTop w:val="53"/>
          <w:marBottom w:val="0"/>
          <w:divBdr>
            <w:top w:val="none" w:sz="0" w:space="0" w:color="auto"/>
            <w:left w:val="none" w:sz="0" w:space="0" w:color="auto"/>
            <w:bottom w:val="none" w:sz="0" w:space="0" w:color="auto"/>
            <w:right w:val="none" w:sz="0" w:space="0" w:color="auto"/>
          </w:divBdr>
        </w:div>
        <w:div w:id="1904873407">
          <w:marLeft w:val="1166"/>
          <w:marRight w:val="0"/>
          <w:marTop w:val="53"/>
          <w:marBottom w:val="0"/>
          <w:divBdr>
            <w:top w:val="none" w:sz="0" w:space="0" w:color="auto"/>
            <w:left w:val="none" w:sz="0" w:space="0" w:color="auto"/>
            <w:bottom w:val="none" w:sz="0" w:space="0" w:color="auto"/>
            <w:right w:val="none" w:sz="0" w:space="0" w:color="auto"/>
          </w:divBdr>
        </w:div>
        <w:div w:id="1066537959">
          <w:marLeft w:val="547"/>
          <w:marRight w:val="0"/>
          <w:marTop w:val="62"/>
          <w:marBottom w:val="0"/>
          <w:divBdr>
            <w:top w:val="none" w:sz="0" w:space="0" w:color="auto"/>
            <w:left w:val="none" w:sz="0" w:space="0" w:color="auto"/>
            <w:bottom w:val="none" w:sz="0" w:space="0" w:color="auto"/>
            <w:right w:val="none" w:sz="0" w:space="0" w:color="auto"/>
          </w:divBdr>
        </w:div>
        <w:div w:id="1260866021">
          <w:marLeft w:val="1166"/>
          <w:marRight w:val="0"/>
          <w:marTop w:val="53"/>
          <w:marBottom w:val="0"/>
          <w:divBdr>
            <w:top w:val="none" w:sz="0" w:space="0" w:color="auto"/>
            <w:left w:val="none" w:sz="0" w:space="0" w:color="auto"/>
            <w:bottom w:val="none" w:sz="0" w:space="0" w:color="auto"/>
            <w:right w:val="none" w:sz="0" w:space="0" w:color="auto"/>
          </w:divBdr>
        </w:div>
        <w:div w:id="285082428">
          <w:marLeft w:val="1166"/>
          <w:marRight w:val="0"/>
          <w:marTop w:val="53"/>
          <w:marBottom w:val="0"/>
          <w:divBdr>
            <w:top w:val="none" w:sz="0" w:space="0" w:color="auto"/>
            <w:left w:val="none" w:sz="0" w:space="0" w:color="auto"/>
            <w:bottom w:val="none" w:sz="0" w:space="0" w:color="auto"/>
            <w:right w:val="none" w:sz="0" w:space="0" w:color="auto"/>
          </w:divBdr>
        </w:div>
        <w:div w:id="1107433787">
          <w:marLeft w:val="1166"/>
          <w:marRight w:val="0"/>
          <w:marTop w:val="53"/>
          <w:marBottom w:val="0"/>
          <w:divBdr>
            <w:top w:val="none" w:sz="0" w:space="0" w:color="auto"/>
            <w:left w:val="none" w:sz="0" w:space="0" w:color="auto"/>
            <w:bottom w:val="none" w:sz="0" w:space="0" w:color="auto"/>
            <w:right w:val="none" w:sz="0" w:space="0" w:color="auto"/>
          </w:divBdr>
        </w:div>
        <w:div w:id="545332938">
          <w:marLeft w:val="1166"/>
          <w:marRight w:val="0"/>
          <w:marTop w:val="53"/>
          <w:marBottom w:val="0"/>
          <w:divBdr>
            <w:top w:val="none" w:sz="0" w:space="0" w:color="auto"/>
            <w:left w:val="none" w:sz="0" w:space="0" w:color="auto"/>
            <w:bottom w:val="none" w:sz="0" w:space="0" w:color="auto"/>
            <w:right w:val="none" w:sz="0" w:space="0" w:color="auto"/>
          </w:divBdr>
        </w:div>
        <w:div w:id="391271753">
          <w:marLeft w:val="547"/>
          <w:marRight w:val="0"/>
          <w:marTop w:val="62"/>
          <w:marBottom w:val="0"/>
          <w:divBdr>
            <w:top w:val="none" w:sz="0" w:space="0" w:color="auto"/>
            <w:left w:val="none" w:sz="0" w:space="0" w:color="auto"/>
            <w:bottom w:val="none" w:sz="0" w:space="0" w:color="auto"/>
            <w:right w:val="none" w:sz="0" w:space="0" w:color="auto"/>
          </w:divBdr>
        </w:div>
        <w:div w:id="2063628234">
          <w:marLeft w:val="1166"/>
          <w:marRight w:val="0"/>
          <w:marTop w:val="53"/>
          <w:marBottom w:val="0"/>
          <w:divBdr>
            <w:top w:val="none" w:sz="0" w:space="0" w:color="auto"/>
            <w:left w:val="none" w:sz="0" w:space="0" w:color="auto"/>
            <w:bottom w:val="none" w:sz="0" w:space="0" w:color="auto"/>
            <w:right w:val="none" w:sz="0" w:space="0" w:color="auto"/>
          </w:divBdr>
        </w:div>
        <w:div w:id="1495489143">
          <w:marLeft w:val="1166"/>
          <w:marRight w:val="0"/>
          <w:marTop w:val="53"/>
          <w:marBottom w:val="0"/>
          <w:divBdr>
            <w:top w:val="none" w:sz="0" w:space="0" w:color="auto"/>
            <w:left w:val="none" w:sz="0" w:space="0" w:color="auto"/>
            <w:bottom w:val="none" w:sz="0" w:space="0" w:color="auto"/>
            <w:right w:val="none" w:sz="0" w:space="0" w:color="auto"/>
          </w:divBdr>
        </w:div>
        <w:div w:id="1544054855">
          <w:marLeft w:val="1166"/>
          <w:marRight w:val="0"/>
          <w:marTop w:val="53"/>
          <w:marBottom w:val="0"/>
          <w:divBdr>
            <w:top w:val="none" w:sz="0" w:space="0" w:color="auto"/>
            <w:left w:val="none" w:sz="0" w:space="0" w:color="auto"/>
            <w:bottom w:val="none" w:sz="0" w:space="0" w:color="auto"/>
            <w:right w:val="none" w:sz="0" w:space="0" w:color="auto"/>
          </w:divBdr>
        </w:div>
        <w:div w:id="1890804341">
          <w:marLeft w:val="1166"/>
          <w:marRight w:val="0"/>
          <w:marTop w:val="53"/>
          <w:marBottom w:val="0"/>
          <w:divBdr>
            <w:top w:val="none" w:sz="0" w:space="0" w:color="auto"/>
            <w:left w:val="none" w:sz="0" w:space="0" w:color="auto"/>
            <w:bottom w:val="none" w:sz="0" w:space="0" w:color="auto"/>
            <w:right w:val="none" w:sz="0" w:space="0" w:color="auto"/>
          </w:divBdr>
        </w:div>
        <w:div w:id="1870993229">
          <w:marLeft w:val="547"/>
          <w:marRight w:val="0"/>
          <w:marTop w:val="62"/>
          <w:marBottom w:val="0"/>
          <w:divBdr>
            <w:top w:val="none" w:sz="0" w:space="0" w:color="auto"/>
            <w:left w:val="none" w:sz="0" w:space="0" w:color="auto"/>
            <w:bottom w:val="none" w:sz="0" w:space="0" w:color="auto"/>
            <w:right w:val="none" w:sz="0" w:space="0" w:color="auto"/>
          </w:divBdr>
        </w:div>
      </w:divsChild>
    </w:div>
    <w:div w:id="2044551275">
      <w:bodyDiv w:val="1"/>
      <w:marLeft w:val="0"/>
      <w:marRight w:val="0"/>
      <w:marTop w:val="0"/>
      <w:marBottom w:val="0"/>
      <w:divBdr>
        <w:top w:val="none" w:sz="0" w:space="0" w:color="auto"/>
        <w:left w:val="none" w:sz="0" w:space="0" w:color="auto"/>
        <w:bottom w:val="none" w:sz="0" w:space="0" w:color="auto"/>
        <w:right w:val="none" w:sz="0" w:space="0" w:color="auto"/>
      </w:divBdr>
      <w:divsChild>
        <w:div w:id="53889872">
          <w:marLeft w:val="547"/>
          <w:marRight w:val="0"/>
          <w:marTop w:val="62"/>
          <w:marBottom w:val="0"/>
          <w:divBdr>
            <w:top w:val="none" w:sz="0" w:space="0" w:color="auto"/>
            <w:left w:val="none" w:sz="0" w:space="0" w:color="auto"/>
            <w:bottom w:val="none" w:sz="0" w:space="0" w:color="auto"/>
            <w:right w:val="none" w:sz="0" w:space="0" w:color="auto"/>
          </w:divBdr>
        </w:div>
        <w:div w:id="794300985">
          <w:marLeft w:val="547"/>
          <w:marRight w:val="0"/>
          <w:marTop w:val="62"/>
          <w:marBottom w:val="0"/>
          <w:divBdr>
            <w:top w:val="none" w:sz="0" w:space="0" w:color="auto"/>
            <w:left w:val="none" w:sz="0" w:space="0" w:color="auto"/>
            <w:bottom w:val="none" w:sz="0" w:space="0" w:color="auto"/>
            <w:right w:val="none" w:sz="0" w:space="0" w:color="auto"/>
          </w:divBdr>
        </w:div>
        <w:div w:id="1691175853">
          <w:marLeft w:val="547"/>
          <w:marRight w:val="0"/>
          <w:marTop w:val="62"/>
          <w:marBottom w:val="0"/>
          <w:divBdr>
            <w:top w:val="none" w:sz="0" w:space="0" w:color="auto"/>
            <w:left w:val="none" w:sz="0" w:space="0" w:color="auto"/>
            <w:bottom w:val="none" w:sz="0" w:space="0" w:color="auto"/>
            <w:right w:val="none" w:sz="0" w:space="0" w:color="auto"/>
          </w:divBdr>
        </w:div>
        <w:div w:id="935868661">
          <w:marLeft w:val="1166"/>
          <w:marRight w:val="0"/>
          <w:marTop w:val="53"/>
          <w:marBottom w:val="0"/>
          <w:divBdr>
            <w:top w:val="none" w:sz="0" w:space="0" w:color="auto"/>
            <w:left w:val="none" w:sz="0" w:space="0" w:color="auto"/>
            <w:bottom w:val="none" w:sz="0" w:space="0" w:color="auto"/>
            <w:right w:val="none" w:sz="0" w:space="0" w:color="auto"/>
          </w:divBdr>
        </w:div>
        <w:div w:id="328602725">
          <w:marLeft w:val="1166"/>
          <w:marRight w:val="0"/>
          <w:marTop w:val="53"/>
          <w:marBottom w:val="0"/>
          <w:divBdr>
            <w:top w:val="none" w:sz="0" w:space="0" w:color="auto"/>
            <w:left w:val="none" w:sz="0" w:space="0" w:color="auto"/>
            <w:bottom w:val="none" w:sz="0" w:space="0" w:color="auto"/>
            <w:right w:val="none" w:sz="0" w:space="0" w:color="auto"/>
          </w:divBdr>
        </w:div>
        <w:div w:id="1936934433">
          <w:marLeft w:val="547"/>
          <w:marRight w:val="0"/>
          <w:marTop w:val="62"/>
          <w:marBottom w:val="0"/>
          <w:divBdr>
            <w:top w:val="none" w:sz="0" w:space="0" w:color="auto"/>
            <w:left w:val="none" w:sz="0" w:space="0" w:color="auto"/>
            <w:bottom w:val="none" w:sz="0" w:space="0" w:color="auto"/>
            <w:right w:val="none" w:sz="0" w:space="0" w:color="auto"/>
          </w:divBdr>
        </w:div>
        <w:div w:id="526060936">
          <w:marLeft w:val="1166"/>
          <w:marRight w:val="0"/>
          <w:marTop w:val="53"/>
          <w:marBottom w:val="0"/>
          <w:divBdr>
            <w:top w:val="none" w:sz="0" w:space="0" w:color="auto"/>
            <w:left w:val="none" w:sz="0" w:space="0" w:color="auto"/>
            <w:bottom w:val="none" w:sz="0" w:space="0" w:color="auto"/>
            <w:right w:val="none" w:sz="0" w:space="0" w:color="auto"/>
          </w:divBdr>
        </w:div>
        <w:div w:id="577908763">
          <w:marLeft w:val="1166"/>
          <w:marRight w:val="0"/>
          <w:marTop w:val="53"/>
          <w:marBottom w:val="0"/>
          <w:divBdr>
            <w:top w:val="none" w:sz="0" w:space="0" w:color="auto"/>
            <w:left w:val="none" w:sz="0" w:space="0" w:color="auto"/>
            <w:bottom w:val="none" w:sz="0" w:space="0" w:color="auto"/>
            <w:right w:val="none" w:sz="0" w:space="0" w:color="auto"/>
          </w:divBdr>
        </w:div>
        <w:div w:id="94716630">
          <w:marLeft w:val="1166"/>
          <w:marRight w:val="0"/>
          <w:marTop w:val="53"/>
          <w:marBottom w:val="0"/>
          <w:divBdr>
            <w:top w:val="none" w:sz="0" w:space="0" w:color="auto"/>
            <w:left w:val="none" w:sz="0" w:space="0" w:color="auto"/>
            <w:bottom w:val="none" w:sz="0" w:space="0" w:color="auto"/>
            <w:right w:val="none" w:sz="0" w:space="0" w:color="auto"/>
          </w:divBdr>
        </w:div>
        <w:div w:id="1005934444">
          <w:marLeft w:val="1166"/>
          <w:marRight w:val="0"/>
          <w:marTop w:val="53"/>
          <w:marBottom w:val="0"/>
          <w:divBdr>
            <w:top w:val="none" w:sz="0" w:space="0" w:color="auto"/>
            <w:left w:val="none" w:sz="0" w:space="0" w:color="auto"/>
            <w:bottom w:val="none" w:sz="0" w:space="0" w:color="auto"/>
            <w:right w:val="none" w:sz="0" w:space="0" w:color="auto"/>
          </w:divBdr>
        </w:div>
        <w:div w:id="6753024">
          <w:marLeft w:val="547"/>
          <w:marRight w:val="0"/>
          <w:marTop w:val="62"/>
          <w:marBottom w:val="0"/>
          <w:divBdr>
            <w:top w:val="none" w:sz="0" w:space="0" w:color="auto"/>
            <w:left w:val="none" w:sz="0" w:space="0" w:color="auto"/>
            <w:bottom w:val="none" w:sz="0" w:space="0" w:color="auto"/>
            <w:right w:val="none" w:sz="0" w:space="0" w:color="auto"/>
          </w:divBdr>
        </w:div>
        <w:div w:id="795105206">
          <w:marLeft w:val="1166"/>
          <w:marRight w:val="0"/>
          <w:marTop w:val="53"/>
          <w:marBottom w:val="0"/>
          <w:divBdr>
            <w:top w:val="none" w:sz="0" w:space="0" w:color="auto"/>
            <w:left w:val="none" w:sz="0" w:space="0" w:color="auto"/>
            <w:bottom w:val="none" w:sz="0" w:space="0" w:color="auto"/>
            <w:right w:val="none" w:sz="0" w:space="0" w:color="auto"/>
          </w:divBdr>
        </w:div>
        <w:div w:id="218905074">
          <w:marLeft w:val="1166"/>
          <w:marRight w:val="0"/>
          <w:marTop w:val="53"/>
          <w:marBottom w:val="0"/>
          <w:divBdr>
            <w:top w:val="none" w:sz="0" w:space="0" w:color="auto"/>
            <w:left w:val="none" w:sz="0" w:space="0" w:color="auto"/>
            <w:bottom w:val="none" w:sz="0" w:space="0" w:color="auto"/>
            <w:right w:val="none" w:sz="0" w:space="0" w:color="auto"/>
          </w:divBdr>
        </w:div>
        <w:div w:id="804935266">
          <w:marLeft w:val="1166"/>
          <w:marRight w:val="0"/>
          <w:marTop w:val="53"/>
          <w:marBottom w:val="0"/>
          <w:divBdr>
            <w:top w:val="none" w:sz="0" w:space="0" w:color="auto"/>
            <w:left w:val="none" w:sz="0" w:space="0" w:color="auto"/>
            <w:bottom w:val="none" w:sz="0" w:space="0" w:color="auto"/>
            <w:right w:val="none" w:sz="0" w:space="0" w:color="auto"/>
          </w:divBdr>
        </w:div>
        <w:div w:id="1523713129">
          <w:marLeft w:val="1166"/>
          <w:marRight w:val="0"/>
          <w:marTop w:val="53"/>
          <w:marBottom w:val="0"/>
          <w:divBdr>
            <w:top w:val="none" w:sz="0" w:space="0" w:color="auto"/>
            <w:left w:val="none" w:sz="0" w:space="0" w:color="auto"/>
            <w:bottom w:val="none" w:sz="0" w:space="0" w:color="auto"/>
            <w:right w:val="none" w:sz="0" w:space="0" w:color="auto"/>
          </w:divBdr>
        </w:div>
        <w:div w:id="1951274022">
          <w:marLeft w:val="547"/>
          <w:marRight w:val="0"/>
          <w:marTop w:val="6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ki8al</dc:creator>
  <cp:keywords/>
  <dc:description/>
  <cp:lastModifiedBy>ki8al</cp:lastModifiedBy>
  <cp:revision>7</cp:revision>
  <dcterms:created xsi:type="dcterms:W3CDTF">2019-03-08T14:03:00Z</dcterms:created>
  <dcterms:modified xsi:type="dcterms:W3CDTF">2019-04-15T17:11:00Z</dcterms:modified>
</cp:coreProperties>
</file>