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w:body>
    <w:tbl>
      <w:tblPr>
        <w:tblStyle w:val="TableStyle0"/>
        <w:tblW w:w="5000" w:type="pct"/>
        <w:tblCellMar>
          <w:left w:w="0" w:type="dxa"/>
          <w:right w:w="0" w:type="dxa"/>
        </w:tblCellMar>
        <w:tblLook w:val="04A0"/>
      </w:tblPr>
      <w:tblGrid>
        <w:gridCol w:w="915"/>
        <w:gridCol w:w="1230"/>
        <w:gridCol w:w="1395"/>
        <w:gridCol w:w="1485"/>
        <w:gridCol w:w="915"/>
        <w:gridCol w:w="3105"/>
        <w:gridCol w:w="1680"/>
      </w:tblGrid>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232" w:hRule="atLeast"/>
        </w:trPr>
        <w:tc>
          <w:tcPr>
            <w:tcW w:w="915" w:type="dxa"/>
            <w:shd w:val="clear" w:color="auto" w:fill="auto"/>
            <w:textDirection w:val="lrTb"/>
            <w:vAlign w:val="bottom"/>
          </w:tcPr>
          <w:p>
            <w:pPr>
              <w:spacing w:after="0"/>
              <w:jc w:val="left"/>
            </w:pPr>
          </w:p>
        </w:tc>
        <w:tc>
          <w:tcPr>
            <w:tcW w:w="4110" w:type="dxa"/>
            <w:gridSpan w:val="3"/>
            <w:vMerge w:val="restart"/>
            <w:shd w:val="clear" w:color="auto" w:fill="auto"/>
            <w:textDirection w:val="lrTb"/>
            <w:vAlign w:val="bottom"/>
          </w:tcPr>
          <w:p>
            <w:pPr>
              <w:spacing w:after="0"/>
              <w:jc w:val="left"/>
            </w:pPr>
            <w:r>
              <w:drawing xmlns:wp="http://schemas.openxmlformats.org/drawingml/2006/wordprocessingDrawing">
                <wp:anchor distT="0" distB="0" distL="0" distR="0" simplePos="0" relativeHeight="251658240" behindDoc="0" locked="1" layoutInCell="1" allowOverlap="1">
                  <wp:simplePos x="0" y="0"/>
                  <wp:positionH relativeFrom="leftMargin">
                    <wp:posOffset>0</wp:posOffset>
                  </wp:positionH>
                  <wp:positionV relativeFrom="topMargin">
                    <wp:posOffset>37500</wp:posOffset>
                  </wp:positionV>
                  <wp:extent cx="1593750" cy="506250"/>
                  <wp:effectExtent l="0" t="0" r="0" b="0"/>
                  <wp:wrapNone/>
                  <wp:docPr id="1" name="image000.png" descr="imag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0.png"/>
                          <pic:cNvPicPr/>
                        </pic:nvPicPr>
                        <pic:blipFill>
                          <a:blip r:embed="image000.png" cstate="print"/>
                          <a:srcRect l="555" r="555" t="1666" b="1666"/>
                          <a:stretch>
                            <a:fillRect/>
                          </a:stretch>
                        </pic:blipFill>
                        <pic:spPr>
                          <a:xfrm>
                            <a:off x="0" y="0"/>
                            <a:ext cx="1593750" cy="506250"/>
                          </a:xfrm>
                          <a:prstGeom prst="rect">
                            <a:avLst/>
                          </a:prstGeom>
                        </pic:spPr>
                      </pic:pic>
                    </a:graphicData>
                  </a:graphic>
                </wp:anchor>
              </w:drawing>
            </w: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4110" w:type="dxa"/>
            <w:gridSpan w:val="3"/>
            <w:vMerge w:val="continue"/>
            <w:shd w:val="clear" w:color="auto" w:fill="auto"/>
            <w:textDirection w:val="lrTb"/>
            <w:vAlign w:val="bottom"/>
          </w:tc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4110" w:type="dxa"/>
            <w:gridSpan w:val="3"/>
            <w:vMerge w:val="continue"/>
            <w:shd w:val="clear" w:color="auto" w:fill="auto"/>
            <w:textDirection w:val="lrTb"/>
            <w:vAlign w:val="bottom"/>
          </w:tc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4110" w:type="dxa"/>
            <w:gridSpan w:val="3"/>
            <w:vMerge w:val="continue"/>
            <w:shd w:val="clear" w:color="auto" w:fill="auto"/>
            <w:textDirection w:val="lrTb"/>
            <w:vAlign w:val="bottom"/>
          </w:tc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9810" w:type="dxa"/>
            <w:gridSpan w:val="6"/>
            <w:shd w:val="clear" w:color="auto" w:fill="auto"/>
            <w:textDirection w:val="lrTb"/>
            <w:vAlign w:val="bottom"/>
          </w:tcPr>
          <w:p>
            <w:pPr>
              <w:spacing w:after="0"/>
              <w:wordWrap w:val="1"/>
              <w:jc w:val="left"/>
            </w:pPr>
            <w:r>
              <w:rPr>
                <w:rFonts w:ascii="Arial" w:hAnsi="Arial"/>
                <w:b/>
                <w:sz w:val="19"/>
                <w:szCs w:val="19"/>
              </w:rPr>
              <w:t>Сотрудник: Александр Л.</w:t>
            </w: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4110" w:type="dxa"/>
            <w:gridSpan w:val="3"/>
            <w:shd w:val="clear" w:color="auto" w:fill="auto"/>
            <w:textDirection w:val="lrTb"/>
            <w:vAlign w:val="bottom"/>
          </w:tcPr>
          <w:p>
            <w:pPr>
              <w:spacing w:after="0"/>
              <w:wordWrap w:val="1"/>
              <w:jc w:val="left"/>
            </w:pPr>
            <w:r>
              <w:rPr>
                <w:rFonts w:ascii="Arial" w:hAnsi="Arial"/>
                <w:b/>
                <w:sz w:val="19"/>
                <w:szCs w:val="19"/>
              </w:rPr>
              <w:t>Основные конфигурации:</w:t>
            </w:r>
          </w:p>
        </w:tc>
        <w:tc>
          <w:tcPr>
            <w:tcW w:w="915" w:type="dxa"/>
            <w:shd w:val="clear" w:color="auto" w:fill="auto"/>
            <w:textDirection w:val="lrTb"/>
            <w:vAlign w:val="bottom"/>
          </w:tcPr>
          <w:p>
            <w:pPr>
              <w:spacing w:after="0"/>
              <w:wordWrap w:val="1"/>
              <w:jc w:val="left"/>
            </w:pPr>
          </w:p>
        </w:tc>
        <w:tc>
          <w:tcPr>
            <w:tcW w:w="3105" w:type="dxa"/>
            <w:shd w:val="clear" w:color="auto" w:fill="auto"/>
            <w:textDirection w:val="lrTb"/>
            <w:vAlign w:val="bottom"/>
          </w:tcPr>
          <w:p>
            <w:pPr>
              <w:spacing w:after="0"/>
              <w:wordWrap w:val="1"/>
              <w:jc w:val="left"/>
            </w:pPr>
          </w:p>
        </w:tc>
        <w:tc>
          <w:tcPr>
            <w:tcW w:w="1680" w:type="dxa"/>
            <w:shd w:val="clear" w:color="auto" w:fill="auto"/>
            <w:textDirection w:val="lrTb"/>
            <w:vAlign w:val="bottom"/>
          </w:tcPr>
          <w:p>
            <w:pPr>
              <w:spacing w:after="0"/>
              <w:wordWrap w:val="1"/>
              <w:jc w:val="left"/>
            </w:pPr>
          </w:p>
        </w:tc>
      </w:tr>
      <w:tr>
        <w:trPr>
          <w:cantSplit/>
          <w:trHeight w:val="0" w:hRule="auto"/>
        </w:trPr>
        <w:tc>
          <w:tcPr>
            <w:tcW w:w="915" w:type="dxa"/>
            <w:shd w:val="clear" w:color="auto" w:fill="auto"/>
            <w:textDirection w:val="lrTb"/>
            <w:vAlign w:val="bottom"/>
          </w:tcPr>
          <w:p>
            <w:pPr>
              <w:spacing w:after="0"/>
              <w:jc w:val="left"/>
            </w:pPr>
          </w:p>
        </w:tc>
        <w:tc>
          <w:tcPr>
            <w:tcW w:w="9810" w:type="dxa"/>
            <w:gridSpan w:val="6"/>
            <w:shd w:val="clear" w:color="auto" w:fill="auto"/>
            <w:textDirection w:val="lrTb"/>
            <w:vAlign w:val="bottom"/>
          </w:tcPr>
          <w:p>
            <w:pPr>
              <w:spacing w:after="0"/>
              <w:wordWrap w:val="1"/>
              <w:jc w:val="left"/>
            </w:pPr>
            <w:r>
              <w:rPr>
                <w:rFonts w:ascii="Arial" w:hAnsi="Arial"/>
                <w:sz w:val="19"/>
                <w:szCs w:val="19"/>
              </w:rPr>
              <w:t>1С: Управление нашей фирмой 1.6, 1С: ERP, 1С: УТ 10.3, 1С: Бухгалтерия 2, 1С: УПП 1.3, 1С: ЗУП 2.5, 1С: ЗУП 3.1, 1С: Документооборот 3.0, 1С: Управление автотранспортом</w:t>
            </w: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4110" w:type="dxa"/>
            <w:gridSpan w:val="3"/>
            <w:shd w:val="clear" w:color="auto" w:fill="auto"/>
            <w:textDirection w:val="lrTb"/>
            <w:vAlign w:val="bottom"/>
          </w:tcPr>
          <w:p>
            <w:pPr>
              <w:spacing w:after="0"/>
              <w:jc w:val="left"/>
            </w:pPr>
            <w:r>
              <w:rPr>
                <w:rFonts w:ascii="Arial" w:hAnsi="Arial"/>
                <w:b/>
                <w:sz w:val="19"/>
                <w:szCs w:val="19"/>
              </w:rPr>
              <w:t>Специализация / навыки:</w:t>
            </w: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9810" w:type="dxa"/>
            <w:gridSpan w:val="6"/>
            <w:shd w:val="clear" w:color="auto" w:fill="auto"/>
            <w:textDirection w:val="lrTb"/>
            <w:vAlign w:val="bottom"/>
          </w:tcPr>
          <w:p>
            <w:pPr>
              <w:spacing w:after="0"/>
              <w:wordWrap w:val="1"/>
              <w:jc w:val="left"/>
            </w:pPr>
            <w:r>
              <w:rPr>
                <w:rFonts w:ascii="Arial" w:hAnsi="Arial"/>
                <w:sz w:val="19"/>
                <w:szCs w:val="19"/>
              </w:rPr>
              <w:t>Оперативный учет, НСИ, Регламентированный учет, Все блоки ERP, Зарплата</w:t>
            </w: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5025" w:type="dxa"/>
            <w:gridSpan w:val="4"/>
            <w:shd w:val="clear" w:color="auto" w:fill="auto"/>
            <w:textDirection w:val="lrTb"/>
            <w:vAlign w:val="bottom"/>
          </w:tcPr>
          <w:p>
            <w:pPr>
              <w:spacing w:after="0"/>
              <w:jc w:val="left"/>
            </w:pPr>
            <w:r>
              <w:rPr>
                <w:rFonts w:ascii="Arial" w:hAnsi="Arial"/>
                <w:b/>
                <w:sz w:val="19"/>
                <w:szCs w:val="19"/>
              </w:rPr>
              <w:t>Повышение квалификации:</w:t>
            </w: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center"/>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jc w:val="center"/>
            </w:pPr>
            <w:r>
              <w:rPr>
                <w:rFonts w:ascii="Arial" w:hAnsi="Arial"/>
                <w:b/>
                <w:sz w:val="15"/>
                <w:szCs w:val="15"/>
              </w:rPr>
              <w:t>Год получения</w:t>
            </w:r>
          </w:p>
        </w:tc>
        <w:tc>
          <w:tcPr>
            <w:tcW w:w="8580" w:type="dxa"/>
            <w:gridSpan w:val="5"/>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jc w:val="center"/>
            </w:pPr>
            <w:r>
              <w:rPr>
                <w:rFonts w:ascii="Arial" w:hAnsi="Arial"/>
                <w:b/>
                <w:sz w:val="15"/>
                <w:szCs w:val="15"/>
              </w:rPr>
              <w:t>Наименование сертификата/курса</w:t>
            </w:r>
          </w:p>
        </w:tc>
      </w:tr>
      <w:tr>
        <w:trPr>
          <w:cantSplit/>
          <w:trHeight w:val="0" w:hRule="auto"/>
        </w:trPr>
        <w:tc>
          <w:tcPr>
            <w:tcW w:w="915" w:type="dxa"/>
            <w:shd w:val="clear" w:color="auto" w:fill="auto"/>
            <w:textDirection w:val="lrTb"/>
            <w:vAlign w:val="center"/>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2013</w:t>
            </w:r>
          </w:p>
        </w:tc>
        <w:tc>
          <w:tcPr>
            <w:tcW w:w="8580" w:type="dxa"/>
            <w:gridSpan w:val="5"/>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Профессионал по программе "1С:Управление торговлей 8"</w:t>
            </w:r>
          </w:p>
        </w:tc>
      </w:tr>
      <w:tr>
        <w:trPr>
          <w:cantSplit/>
          <w:trHeight w:val="0" w:hRule="auto"/>
        </w:trPr>
        <w:tc>
          <w:tcPr>
            <w:tcW w:w="915" w:type="dxa"/>
            <w:shd w:val="clear" w:color="auto" w:fill="auto"/>
            <w:textDirection w:val="lrTb"/>
            <w:vAlign w:val="center"/>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2012</w:t>
            </w:r>
          </w:p>
        </w:tc>
        <w:tc>
          <w:tcPr>
            <w:tcW w:w="8580" w:type="dxa"/>
            <w:gridSpan w:val="5"/>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Профессионал по платформе "1С:Предприятие 8.3"</w:t>
            </w: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5025" w:type="dxa"/>
            <w:gridSpan w:val="4"/>
            <w:shd w:val="clear" w:color="auto" w:fill="auto"/>
            <w:textDirection w:val="lrTb"/>
            <w:vAlign w:val="bottom"/>
          </w:tcPr>
          <w:p>
            <w:pPr>
              <w:spacing w:after="0"/>
              <w:jc w:val="left"/>
            </w:pPr>
            <w:r>
              <w:rPr>
                <w:rFonts w:ascii="Arial" w:hAnsi="Arial"/>
                <w:b/>
                <w:sz w:val="19"/>
                <w:szCs w:val="19"/>
              </w:rPr>
              <w:t>Опыт работы:</w:t>
            </w: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Сфера деятельности</w:t>
            </w: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Краткое описание функционала, который автоматизировался на проекте</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ИТ платформа, на базе которой был реализован проект</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Срок проекта</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Результаты, которых удалось достичь на проекте в указанный срок</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Персональная роль</w:t>
            </w:r>
          </w:p>
        </w:tc>
      </w:tr>
      <w:tr>
        <w:trPr>
          <w:cantSplit/>
          <w:trHeight w:val="0" w:hRule="auto"/>
        </w:trPr>
        <w:tc>
          <w:tcPr>
            <w:tcW w:w="915" w:type="dxa"/>
            <w:shd w:val="clear" w:color="auto" w:fill="auto"/>
            <w:textDirection w:val="lrTb"/>
            <w:vAlign w:val="bottom"/>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Транспортная отрасль</w:t>
            </w: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правил обмена для передачи НСИ (20+ справочников) между 4-мя базами. Создание правил обменов документов между ЕРПУХ и УАТ.</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ERP; 1С: ЗУП 3.1; 1С: Документооборот 3.0; 1С: Управление автотранспортом</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07.2024 - 02.2025</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Созданы правила обмена для баз. Обмен проходит между различными источниками и приемниками. По определенным правилам регистрации. Правила обмена включают более 20 справочников, а также документы.Использовалась доработка напрямую в модулях обмена, без использования КД2 или КД3.</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Угольная промышленность</w:t>
            </w: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Доработать докуметы и обработки для схемы Давальца, исправление текущего функционала и ошибок.</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ERP</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11.2023 - 05.2024</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Доработаны документы цепочки выполнения бизнес-процесса по работе между давальцем и заводом, сделаны новые проводки. Исправлены ошибки которые существовали в базе для документов, обработок и отчетов.</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1С-Франчайзи</w:t>
            </w: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Доработка модуля MES для клиента Мясокомбината</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ERP</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09.2021 - 09.2023</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документов, отчетов для ведения учета, создание рабочего места сотрудника. Разработка механизма получения сырья, передачи продукции между цехами, реализации продукции клиенту. Создание механизма тарирования. Создание механизма учета брака на производстве, учета ВСМ. Сборка паллет с продукцией, инвентаризации. Входа и выхода сырья из заморозки, регистрация потерь в процессе.</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vMerge w:val="restart"/>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Оценка недвижимости, риелторство</w:t>
            </w: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почтового клиента в 1С, создание чата в 1С</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Управление нашей фирмой 1.6</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01.2018 - 09.2021</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В рамках проекта были реализованы следующие функции:</w:t>
            </w:r>
          </w:p>
          <w:p>
            <w:pPr>
              <w:spacing w:after="0"/>
              <w:wordWrap w:val="1"/>
              <w:jc w:val="left"/>
            </w:pPr>
            <w:r>
              <w:rPr>
                <w:rFonts w:ascii="Arial" w:hAnsi="Arial"/>
                <w:sz w:val="15"/>
                <w:szCs w:val="15"/>
              </w:rPr>
              <w:t>- Создание почтового клиента, который позволяет работать с несколькими корпоративными почтовыми ящиками в системе 1С, а также обрабатывать письма и осуществлять массовую рассылку.</w:t>
            </w:r>
          </w:p>
          <w:p>
            <w:pPr>
              <w:spacing w:after="0"/>
              <w:wordWrap w:val="1"/>
              <w:jc w:val="left"/>
            </w:pPr>
            <w:r>
              <w:rPr>
                <w:rFonts w:ascii="Arial" w:hAnsi="Arial"/>
                <w:sz w:val="15"/>
                <w:szCs w:val="15"/>
              </w:rPr>
              <w:t>- Создание внутреннего чата для компании, который предоставляет возможность создавать каналы и обеспечивает конфиденциальность общения.  Реализовано на основе Discord.</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vMerge w:val="continue"/>
            <w:tcBorders>
              <w:top w:val="single" w:sz="5" w:space="0" w:color="auto"/>
              <w:left w:val="single" w:sz="5" w:space="0" w:color="auto"/>
              <w:bottom w:val="single" w:sz="5" w:space="0" w:color="auto"/>
              <w:right w:val="single" w:sz="5" w:space="0" w:color="auto"/>
            </w:tcBorders>
            <w:shd w:val="clear" w:color="auto" w:fill="auto"/>
            <w:textDirection w:val="lrTb"/>
            <w:vAlign w:val="bottom"/>
          </w:tcP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проектного управления</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Управление нашей фирмой 1.6</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09.2017 - 12.2017</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документов для регистрации задач, проектов. Реализация проектного менеджмента, учета рабочего времени, итерационной системы SCRAM, создание доски Канбан. Привязка решения задач к начислениям сотрудников.</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vMerge w:val="continue"/>
            <w:tcBorders>
              <w:top w:val="single" w:sz="5" w:space="0" w:color="auto"/>
              <w:left w:val="single" w:sz="5" w:space="0" w:color="auto"/>
              <w:bottom w:val="single" w:sz="5" w:space="0" w:color="auto"/>
              <w:right w:val="single" w:sz="5" w:space="0" w:color="auto"/>
            </w:tcBorders>
            <w:shd w:val="clear" w:color="auto" w:fill="auto"/>
            <w:textDirection w:val="lrTb"/>
            <w:vAlign w:val="bottom"/>
          </w:tcP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Автоматизация зарплатной части и отпусков. Расшифровка выписок из банка</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Управление нашей фирмой 1.6</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12.2016 - 09.2017</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зарплатного документа, печатной ведомости, расчет зарплаты, создание документа отпусков, расчет отпусков, регистрация и планирования отпусков. Чтение выписки из банка по карте, присвоение платежа конкретной заявке клиента на основании полей Назначение платежа, суммы, ФИО. Создание фоновой задачи для чтения файлов из папки при их появлении и архивации прочитанных.</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vMerge w:val="continue"/>
            <w:tcBorders>
              <w:top w:val="single" w:sz="5" w:space="0" w:color="auto"/>
              <w:left w:val="single" w:sz="5" w:space="0" w:color="auto"/>
              <w:bottom w:val="single" w:sz="5" w:space="0" w:color="auto"/>
              <w:right w:val="single" w:sz="5" w:space="0" w:color="auto"/>
            </w:tcBorders>
            <w:shd w:val="clear" w:color="auto" w:fill="auto"/>
            <w:textDirection w:val="lrTb"/>
            <w:vAlign w:val="bottom"/>
          </w:tcP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конструктора договоров</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Управление нашей фирмой 1.6</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09.2016 - 12.2016</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механизма, позволяющего создавать и печатать договора сотрудникам на основании данных документов из 1С или констант. Возможность работы с условиями (&gt;,&lt;,=,подобно, заполнено и т.д.) - как результат, подстановки могли быть значения или вызываемые функции для получения результата.</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vMerge w:val="continue"/>
            <w:tcBorders>
              <w:top w:val="single" w:sz="5" w:space="0" w:color="auto"/>
              <w:left w:val="single" w:sz="5" w:space="0" w:color="auto"/>
              <w:bottom w:val="single" w:sz="5" w:space="0" w:color="auto"/>
              <w:right w:val="single" w:sz="5" w:space="0" w:color="auto"/>
            </w:tcBorders>
            <w:shd w:val="clear" w:color="auto" w:fill="auto"/>
            <w:textDirection w:val="lrTb"/>
            <w:vAlign w:val="bottom"/>
          </w:tcP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Автоматизация оценочной и риэлтерской деятельности. Перенос данных и отчетов из excel в 1С, создание CRM системы</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Управление нашей фирмой 1.6</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09.2015 - 09.2016</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Создание документов для внесения заявок клиентов. Создание рабочего стола менеджера, сотрудника, директора, риэлтора, маркетолога. Печать. Создание обмена и взаимодействие с сайтом. Создание бизнес-процесса проведения сделок. Перенос данных и отчетов. Создание отчетов. Создание системы лояльности. Реализация идей маркетолога по привлечению клиентов. Регистрация холодных, горячих звонков.</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1С-Франчайзи</w:t>
            </w:r>
          </w:p>
        </w:tc>
        <w:tc>
          <w:tcPr>
            <w:tcW w:w="139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Текущее сопровождение клиентов из разных отраслей</w:t>
            </w:r>
          </w:p>
        </w:tc>
        <w:tc>
          <w:tcPr>
            <w:tcW w:w="148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1С: УТ 10.3; 1С: Бухгалтерия 2; 1С: УПП 1.3; 1С: ЗУП 2.5</w:t>
            </w:r>
          </w:p>
        </w:tc>
        <w:tc>
          <w:tcPr>
            <w:tcW w:w="91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sz w:val="15"/>
                <w:szCs w:val="15"/>
              </w:rPr>
              <w:t>09.2012 - 09.2015</w:t>
            </w:r>
          </w:p>
        </w:tc>
        <w:tc>
          <w:tcPr>
            <w:tcW w:w="3105"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Обновление типовых баз, обмен между типовыми базами, доработка документов и отчетов. Автоматизация Логистики. Создание печатных форм. Выгрузки из баз данных.</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Разработчик</w:t>
            </w:r>
          </w:p>
        </w:tc>
      </w:tr>
      <w:tr>
        <w:trPr>
          <w:cantSplit/>
          <w:trHeight w:val="0" w:hRule="auto"/>
        </w:trPr>
        <w:tc>
          <w:tcPr>
            <w:tcW w:w="915" w:type="dxa"/>
            <w:shd w:val="clear" w:color="auto" w:fill="auto"/>
            <w:textDirection w:val="lrTb"/>
            <w:vAlign w:val="bottom"/>
          </w:tcPr>
          <w:p>
            <w:pPr>
              <w:spacing w:after="0"/>
              <w:jc w:val="left"/>
            </w:pPr>
          </w:p>
        </w:tc>
        <w:tc>
          <w:tcPr>
            <w:tcW w:w="1230" w:type="dxa"/>
            <w:shd w:val="clear" w:color="auto" w:fill="auto"/>
            <w:textDirection w:val="lrTb"/>
            <w:vAlign w:val="bottom"/>
          </w:tcPr>
          <w:p>
            <w:pPr>
              <w:spacing w:after="0"/>
              <w:jc w:val="left"/>
            </w:pPr>
          </w:p>
        </w:tc>
        <w:tc>
          <w:tcPr>
            <w:tcW w:w="1395" w:type="dxa"/>
            <w:shd w:val="clear" w:color="auto" w:fill="auto"/>
            <w:textDirection w:val="lrTb"/>
            <w:vAlign w:val="bottom"/>
          </w:tcPr>
          <w:p>
            <w:pPr>
              <w:spacing w:after="0"/>
              <w:jc w:val="left"/>
            </w:pPr>
          </w:p>
        </w:tc>
        <w:tc>
          <w:tcPr>
            <w:tcW w:w="1485" w:type="dxa"/>
            <w:shd w:val="clear" w:color="auto" w:fill="auto"/>
            <w:textDirection w:val="lrTb"/>
            <w:vAlign w:val="bottom"/>
          </w:tcPr>
          <w:p>
            <w:pPr>
              <w:spacing w:after="0"/>
              <w:jc w:val="left"/>
            </w:pPr>
          </w:p>
        </w:tc>
        <w:tc>
          <w:tcPr>
            <w:tcW w:w="915" w:type="dxa"/>
            <w:shd w:val="clear" w:color="auto" w:fill="auto"/>
            <w:textDirection w:val="lrTb"/>
            <w:vAlign w:val="bottom"/>
          </w:tcPr>
          <w:p>
            <w:pPr>
              <w:spacing w:after="0"/>
              <w:jc w:val="left"/>
            </w:pP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bottom"/>
          </w:tcPr>
          <w:p>
            <w:pPr>
              <w:spacing w:after="0"/>
              <w:jc w:val="left"/>
            </w:pPr>
          </w:p>
        </w:tc>
        <w:tc>
          <w:tcPr>
            <w:tcW w:w="5025" w:type="dxa"/>
            <w:gridSpan w:val="4"/>
            <w:shd w:val="clear" w:color="auto" w:fill="auto"/>
            <w:textDirection w:val="lrTb"/>
            <w:vAlign w:val="bottom"/>
          </w:tcPr>
          <w:p>
            <w:pPr>
              <w:spacing w:after="0"/>
              <w:jc w:val="left"/>
            </w:pPr>
            <w:r>
              <w:rPr>
                <w:rFonts w:ascii="Arial" w:hAnsi="Arial"/>
                <w:b/>
                <w:sz w:val="19"/>
                <w:szCs w:val="19"/>
              </w:rPr>
              <w:t>Образование:</w:t>
            </w:r>
          </w:p>
        </w:tc>
        <w:tc>
          <w:tcPr>
            <w:tcW w:w="3105" w:type="dxa"/>
            <w:shd w:val="clear" w:color="auto" w:fill="auto"/>
            <w:textDirection w:val="lrTb"/>
            <w:vAlign w:val="bottom"/>
          </w:tcPr>
          <w:p>
            <w:pPr>
              <w:spacing w:after="0"/>
              <w:jc w:val="left"/>
            </w:pPr>
          </w:p>
        </w:tc>
        <w:tc>
          <w:tcPr>
            <w:tcW w:w="1680" w:type="dxa"/>
            <w:shd w:val="clear" w:color="auto" w:fill="auto"/>
            <w:textDirection w:val="lrTb"/>
            <w:vAlign w:val="bottom"/>
          </w:tcPr>
          <w:p>
            <w:pPr>
              <w:spacing w:after="0"/>
              <w:jc w:val="left"/>
            </w:pPr>
          </w:p>
        </w:tc>
      </w:tr>
      <w:tr>
        <w:trPr>
          <w:cantSplit/>
          <w:trHeight w:val="0" w:hRule="auto"/>
        </w:trPr>
        <w:tc>
          <w:tcPr>
            <w:tcW w:w="915" w:type="dxa"/>
            <w:shd w:val="clear" w:color="auto" w:fill="auto"/>
            <w:textDirection w:val="lrTb"/>
            <w:vAlign w:val="center"/>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Год окончания</w:t>
            </w:r>
          </w:p>
        </w:tc>
        <w:tc>
          <w:tcPr>
            <w:tcW w:w="2880" w:type="dxa"/>
            <w:gridSpan w:val="2"/>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center"/>
            </w:pPr>
            <w:r>
              <w:rPr>
                <w:rFonts w:ascii="Arial" w:hAnsi="Arial"/>
                <w:b/>
                <w:sz w:val="15"/>
                <w:szCs w:val="15"/>
              </w:rPr>
              <w:t>Наименование ВУЗа</w:t>
            </w:r>
          </w:p>
        </w:tc>
        <w:tc>
          <w:tcPr>
            <w:tcW w:w="4020" w:type="dxa"/>
            <w:gridSpan w:val="2"/>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jc w:val="center"/>
            </w:pPr>
            <w:r>
              <w:rPr>
                <w:rFonts w:ascii="Arial" w:hAnsi="Arial"/>
                <w:b/>
                <w:sz w:val="15"/>
                <w:szCs w:val="15"/>
              </w:rPr>
              <w:t>Специальность</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jc w:val="center"/>
            </w:pPr>
            <w:r>
              <w:rPr>
                <w:rFonts w:ascii="Arial" w:hAnsi="Arial"/>
                <w:b/>
                <w:sz w:val="15"/>
                <w:szCs w:val="15"/>
              </w:rPr>
              <w:t>Квалификация</w:t>
            </w:r>
          </w:p>
        </w:tc>
      </w:tr>
      <w:tr>
        <w:trPr>
          <w:cantSplit/>
          <w:trHeight w:val="0" w:hRule="auto"/>
        </w:trPr>
        <w:tc>
          <w:tcPr>
            <w:tcW w:w="915" w:type="dxa"/>
            <w:shd w:val="clear" w:color="auto" w:fill="auto"/>
            <w:textDirection w:val="lrTb"/>
            <w:vAlign w:val="center"/>
          </w:tcPr>
          <w:p>
            <w:pPr>
              <w:spacing w:after="0"/>
              <w:jc w:val="left"/>
            </w:pPr>
          </w:p>
        </w:tc>
        <w:tc>
          <w:tcPr>
            <w:tcW w:w="123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jc w:val="center"/>
            </w:pPr>
            <w:r>
              <w:rPr>
                <w:rFonts w:ascii="Arial" w:hAnsi="Arial"/>
                <w:sz w:val="15"/>
                <w:szCs w:val="15"/>
              </w:rPr>
              <w:t>2016</w:t>
            </w:r>
          </w:p>
        </w:tc>
        <w:tc>
          <w:tcPr>
            <w:tcW w:w="2880" w:type="dxa"/>
            <w:gridSpan w:val="2"/>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ФГБОУ Высшего профессионального образования "Омский государственный университет им. Ф.М. Достоевского"</w:t>
            </w:r>
          </w:p>
        </w:tc>
        <w:tc>
          <w:tcPr>
            <w:tcW w:w="4020" w:type="dxa"/>
            <w:gridSpan w:val="2"/>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Информатика и вычислительная техника</w:t>
            </w:r>
          </w:p>
        </w:tc>
        <w:tc>
          <w:tcPr>
            <w:tcW w:w="1680" w:type="dxa"/>
            <w:tcBorders>
              <w:top w:val="single" w:sz="5" w:space="0" w:color="auto"/>
              <w:left w:val="single" w:sz="5" w:space="0" w:color="auto"/>
              <w:bottom w:val="single" w:sz="5" w:space="0" w:color="auto"/>
              <w:right w:val="single" w:sz="5" w:space="0" w:color="auto"/>
            </w:tcBorders>
            <w:shd w:val="clear" w:color="auto" w:fill="auto"/>
            <w:textDirection w:val="lrTb"/>
            <w:vAlign w:val="center"/>
          </w:tcPr>
          <w:p>
            <w:pPr>
              <w:spacing w:after="0"/>
              <w:wordWrap w:val="1"/>
              <w:jc w:val="left"/>
            </w:pPr>
            <w:r>
              <w:rPr>
                <w:rFonts w:ascii="Arial" w:hAnsi="Arial"/>
                <w:sz w:val="15"/>
                <w:szCs w:val="15"/>
              </w:rPr>
              <w:t>Бакалавр</w:t>
            </w:r>
          </w:p>
        </w:tc>
      </w:tr>
    </w:tbl>
    <w:sectPr>
      <w:pgSz w:w="11907" w:h="16839" w:orient="portrait"/>
      <w:pgMar w:top="567" w:right="567" w:bottom="567" w:left="567"/>
    </w:sectPr>
  </w:body>
</w:document>
</file>

<file path=word/settings.xml><?xml version="1.0" encoding="utf-8"?>
<w:settings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view w:val="normal"/>
  <w:zoom w:percent="100"/>
</w:settings>
</file>

<file path=word/styles.xml><?xml version="1.0" encoding="utf-8"?>
<w:styles xmlns:r="http://schemas.openxmlformats.org/officeDocument/2006/relationships" xmlns:w="http://schemas.openxmlformats.org/wordprocessingml/2006/main">
  <w:style w:type="table" w:styleId="TableStyle0">
    <w:name w:val="TableStyle0"/>
    <w:pPr>
      <w:spacing w:after="0" w:line="240" w:lineRule="auto"/>
    </w:pPr>
    <w:rPr>
      <w:rFonts w:ascii="Arial" w:hAnsi="Arial"/>
      <w:sz w:val="15"/>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header" Target="header2.xml"/>
	<Relationship Id="rId11" Type="http://schemas.openxmlformats.org/officeDocument/2006/relationships/footer" Target="footer2.xml"/>
	<Relationship Id="image000.png" Type="http://schemas.openxmlformats.org/officeDocument/2006/relationships/image" Target="media/image000.png"/>
</Relationships>
</file>