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rPr/>
        <w:tc>
          <w:tcPr>
            <w:tcW w:w="495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bCs/>
                <w:sz w:val="20"/>
                <w:szCs w:val="20"/>
              </w:rPr>
              <w:t>Ф.И.О.:</w:t>
            </w:r>
            <w:r>
              <w:rPr>
                <w:sz w:val="20"/>
                <w:szCs w:val="20"/>
              </w:rPr>
              <w:t xml:space="preserve"> Познянский Антон Андреевич;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bCs/>
                <w:sz w:val="20"/>
                <w:szCs w:val="20"/>
              </w:rPr>
              <w:t>Город проживания:</w:t>
            </w:r>
            <w:r>
              <w:rPr>
                <w:sz w:val="20"/>
                <w:szCs w:val="20"/>
              </w:rPr>
              <w:t xml:space="preserve"> Санкт-Петербург;</w:t>
            </w:r>
          </w:p>
          <w:p>
            <w:pPr>
              <w:pStyle w:val="Normal"/>
              <w:widowControl w:val="false"/>
              <w:autoSpaceDE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Семейное положение:</w:t>
            </w:r>
            <w:r>
              <w:rPr>
                <w:sz w:val="20"/>
                <w:szCs w:val="20"/>
              </w:rPr>
              <w:t xml:space="preserve"> Женат;</w:t>
            </w:r>
          </w:p>
          <w:p>
            <w:pPr>
              <w:pStyle w:val="Normal"/>
              <w:widowControl w:val="false"/>
              <w:autoSpaceDE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Год рождения: </w:t>
            </w:r>
            <w:r>
              <w:rPr>
                <w:sz w:val="20"/>
                <w:szCs w:val="20"/>
              </w:rPr>
              <w:t>1983;</w:t>
            </w:r>
          </w:p>
          <w:p>
            <w:pPr>
              <w:pStyle w:val="Normal"/>
              <w:widowControl w:val="false"/>
              <w:autoSpaceDE w:val="false"/>
              <w:rPr>
                <w:bCs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 xml:space="preserve">Телефон: </w:t>
            </w:r>
            <w:r>
              <w:rPr>
                <w:sz w:val="20"/>
                <w:szCs w:val="20"/>
              </w:rPr>
              <w:t>+7(911) 268-67-45.</w:t>
            </w:r>
          </w:p>
        </w:tc>
        <w:tc>
          <w:tcPr>
            <w:tcW w:w="495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autoSpaceDE w:val="false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widowControl w:val="false"/>
        <w:autoSpaceDE w:val="false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Резюме</w:t>
      </w:r>
    </w:p>
    <w:p>
      <w:pPr>
        <w:pStyle w:val="Normal"/>
        <w:widowControl w:val="false"/>
        <w:autoSpaceDE w:val="false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widowControl w:val="false"/>
        <w:autoSpaceDE w:val="false"/>
        <w:jc w:val="both"/>
        <w:rPr/>
      </w:pPr>
      <w:r>
        <w:rPr>
          <w:b/>
          <w:bCs/>
          <w:sz w:val="20"/>
          <w:szCs w:val="20"/>
        </w:rPr>
        <w:t xml:space="preserve">Образование: </w:t>
      </w:r>
      <w:r>
        <w:rPr>
          <w:bCs/>
          <w:sz w:val="20"/>
          <w:szCs w:val="20"/>
        </w:rPr>
        <w:t xml:space="preserve">Высшее, </w:t>
      </w:r>
      <w:r>
        <w:rPr>
          <w:sz w:val="20"/>
          <w:szCs w:val="20"/>
        </w:rPr>
        <w:t>2005 г.</w:t>
      </w:r>
    </w:p>
    <w:p>
      <w:pPr>
        <w:pStyle w:val="Normal"/>
        <w:widowControl w:val="false"/>
        <w:autoSpaceDE w:val="false"/>
        <w:ind w:firstLine="720" w:righ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Таганрогский Государственный Педагогический Институт. Физико-математический факультет. </w:t>
      </w:r>
    </w:p>
    <w:p>
      <w:pPr>
        <w:pStyle w:val="Normal"/>
        <w:widowControl w:val="false"/>
        <w:autoSpaceDE w:val="false"/>
        <w:ind w:left="720" w:right="0"/>
        <w:jc w:val="both"/>
        <w:rPr>
          <w:sz w:val="20"/>
          <w:szCs w:val="20"/>
        </w:rPr>
      </w:pPr>
      <w:r>
        <w:rPr>
          <w:sz w:val="20"/>
          <w:szCs w:val="20"/>
        </w:rPr>
        <w:t>Специализация:</w:t>
      </w:r>
      <w:r>
        <w:rPr>
          <w:b/>
          <w:bCs/>
          <w:sz w:val="20"/>
          <w:szCs w:val="20"/>
        </w:rPr>
        <w:t xml:space="preserve"> </w:t>
      </w:r>
      <w:r>
        <w:rPr>
          <w:i/>
          <w:sz w:val="20"/>
          <w:szCs w:val="20"/>
        </w:rPr>
        <w:t>Математика и информатика.</w:t>
      </w:r>
    </w:p>
    <w:p>
      <w:pPr>
        <w:pStyle w:val="Normal"/>
        <w:autoSpaceDE w:val="false"/>
        <w:rPr>
          <w:rFonts w:ascii="Tahoma" w:hAnsi="Tahoma" w:cs="Tahoma"/>
          <w:color w:val="000000"/>
          <w:sz w:val="18"/>
          <w:szCs w:val="18"/>
        </w:rPr>
      </w:pPr>
      <w:r>
        <w:rPr>
          <w:rFonts w:cs="Tahoma" w:ascii="Tahoma" w:hAnsi="Tahoma"/>
          <w:color w:val="000000"/>
          <w:sz w:val="18"/>
          <w:szCs w:val="18"/>
        </w:rPr>
      </w:r>
    </w:p>
    <w:p>
      <w:pPr>
        <w:pStyle w:val="Normal"/>
        <w:autoSpaceDE w:val="false"/>
        <w:rPr/>
      </w:pPr>
      <w:r>
        <w:rPr>
          <w:rFonts w:cs="Tahoma" w:ascii="Tahoma" w:hAnsi="Tahoma"/>
          <w:b/>
          <w:color w:val="000000"/>
          <w:sz w:val="18"/>
          <w:szCs w:val="18"/>
        </w:rPr>
        <w:t>Опыт работы</w:t>
      </w:r>
      <w:r>
        <w:rPr>
          <w:rFonts w:cs="Tahoma" w:ascii="Tahoma" w:hAnsi="Tahoma"/>
          <w:color w:val="000000"/>
          <w:sz w:val="18"/>
          <w:szCs w:val="18"/>
        </w:rPr>
        <w:t>: 20 лет</w:t>
      </w:r>
    </w:p>
    <w:p>
      <w:pPr>
        <w:pStyle w:val="Normal"/>
        <w:widowControl w:val="false"/>
        <w:autoSpaceDE w:val="false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cs="Tahoma" w:ascii="Tahoma" w:hAnsi="Tahoma"/>
          <w:b/>
          <w:bCs/>
          <w:color w:val="000000"/>
          <w:sz w:val="18"/>
          <w:szCs w:val="18"/>
        </w:rPr>
      </w:r>
    </w:p>
    <w:p>
      <w:pPr>
        <w:pStyle w:val="Normal"/>
        <w:widowControl w:val="false"/>
        <w:autoSpaceDE w:val="false"/>
        <w:rPr>
          <w:b/>
          <w:bCs/>
        </w:rPr>
      </w:pPr>
      <w:r>
        <w:rPr>
          <w:b/>
          <w:bCs/>
        </w:rPr>
        <w:t xml:space="preserve">Паспорт специалиста 1С:  </w:t>
      </w:r>
      <w:hyperlink r:id="rId2">
        <w:r>
          <w:rPr>
            <w:rStyle w:val="Hyperlink"/>
            <w:b/>
            <w:bCs/>
          </w:rPr>
          <w:t>https://uc1.1c.ru/account/summary/?token=31c3406275ad7fe99752b4c3521ef161</w:t>
        </w:r>
      </w:hyperlink>
      <w:r>
        <w:rPr>
          <w:b/>
          <w:bCs/>
        </w:rPr>
        <w:t xml:space="preserve"> </w:t>
      </w:r>
    </w:p>
    <w:p>
      <w:pPr>
        <w:pStyle w:val="Normal"/>
        <w:widowControl w:val="false"/>
        <w:autoSpaceDE w:val="false"/>
        <w:rPr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autoSpaceDE w:val="false"/>
        <w:rPr>
          <w:b/>
          <w:bCs/>
        </w:rPr>
      </w:pPr>
      <w:r>
        <w:rPr>
          <w:b/>
          <w:bCs/>
        </w:rPr>
        <w:t>Профессиональные знания и навыки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2160" w:leader="none"/>
        </w:tabs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  <w:t>Участие в разработке не типовых конфигураций.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2160" w:leader="none"/>
        </w:tabs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  <w:t>Сложная доработка типовых конфигураций;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2160" w:leader="none"/>
        </w:tabs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  <w:t>Опыт разработки в УПП, УТ, БП, Зарплата, ЕРП, Документооборот, Отраслевых конфигурациях;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2160" w:leader="none"/>
        </w:tabs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  <w:t>Умение общаться с клиентом, разрешать конфликтные ситуации, находить компромиссы в сложных ситуациях;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2160" w:leader="none"/>
        </w:tabs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  <w:t>Навыки работы в проектном управлении;</w:t>
      </w:r>
    </w:p>
    <w:p>
      <w:pPr>
        <w:pStyle w:val="Normal"/>
        <w:widowControl w:val="false"/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rPr>
          <w:b/>
          <w:bCs/>
        </w:rPr>
      </w:pPr>
      <w:r>
        <w:rPr>
          <w:b/>
          <w:bCs/>
        </w:rPr>
        <w:t>Опыт работы кратко:</w:t>
      </w:r>
    </w:p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rPr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iCs/>
        </w:rPr>
      </w:pPr>
      <w:r>
        <w:rPr>
          <w:b/>
          <w:bCs/>
          <w:lang w:val="en-US"/>
        </w:rPr>
        <w:t>Net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Consult</w:t>
      </w:r>
      <w:r>
        <w:rPr>
          <w:b/>
          <w:bCs/>
        </w:rPr>
        <w:t xml:space="preserve"> </w:t>
      </w:r>
      <w:r>
        <w:rPr/>
        <w:t xml:space="preserve">с 2015 по настоящее время - </w:t>
      </w:r>
      <w:r>
        <w:rPr>
          <w:iCs/>
        </w:rPr>
        <w:t xml:space="preserve">Разработчик; Консультант ДО; Консультант </w:t>
      </w:r>
      <w:r>
        <w:rPr>
          <w:iCs/>
          <w:lang w:val="en-US"/>
        </w:rPr>
        <w:t>ERP</w:t>
      </w:r>
      <w:r>
        <w:rPr>
          <w:iCs/>
        </w:rPr>
        <w:t>;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iCs/>
        </w:rPr>
      </w:pPr>
      <w:r>
        <w:rPr>
          <w:b/>
          <w:bCs/>
          <w:lang w:val="en-US"/>
        </w:rPr>
        <w:t>West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Concept</w:t>
      </w:r>
      <w:r>
        <w:rPr/>
        <w:t xml:space="preserve"> с 2012 по 2015 - </w:t>
      </w:r>
      <w:r>
        <w:rPr>
          <w:iCs/>
        </w:rPr>
        <w:t xml:space="preserve">Руководитель проектов; Разработчик; 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iCs/>
        </w:rPr>
      </w:pPr>
      <w:r>
        <w:rPr>
          <w:b/>
          <w:bCs/>
          <w:lang w:val="en-US"/>
        </w:rPr>
        <w:t>ITLand</w:t>
      </w:r>
      <w:r>
        <w:rPr>
          <w:b/>
          <w:bCs/>
        </w:rPr>
        <w:t xml:space="preserve"> – </w:t>
      </w:r>
      <w:r>
        <w:rPr/>
        <w:t xml:space="preserve">с 2005 по 2012 – Разработчик, </w:t>
      </w:r>
      <w:r>
        <w:rPr>
          <w:iCs/>
        </w:rPr>
        <w:t>Руководитель проектов; Руководитель аналитического отдела</w:t>
      </w:r>
    </w:p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ind w:left="360" w:right="0"/>
        <w:jc w:val="center"/>
        <w:rPr>
          <w:b/>
          <w:bCs/>
          <w:iCs/>
        </w:rPr>
      </w:pPr>
      <w:r>
        <w:rPr>
          <w:b/>
          <w:bCs/>
          <w:iCs/>
        </w:rPr>
      </w:r>
    </w:p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rPr>
          <w:b/>
          <w:bCs/>
        </w:rPr>
      </w:pPr>
      <w:r>
        <w:rPr>
          <w:b/>
          <w:bCs/>
        </w:rPr>
        <w:t>Сертификаты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/>
      </w:pPr>
      <w:r>
        <w:rPr/>
        <w:t xml:space="preserve">1С:Профессионал. Бухгалтерия 8 ПБ80014817 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/>
      </w:pPr>
      <w:r>
        <w:rPr/>
        <w:t xml:space="preserve">1С:Профессионал. Документооборот 8 ПДО80004795 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/>
      </w:pPr>
      <w:r>
        <w:rPr/>
        <w:t xml:space="preserve">1С:Профессионал. Платформа 1С: Предприятие 8.1 ПП880006776 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/>
      </w:pPr>
      <w:r>
        <w:rPr/>
        <w:t xml:space="preserve">1С:Профессионал. Управление торговлей 8 ПУТ880007888 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/>
      </w:pPr>
      <w:r>
        <w:rPr/>
        <w:t xml:space="preserve">1С:Специалист. Бухгалтерия 8 CS065268 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/>
      </w:pPr>
      <w:r>
        <w:rPr/>
        <w:t xml:space="preserve">1С:Специалист. Платформа 1С: Предприятие 8 CS44704 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/>
      </w:pPr>
      <w:r>
        <w:rPr/>
        <w:t xml:space="preserve">1С:Специалист-консультант по настройке и администрированию "1С:Документооборота" CS069503 </w:t>
      </w:r>
    </w:p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ind w:left="360" w:right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autoSpaceDE w:val="false"/>
        <w:jc w:val="center"/>
        <w:rPr>
          <w:b/>
          <w:bCs/>
        </w:rPr>
      </w:pPr>
      <w:r>
        <w:rPr>
          <w:b/>
          <w:bCs/>
        </w:rPr>
        <w:t xml:space="preserve">Опыт работы в </w:t>
      </w:r>
      <w:r>
        <w:rPr>
          <w:b/>
          <w:bCs/>
          <w:lang w:val="en-US"/>
        </w:rPr>
        <w:t>Net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Consult</w:t>
      </w:r>
    </w:p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ind w:left="720" w:right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tbl>
      <w:tblPr>
        <w:tblW w:w="999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475"/>
        <w:gridCol w:w="34"/>
      </w:tblGrid>
      <w:tr>
        <w:trPr/>
        <w:tc>
          <w:tcPr>
            <w:tcW w:w="9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autoSpaceDE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 работы в компании:</w:t>
            </w:r>
            <w:r>
              <w:rPr>
                <w:sz w:val="20"/>
                <w:szCs w:val="20"/>
              </w:rPr>
              <w:t xml:space="preserve"> С августа 2015 года по настоящее время</w:t>
            </w:r>
          </w:p>
          <w:p>
            <w:pPr>
              <w:pStyle w:val="Normal"/>
              <w:widowControl w:val="false"/>
              <w:autoSpaceDE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Описание деятельности компании: </w:t>
            </w:r>
          </w:p>
        </w:tc>
        <w:tc>
          <w:tcPr>
            <w:tcW w:w="34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9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jc w:val="both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 (роль):</w:t>
            </w:r>
            <w:r>
              <w:rPr>
                <w:i/>
                <w:sz w:val="20"/>
                <w:szCs w:val="20"/>
              </w:rPr>
              <w:t xml:space="preserve"> Разработчик; Консультант</w:t>
            </w:r>
          </w:p>
          <w:p>
            <w:pPr>
              <w:pStyle w:val="Normal"/>
              <w:widowControl w:val="false"/>
              <w:autoSpaceDE w:val="false"/>
              <w:jc w:val="both"/>
              <w:rPr/>
            </w:pPr>
            <w:r>
              <w:rPr>
                <w:sz w:val="20"/>
                <w:szCs w:val="20"/>
              </w:rPr>
              <w:t xml:space="preserve">Период работы: </w:t>
            </w:r>
            <w:r>
              <w:rPr>
                <w:i/>
                <w:sz w:val="20"/>
                <w:szCs w:val="20"/>
              </w:rPr>
              <w:t>с августа 2015 года по настоящее время</w:t>
            </w:r>
          </w:p>
        </w:tc>
        <w:tc>
          <w:tcPr>
            <w:tcW w:w="34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Выполняемая работа</w:t>
            </w:r>
          </w:p>
        </w:tc>
        <w:tc>
          <w:tcPr>
            <w:tcW w:w="8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0"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проектов внедрения в качестве разработчика, консультанта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0"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Выполнение оперативной работы по 1с: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63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Настройка обменов;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63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Работа в рамках линии консультации;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63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 отчетов, печатных форм, обработок;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63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Доработка конфигураций;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63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Работа с расширениями;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63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сложных обновлений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0"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Интеграция с продуктами 1С и сторонними программами.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0"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Управление отделом ИТС.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630" w:leader="none"/>
                <w:tab w:val="left" w:pos="216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Остановка отвалов клиентов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630" w:leader="none"/>
                <w:tab w:val="left" w:pos="216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Выстраивание линии консультации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630" w:leader="none"/>
                <w:tab w:val="left" w:pos="216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Увеличение дохода от направления ИТС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0"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Внедрение новой системы мотивации по умным зарплатам в ролях: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63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Консультант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63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Разработчик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63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Администратор 1С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63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Руководитель ИТС 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  <w:t>Выполнены более 30-ти проектов внедрения. Среди них:</w:t>
      </w:r>
    </w:p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8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97"/>
        <w:gridCol w:w="6486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 w:val="false"/>
              <w:autoSpaceDE w:val="false"/>
              <w:jc w:val="center"/>
              <w:rPr/>
            </w:pPr>
            <w:r>
              <w:rPr>
                <w:b/>
                <w:sz w:val="16"/>
                <w:szCs w:val="16"/>
              </w:rPr>
              <w:t>Организация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 w:val="false"/>
              <w:autoSpaceDE w:val="false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Город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 w:val="false"/>
              <w:autoSpaceDE w:val="false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Краткая характеристика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Инжиниринговый центр. Подряд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Москва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Управление проектированием, поставками, логистикой и строительством. </w:t>
            </w:r>
          </w:p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Внедрение механизмов планирования и фактирования работ. </w:t>
            </w:r>
          </w:p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Разработка архитектуры, Написание и согласование ТЗ, работа с разработчиком, приемка и передача в релиз разработанных механизмов.</w:t>
            </w:r>
          </w:p>
          <w:p>
            <w:pPr>
              <w:pStyle w:val="Normal"/>
              <w:widowControl w:val="false"/>
              <w:autoSpaceDE w:val="false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1С: </w:t>
            </w:r>
            <w:r>
              <w:rPr>
                <w:b/>
                <w:bCs/>
                <w:sz w:val="16"/>
                <w:szCs w:val="16"/>
                <w:lang w:val="en-US"/>
              </w:rPr>
              <w:t>PM</w:t>
            </w:r>
            <w:r>
              <w:rPr>
                <w:b/>
                <w:bCs/>
                <w:sz w:val="16"/>
                <w:szCs w:val="16"/>
              </w:rPr>
              <w:t xml:space="preserve"> Управление проектами КОРП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Лизинговая компания. Подряд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Москва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Лизинг оборудования, спецтехники, ж/д транспорт, суда, автомобили, недвижимость. </w:t>
            </w:r>
          </w:p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Документооборот 1.4, БП 3, Интеграция ДО 3, БП 2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jc w:val="both"/>
              <w:rPr>
                <w:rFonts w:ascii="Arial" w:hAnsi="Arial" w:cs="Arial"/>
                <w:color w:val="413003"/>
                <w:sz w:val="16"/>
                <w:szCs w:val="16"/>
              </w:rPr>
            </w:pPr>
            <w:r>
              <w:rPr>
                <w:sz w:val="16"/>
                <w:szCs w:val="16"/>
              </w:rPr>
              <w:t>Идаванг Агро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Основное направление деятельности — свиноводческий бизнес в Литве и России.</w:t>
            </w:r>
          </w:p>
          <w:p>
            <w:pPr>
              <w:pStyle w:val="Normal"/>
              <w:widowControl w:val="false"/>
              <w:autoSpaceDE w:val="false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ERP</w:t>
            </w:r>
            <w:r>
              <w:rPr>
                <w:b/>
                <w:bCs/>
                <w:sz w:val="16"/>
                <w:szCs w:val="16"/>
              </w:rPr>
              <w:t xml:space="preserve">, Документооборот, Интеграции со сторонними системами 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Европа Отель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Старейшая гостиница Санкт-Петербурга, расположенa в самом сердце города, на углу Невского проспекта и Михайловской улицы.</w:t>
            </w:r>
          </w:p>
          <w:p>
            <w:pPr>
              <w:pStyle w:val="Normal"/>
              <w:widowControl w:val="false"/>
              <w:autoSpaceDE w:val="false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Зарплата и управление персоналом, Документооборот, Интеграции со сторонними системами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УК Камелия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Профессиональное управление гостиничными объектами, консалтинговые услуги для отелей</w:t>
            </w:r>
          </w:p>
          <w:p>
            <w:pPr>
              <w:pStyle w:val="Normal"/>
              <w:widowControl w:val="false"/>
              <w:autoSpaceDE w:val="false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УПП, Документооборот, Интеграция между ними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413003"/>
                <w:sz w:val="16"/>
                <w:szCs w:val="16"/>
              </w:rPr>
            </w:pPr>
            <w:r>
              <w:rPr>
                <w:sz w:val="16"/>
                <w:szCs w:val="16"/>
              </w:rPr>
              <w:t>ГОК Пекин ОАО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/>
            </w:pPr>
            <w:r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Четырёхзвездочный отель</w:t>
            </w:r>
          </w:p>
          <w:p>
            <w:pPr>
              <w:pStyle w:val="Normal"/>
              <w:widowControl w:val="false"/>
              <w:autoSpaceDE w:val="fals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Бухгалтерия КОРП, переход с нетиповой отраслевой конфигурации, Интеграции со сторонними системами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413003"/>
                <w:sz w:val="16"/>
                <w:szCs w:val="16"/>
              </w:rPr>
            </w:pPr>
            <w:r>
              <w:rPr>
                <w:sz w:val="16"/>
                <w:szCs w:val="16"/>
              </w:rPr>
              <w:t>Нанотек ООО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/>
            </w:pPr>
            <w:r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Разрабатывает и производит широкую номенклатуру смазочных материалов под брендами "НАНОТЕК", "Nanotek Lubricants", "МеталлПлак" и "МеталлПлак Электра".на собственной производственной площадке</w:t>
            </w:r>
          </w:p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УПП, Интеграции со сторонними системами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Дирекция КЗС Г. СПБ Минстроя России ФКП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Комплекс защитных сооружений от наводнений</w:t>
            </w:r>
          </w:p>
          <w:p>
            <w:pPr>
              <w:pStyle w:val="Normal"/>
              <w:widowControl w:val="false"/>
              <w:autoSpaceDE w:val="false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Документооборот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ООО "Завод фасонных изделий"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Является одним из ведущих заводов в России и странах СНГ по производству труб и фасонных изделий</w:t>
            </w:r>
          </w:p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ERP</w:t>
            </w:r>
            <w:r>
              <w:rPr>
                <w:b/>
                <w:bCs/>
                <w:sz w:val="16"/>
                <w:szCs w:val="16"/>
              </w:rPr>
              <w:t>, Обмен данными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ТК Контакт-Электро, ООО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Торговля оптовая лесоматериалами, строительными материалами и санитарно-техническим оборудованием.</w:t>
            </w:r>
          </w:p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ERP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Газстройпроект АО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Основными видами деятельности компании являются производство строительно-монтажных работ и оказание комплекса логистических услуг на объектах строительства</w:t>
            </w:r>
          </w:p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Документооборот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«Ремонт и строительство сетей «ПР и СС» ООО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Специализируются в области строительства, ремонта и санации инженерных сетей, а так же строительства тоннельных коллекторов</w:t>
            </w:r>
          </w:p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ЗУП, Документооборот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ООО Лепта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Первый в России благотворительный фонд, который собирает средства на свою деятельность в виде ненужной одежды</w:t>
            </w:r>
          </w:p>
          <w:p>
            <w:pPr>
              <w:pStyle w:val="Normal"/>
              <w:widowControl w:val="false"/>
              <w:autoSpaceDE w:val="false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Управление торговлей 11, Интеграции со сторонними системами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Эколайф ООО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Производство одежды</w:t>
            </w:r>
          </w:p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ERP</w:t>
            </w:r>
            <w:r>
              <w:rPr>
                <w:b/>
                <w:bCs/>
                <w:sz w:val="16"/>
                <w:szCs w:val="16"/>
              </w:rPr>
              <w:t>, Обмен данными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ООО "Росгаз"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систем автономной газификации коттеджей, загородных домов и промышленных объектов.</w:t>
            </w:r>
            <w:r>
              <w:rPr/>
              <w:t xml:space="preserve"> </w:t>
            </w:r>
            <w:r>
              <w:rPr>
                <w:sz w:val="16"/>
                <w:szCs w:val="16"/>
              </w:rPr>
              <w:t>Поставляем и перевозим СУГ, заправляем газгольдеры.</w:t>
            </w:r>
          </w:p>
          <w:p>
            <w:pPr>
              <w:pStyle w:val="Normal"/>
              <w:widowControl w:val="false"/>
              <w:autoSpaceDE w:val="fals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Управление торговлей 11, Бухгалтерия предприятия,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Обмен данными, Интеграции со сторонними системами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br w:type="page"/>
      </w:r>
      <w:r>
        <w:rPr>
          <w:b/>
          <w:bCs/>
        </w:rPr>
        <w:t xml:space="preserve">Опыт работы в </w:t>
      </w:r>
      <w:r>
        <w:rPr>
          <w:b/>
          <w:bCs/>
          <w:lang w:val="en-US"/>
        </w:rPr>
        <w:t>West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Concept</w:t>
      </w:r>
    </w:p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ind w:left="720" w:right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ind w:left="360" w:right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0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535"/>
      </w:tblGrid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autoSpaceDE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Должность (роль): </w:t>
            </w:r>
            <w:r>
              <w:rPr>
                <w:sz w:val="20"/>
                <w:szCs w:val="20"/>
              </w:rPr>
              <w:t>Руководитель проекта</w:t>
            </w:r>
            <w:r>
              <w:rPr>
                <w:i/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Разработчик</w:t>
            </w:r>
          </w:p>
          <w:p>
            <w:pPr>
              <w:pStyle w:val="Normal"/>
              <w:widowControl w:val="false"/>
              <w:autoSpaceDE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Срок работы в должности: </w:t>
            </w:r>
            <w:r>
              <w:rPr>
                <w:sz w:val="20"/>
                <w:szCs w:val="20"/>
              </w:rPr>
              <w:t>с августа 2012 по август 2015</w:t>
            </w:r>
          </w:p>
        </w:tc>
      </w:tr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ГК «ЗНАК»: </w:t>
            </w:r>
            <w:r>
              <w:rPr>
                <w:sz w:val="20"/>
                <w:szCs w:val="20"/>
              </w:rPr>
              <w:t>Внедрение «1С:Управление холдингом» + «1С: Документооборот»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Выполняемая работа</w:t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Автоматизирован учет и регистрация договоров.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Внедрен модуль «Казначейство»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Проведена интеграция «1С: Управление холдингом» и «1С: Документооборот». Выполнена технология «Единое окно» через </w:t>
            </w:r>
            <w:r>
              <w:rPr>
                <w:sz w:val="20"/>
                <w:szCs w:val="20"/>
                <w:lang w:val="en-US"/>
              </w:rPr>
              <w:t>web</w:t>
            </w:r>
            <w:r>
              <w:rPr>
                <w:sz w:val="20"/>
                <w:szCs w:val="20"/>
              </w:rPr>
              <w:t xml:space="preserve"> интерфейс 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Произведен запуск части работ.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 передачи дел по длительности более месяца</w:t>
            </w:r>
          </w:p>
        </w:tc>
      </w:tr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ОАО «</w:t>
            </w:r>
            <w:r>
              <w:rPr>
                <w:b/>
                <w:sz w:val="20"/>
                <w:szCs w:val="20"/>
                <w:lang w:val="en-US"/>
              </w:rPr>
              <w:t>OGGI</w:t>
            </w:r>
            <w:r>
              <w:rPr>
                <w:b/>
                <w:sz w:val="20"/>
                <w:szCs w:val="20"/>
              </w:rPr>
              <w:t xml:space="preserve">»: </w:t>
            </w:r>
            <w:r>
              <w:rPr>
                <w:sz w:val="20"/>
                <w:szCs w:val="20"/>
              </w:rPr>
              <w:t>Внедрение «1С: Документооборот»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Выполняемая работа</w:t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Настроена программа под бизнес-процессы согласования документов и ведение документации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Проведено обучение сотрудников заказчиков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внедрения заняло две недели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бюджет</w:t>
            </w:r>
          </w:p>
        </w:tc>
      </w:tr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ОАО Судостроительный завод «Северная верфь»: </w:t>
            </w:r>
            <w:r>
              <w:rPr>
                <w:sz w:val="20"/>
                <w:szCs w:val="20"/>
              </w:rPr>
              <w:t>Внедрение «1С: Документооборот»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sz w:val="20"/>
                <w:szCs w:val="20"/>
              </w:rPr>
              <w:t>Выполняемая работа</w:t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Автоматизирован учет и регистрация договоров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Разработан блок «План Закупок»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Проведена интеграция «1С: Бухгалтерия» и «1С: Документооборот»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Юридический отдел работает в программе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Предприятие дало положительный отзыв на внедрение программы</w:t>
            </w:r>
          </w:p>
        </w:tc>
      </w:tr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ООО «Красная поляна» и ООО «Камелия»: </w:t>
            </w:r>
            <w:r>
              <w:rPr>
                <w:sz w:val="20"/>
                <w:szCs w:val="20"/>
              </w:rPr>
              <w:t>Перекладка бухгалтерских данных на МСФО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sz w:val="20"/>
                <w:szCs w:val="20"/>
              </w:rPr>
              <w:t>Выполняемая работа</w:t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Написан блок перекладки бухгалтерских проводок в МСФО;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Сбор и согласование маппинга по 4 операторам гостиниц.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Сложности: </w:t>
            </w:r>
            <w:r>
              <w:rPr>
                <w:sz w:val="20"/>
                <w:szCs w:val="20"/>
              </w:rPr>
              <w:t xml:space="preserve">Смена руководителя проекта; Рефакторинг функционала продукта; Выполнение проекта обладало жесткими сроками выполнения к открытию Олимпиады. 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Компании формируют управленческую отчетность со 2 квартала 2014 г.</w:t>
            </w:r>
          </w:p>
        </w:tc>
      </w:tr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ООО «Фуруно Еврус»: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0"/>
                <w:szCs w:val="20"/>
              </w:rPr>
              <w:t>Формирование отчетности МСФО в «1С: Консолидация Данных»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sz w:val="20"/>
                <w:szCs w:val="20"/>
              </w:rPr>
              <w:t>Выполняемая работа</w:t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Внедрение «Консолидация данных»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отчетов по стандартам МСФО, предназначенных для иностранных владельцев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Сложности:</w:t>
            </w:r>
            <w:r>
              <w:rPr>
                <w:sz w:val="20"/>
                <w:szCs w:val="20"/>
              </w:rPr>
              <w:t xml:space="preserve"> Смена руководителя проекта; Первый проект на «1С: Консолидация Данных» у проектной команды.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«Фуруно Еврус» успешно работает в программе с сентября 2013 г;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Сдает отчетность с 1 квартала 2014 г. </w:t>
            </w:r>
          </w:p>
        </w:tc>
      </w:tr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ООО «Фуруно Еврус»:</w:t>
            </w:r>
            <w:r>
              <w:rPr>
                <w:sz w:val="16"/>
                <w:szCs w:val="16"/>
              </w:rPr>
              <w:t xml:space="preserve"> «</w:t>
            </w:r>
            <w:r>
              <w:rPr>
                <w:sz w:val="20"/>
                <w:szCs w:val="20"/>
              </w:rPr>
              <w:t>1С: Управление торговлей 11» и доработка под специфику деятельности заказчика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Выполняемая работа</w:t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Внедрение «Управление Торговлей 11.1»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Доработка под специфику работы отдела сервиса под специфику заказчика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отчетов, предназначенных для иностранных владельцев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Сложности:</w:t>
            </w:r>
            <w:r>
              <w:rPr>
                <w:sz w:val="20"/>
                <w:szCs w:val="20"/>
              </w:rPr>
              <w:t xml:space="preserve"> Некорректный расчет себестоимости по скользящей оценке в типовом продукте; Обновление влекло за собой остановку правил обмена.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«Фуруно Еврус» успешно работает в программе с мая 2013 г;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Подписан отзыв о внедрении;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выполнению проекта была распределена бонусная часть;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 завершения проекта заключен сервисный контракт и контракты по внедрению продуктов  «1С:Консолидация»;</w:t>
            </w:r>
          </w:p>
        </w:tc>
      </w:tr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«Райден»: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0"/>
                <w:szCs w:val="20"/>
              </w:rPr>
              <w:t xml:space="preserve">Выполнение блока </w:t>
            </w:r>
            <w:r>
              <w:rPr>
                <w:sz w:val="20"/>
                <w:szCs w:val="20"/>
                <w:lang w:val="en-US"/>
              </w:rPr>
              <w:t>Rent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RAC</w:t>
            </w:r>
            <w:r>
              <w:rPr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Выполняемая работа</w:t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Сложная разработка из трех этапов с последовательной сдачей блока работ.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Сложности:</w:t>
            </w:r>
            <w:r>
              <w:rPr>
                <w:sz w:val="20"/>
                <w:szCs w:val="20"/>
              </w:rPr>
              <w:t xml:space="preserve"> высокая степень разработки. Смена проектной команды на 80%, включая рук проекта и консультанта; Ошибки архитектуры прошлых проектов. 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работает в программе с августа 2013 г.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 завершения проекта был заключен контракт на разработку блока «Управление автотранспортом»</w:t>
            </w:r>
          </w:p>
        </w:tc>
      </w:tr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ОАО Судостроительный завод «Северная верфь»: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0"/>
                <w:szCs w:val="20"/>
              </w:rPr>
              <w:t>Перевод не типовой Бухгалтерии 1.6  в Бухгалтерию 2.0 с сохранением всех доработок под специфику заказчика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Выполняемая работа</w:t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Перенос данных из бухгалтерии 1.6 в бухгалтерию 2.0;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Общение с заказчиком;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Календарно – ресурсное планирование;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Сложности:</w:t>
            </w:r>
            <w:r>
              <w:rPr>
                <w:sz w:val="20"/>
                <w:szCs w:val="20"/>
              </w:rPr>
              <w:t xml:space="preserve"> Рабочая база в 100 Гб. Данные за весь период работы организации ( &gt; 5 лет); На момент передачи сроки завершения проекта были 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двинуты на пол года; Дефицит бюджета;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успешно переведена на бухгалтерию 2.0. Работает с первого квартала 2013;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После восстановления отношений был заключен сервисный контракт и ряд контрактов по внедрению продуктов 1С, в том числе «1С:Документооборот» 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ind w:left="360" w:right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autoSpaceDE w:val="false"/>
        <w:jc w:val="center"/>
        <w:rPr>
          <w:b/>
          <w:bCs/>
        </w:rPr>
      </w:pPr>
      <w:r>
        <w:rPr>
          <w:b/>
          <w:bCs/>
        </w:rPr>
        <w:t xml:space="preserve">Опыт работы в </w:t>
      </w:r>
      <w:r>
        <w:rPr>
          <w:b/>
          <w:bCs/>
          <w:lang w:val="en-US"/>
        </w:rPr>
        <w:t>ITLand</w:t>
      </w:r>
    </w:p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tbl>
      <w:tblPr>
        <w:tblW w:w="99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</w:tblGrid>
      <w:tr>
        <w:trPr/>
        <w:tc>
          <w:tcPr>
            <w:tcW w:w="9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autoSpaceDE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 работы в компании:</w:t>
            </w:r>
            <w:r>
              <w:rPr>
                <w:sz w:val="20"/>
                <w:szCs w:val="20"/>
              </w:rPr>
              <w:t xml:space="preserve"> С августа 2005 года по август 2012</w:t>
            </w:r>
          </w:p>
          <w:p>
            <w:pPr>
              <w:pStyle w:val="Normal"/>
              <w:widowControl w:val="false"/>
              <w:autoSpaceDE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Описание деятельности компании: </w:t>
            </w:r>
            <w:r>
              <w:rPr>
                <w:sz w:val="20"/>
                <w:szCs w:val="20"/>
              </w:rPr>
              <w:t>Информационные технологии в управлении бизнесом, автоматизация проектного и процессного управления. Является ключевым партнером фирмы «1С» по развитию направления «Решения для проектного управления»</w:t>
            </w:r>
          </w:p>
        </w:tc>
      </w:tr>
      <w:tr>
        <w:trPr/>
        <w:tc>
          <w:tcPr>
            <w:tcW w:w="9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jc w:val="both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 (роль):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Руководитель проекта</w:t>
            </w:r>
          </w:p>
          <w:p>
            <w:pPr>
              <w:pStyle w:val="Normal"/>
              <w:widowControl w:val="false"/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работы в должности: </w:t>
            </w:r>
            <w:r>
              <w:rPr>
                <w:i/>
                <w:sz w:val="20"/>
                <w:szCs w:val="20"/>
              </w:rPr>
              <w:t>с февраля 2011 года по октябрь 2011</w:t>
            </w:r>
          </w:p>
        </w:tc>
      </w:tr>
      <w:tr>
        <w:trPr/>
        <w:tc>
          <w:tcPr>
            <w:tcW w:w="9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jc w:val="both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 (роль):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Руководитель аналитического отдела</w:t>
            </w:r>
          </w:p>
          <w:p>
            <w:pPr>
              <w:pStyle w:val="Normal"/>
              <w:widowControl w:val="false"/>
              <w:autoSpaceDE w:val="false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работы в должности: </w:t>
            </w:r>
            <w:r>
              <w:rPr>
                <w:i/>
                <w:sz w:val="20"/>
                <w:szCs w:val="20"/>
              </w:rPr>
              <w:t>с июня 2010 года по август 2012</w:t>
            </w:r>
          </w:p>
        </w:tc>
      </w:tr>
      <w:tr>
        <w:trPr/>
        <w:tc>
          <w:tcPr>
            <w:tcW w:w="9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jc w:val="both"/>
              <w:rPr/>
            </w:pPr>
            <w:r>
              <w:rPr>
                <w:sz w:val="20"/>
                <w:szCs w:val="20"/>
              </w:rPr>
              <w:t>Должность (роль):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Разработчик</w:t>
            </w:r>
          </w:p>
          <w:p>
            <w:pPr>
              <w:pStyle w:val="Normal"/>
              <w:widowControl w:val="false"/>
              <w:autoSpaceDE w:val="false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работы в должности: </w:t>
            </w:r>
            <w:r>
              <w:rPr>
                <w:i/>
                <w:sz w:val="20"/>
                <w:szCs w:val="20"/>
              </w:rPr>
              <w:t>август 2005 – май 2010</w:t>
            </w:r>
          </w:p>
        </w:tc>
      </w:tr>
    </w:tbl>
    <w:p>
      <w:pPr>
        <w:pStyle w:val="Normal"/>
        <w:widowControl w:val="false"/>
        <w:autoSpaceDE w:val="false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W w:w="100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535"/>
      </w:tblGrid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autoSpaceDE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Должность (роль): </w:t>
            </w:r>
            <w:r>
              <w:rPr>
                <w:i/>
                <w:sz w:val="20"/>
                <w:szCs w:val="20"/>
              </w:rPr>
              <w:t>Руководитель аналитического отдела; Разработчик</w:t>
            </w:r>
          </w:p>
          <w:p>
            <w:pPr>
              <w:pStyle w:val="Normal"/>
              <w:widowControl w:val="false"/>
              <w:autoSpaceDE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 работы в должности:</w:t>
            </w:r>
            <w:r>
              <w:rPr>
                <w:sz w:val="20"/>
                <w:szCs w:val="20"/>
              </w:rPr>
              <w:t xml:space="preserve"> С июня 2010 года по август 2012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Выполняемая работа</w:t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Выстроен отдел «с нуля», участие в реорганизация структуры фирмы;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отделом аналитиков, общей численностью до 10 человек. Специалисты разного уровня подготовки и возраста;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Проведение собеседований для найма;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Развитие сотрудников отдела;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процессом разработки и согласование документации;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экспертных задач на проектах;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 новых механизмов и подходов в </w:t>
            </w:r>
            <w:r>
              <w:rPr>
                <w:sz w:val="20"/>
                <w:szCs w:val="20"/>
                <w:lang w:val="en-US"/>
              </w:rPr>
              <w:t>ERP</w:t>
            </w:r>
            <w:r>
              <w:rPr>
                <w:sz w:val="20"/>
                <w:szCs w:val="20"/>
              </w:rPr>
              <w:t>-системах «1С:Девелопмент и управление недвижимостью», «1С:Управление проектной организацией».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Консультации заказчика</w:t>
            </w:r>
          </w:p>
        </w:tc>
      </w:tr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Подразделением реализованы проекты (наиболее значимые)</w:t>
            </w:r>
            <w:r>
              <w:rPr/>
              <w:t>:</w:t>
            </w:r>
          </w:p>
          <w:tbl>
            <w:tblPr>
              <w:tblW w:w="936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19"/>
              <w:gridCol w:w="1771"/>
              <w:gridCol w:w="5175"/>
            </w:tblGrid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center"/>
                    <w:rPr/>
                  </w:pPr>
                  <w:r>
                    <w:rPr>
                      <w:b/>
                      <w:sz w:val="16"/>
                      <w:szCs w:val="16"/>
                    </w:rPr>
                    <w:t>Организация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center"/>
                    <w:rPr/>
                  </w:pPr>
                  <w:r>
                    <w:rPr>
                      <w:b/>
                      <w:sz w:val="16"/>
                      <w:szCs w:val="16"/>
                    </w:rPr>
                    <w:t>Город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center"/>
                    <w:rPr/>
                  </w:pPr>
                  <w:r>
                    <w:rPr>
                      <w:b/>
                      <w:sz w:val="16"/>
                      <w:szCs w:val="16"/>
                    </w:rPr>
                    <w:t>Краткая характеристика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ОАО «ТГК-1»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/>
                  </w:pPr>
                  <w:r>
                    <w:rPr>
                      <w:sz w:val="16"/>
                      <w:szCs w:val="16"/>
                    </w:rPr>
                    <w:t>Является ведущим производителем электрической и тепловой энергии в Северо-Западном регионе России, а также второй в стране территориальной генерирующей компанией по величине установленной мощности. Объединяет 55 электростанций в четырех субъектах РФ: Санкт-Петербурге</w:t>
                  </w:r>
                  <w:r>
                    <w:rPr>
                      <w:rFonts w:cs="Arial" w:ascii="Arial" w:hAnsi="Arial"/>
                      <w:color w:val="000000"/>
                      <w:sz w:val="13"/>
                      <w:szCs w:val="13"/>
                      <w:shd w:fill="FFFFFF" w:val="clear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Республике Карелия, Ленинградской и Мурманской областях.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Холдинг RBI 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Компания, работающая на рынке жилой и коммерческой недвижимости. Продажа элитных домов и квартир в Санкт-Петербурге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Группа компаний «ЭФЭСк»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/>
                  </w:pPr>
                  <w:r>
                    <w:rPr>
                      <w:sz w:val="16"/>
                      <w:szCs w:val="16"/>
                    </w:rPr>
                    <w:t>Высокопрофессиональный многоуровневый холдинг, стабильно работающий в области строительства масштабных электроэнергетических и промышленных объектов во всех климатических и ландшафтных условиях Российской Федерации и за рубежом (более 40-ка организаций)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/>
                  </w:pPr>
                  <w:r>
                    <w:rPr>
                      <w:sz w:val="16"/>
                      <w:szCs w:val="16"/>
                    </w:rPr>
                    <w:t>АТОМЭНЕРГОПРОЕКТ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/>
                  </w:pPr>
                  <w:r>
                    <w:rPr>
                      <w:sz w:val="16"/>
                      <w:szCs w:val="16"/>
                    </w:rPr>
                    <w:t>Ведущая в России инжиниринговая компания и проектный институт в области атомной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КБ «ВиПС»энергетики</w:t>
                  </w:r>
                </w:p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/>
                  </w:pPr>
                  <w:r>
                    <w:rPr>
                      <w:sz w:val="16"/>
                      <w:szCs w:val="16"/>
                    </w:rPr>
                    <w:t>Проектный институт полного цикла, один из лидеров проектного рынка России. Генеральный проектировщик Второй сцены Мариинского театра.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Группа компаний «ТЭТРА Электрик»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Бесперебойное энергоснабжение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РН-УфаНИПИнефть (Роснефть)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Уфа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Одна из   ведущих   научно-исследовательских  и проектных организаций в нефтяной отрасли РФ, входящая в состав ОАО «НК «Роснефть»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Ленгипроречтранс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Предприятие, созданное в 1992 году на базе специализированных подразделений бывшего института "Ленгипроречтранс" - одного из ведущих и старейших институтов России, занимавшегося проектированием объектов водного транспорта, и являющееся его преемником по направлениям своей деятельности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РАСТАМ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Тюмень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Холдинг выполняющий работы в области аудита, консалтинга, экологии, оценки, фин. анализа, ИТ, бюджетных технологий, технологий управления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Элком+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Томск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Внедрение комплексных проектов в области систем технологической связи и автоматизации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Группа Финансы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Москва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Специализированная корпорация, объединяющая аудиторские и консалтинговые фирмы в Москве и 9 регионах России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Нефтегазпроект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Уфа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Проектная компания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НПФ Гео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Омск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Инженерные изыс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Гипростроймостания (инженерно-геодезические, геологические, гидрометеорологические, экологические), землеустроительных (кадастровых) и прое</w:t>
                  </w:r>
                </w:p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тные работы</w:t>
                  </w:r>
                </w:p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Проектно-изыскательская о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Лонас технологияганизация, специализирующаяся в области инфраструктуры транспорта</w:t>
                  </w:r>
                </w:p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Одна из ведущих инжиниринговых компаний Северо-Запада в области энергетики, входящая в международный холдинг </w:t>
                  </w:r>
                  <w:r>
                    <w:rPr>
                      <w:sz w:val="16"/>
                      <w:szCs w:val="16"/>
                      <w:lang w:val="en-US"/>
                    </w:rPr>
                    <w:t>AF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Трансмост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Проектно-изыскательская организация, специализирующаяся в области инфраструктуры транспорта</w:t>
                  </w:r>
                </w:p>
              </w:tc>
            </w:tr>
            <w:tr>
              <w:trPr/>
              <w:tc>
                <w:tcPr>
                  <w:tcW w:w="2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Актив Хаус</w:t>
                  </w:r>
                </w:p>
              </w:tc>
              <w:tc>
                <w:tcPr>
                  <w:tcW w:w="17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Комплексный инжиниринг в сфере строительства зданий и сооружений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2160" w:leader="none"/>
              </w:tabs>
              <w:autoSpaceDE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 w:val="false"/>
              <w:autoSpaceDE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Должность (роль): </w:t>
            </w:r>
            <w:r>
              <w:rPr>
                <w:sz w:val="20"/>
                <w:szCs w:val="20"/>
              </w:rPr>
              <w:t>Руководитель проекта; Разработчик</w:t>
            </w:r>
          </w:p>
          <w:p>
            <w:pPr>
              <w:pStyle w:val="Normal"/>
              <w:widowControl w:val="false"/>
              <w:autoSpaceDE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 работы в должности:</w:t>
            </w:r>
            <w:r>
              <w:rPr>
                <w:sz w:val="20"/>
                <w:szCs w:val="20"/>
              </w:rPr>
              <w:t xml:space="preserve"> февраль 2011 - октябрь 2011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Выполняемая работа</w:t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Восстановление отношений с заказчиком;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Общение с заказчиком;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Выявление требований к продукту и разработка документации;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Календарно – ресурсное планирование.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 внедрен механизм «Текущая оценка трудозатрат ресурсов»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 передан в сервисный отдел</w:t>
            </w:r>
          </w:p>
        </w:tc>
      </w:tr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 w:val="false"/>
              <w:autoSpaceDE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Должность (роль): </w:t>
            </w:r>
            <w:r>
              <w:rPr>
                <w:sz w:val="20"/>
                <w:szCs w:val="20"/>
              </w:rPr>
              <w:t>Разработчик</w:t>
            </w:r>
          </w:p>
          <w:p>
            <w:pPr>
              <w:pStyle w:val="Normal"/>
              <w:widowControl w:val="false"/>
              <w:autoSpaceDE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 работы в должности:</w:t>
            </w:r>
            <w:r>
              <w:rPr>
                <w:sz w:val="20"/>
                <w:szCs w:val="20"/>
              </w:rPr>
              <w:t xml:space="preserve"> август 2005 – май 2010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autoSpaceDE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Выполняемая работа</w:t>
            </w:r>
          </w:p>
        </w:tc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Участие в разработке коробочного продукта «Управление Проектным Офисом»;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Участие в интеграции продукта «Управление Проектным Офисом» в продукт «1С: Управление Производственным Предприятием»;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механизмов под потребности Заказчиков;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документов, регламентирующих использование разработок;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Написание инструкций по работе с вновь разработанными (доработанными) контурами информационных систем.</w:t>
            </w:r>
          </w:p>
        </w:tc>
      </w:tr>
      <w:tr>
        <w:trPr/>
        <w:tc>
          <w:tcPr>
            <w:tcW w:w="10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71" w:leader="none"/>
                <w:tab w:val="left" w:pos="2160" w:leader="none"/>
              </w:tabs>
              <w:autoSpaceDE w:val="false"/>
              <w:ind w:hanging="283" w:left="271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Выполнено более 30-ти проектов внедрения ERP-системы. </w:t>
            </w:r>
            <w:r>
              <w:rPr/>
              <w:t>Среди них:</w:t>
            </w:r>
          </w:p>
          <w:tbl>
            <w:tblPr>
              <w:tblW w:w="9213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1779"/>
              <w:gridCol w:w="5166"/>
            </w:tblGrid>
            <w:tr>
              <w:trPr/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Организация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Город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Краткая характеристика</w:t>
                  </w:r>
                </w:p>
              </w:tc>
            </w:tr>
            <w:tr>
              <w:trPr/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ВНИПИнефть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Москва, Пермь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Ведущая российская инжиниринговая компания в области нефтегазопереработки, нефтехимии и химии</w:t>
                  </w:r>
                </w:p>
              </w:tc>
            </w:tr>
            <w:tr>
              <w:trPr/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СУ-25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Крупный строительно-инжиниринговый холдинг</w:t>
                  </w:r>
                </w:p>
              </w:tc>
            </w:tr>
            <w:tr>
              <w:trPr/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Гипростроймост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Проектно-изыскательская организация, специализирующаяся в области инфраструктуры транспорта</w:t>
                  </w:r>
                </w:p>
              </w:tc>
            </w:tr>
            <w:tr>
              <w:trPr/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Институт «Стройпроект»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jc w:val="both"/>
                    <w:rPr/>
                  </w:pPr>
                  <w:r>
                    <w:rPr>
                      <w:sz w:val="16"/>
                      <w:szCs w:val="16"/>
                    </w:rPr>
                    <w:t>Комплексное проектирование транспортных сооружений. Проектирование объектов Олимпиады «Сочи 2014»</w:t>
                  </w:r>
                </w:p>
              </w:tc>
            </w:tr>
            <w:tr>
              <w:trPr/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Энергопроект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Ведущая компания России по проектированию электросетевых и энергетических объектов. Проектирование объектов Олимпиады «Сочи 2014»</w:t>
                  </w:r>
                </w:p>
              </w:tc>
            </w:tr>
            <w:tr>
              <w:trPr/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Ситек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Минск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Инжиниринговый центр компетенции в области металлообработки резанием. Официальный представитель компании SIEMENS</w:t>
                  </w:r>
                </w:p>
              </w:tc>
            </w:tr>
            <w:tr>
              <w:trPr>
                <w:trHeight w:val="51" w:hRule="atLeast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НББ Девелопмент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Москва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Управление реализацией крупных инвестиционных проектов спортивно-туристической инфраструктуры города-курорта Сочи</w:t>
                  </w:r>
                </w:p>
              </w:tc>
            </w:tr>
            <w:tr>
              <w:trPr>
                <w:trHeight w:val="221" w:hRule="atLeast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Лонас технология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Одна из ведущих инжиниринговых компаний Северо-Запада в области энергетики</w:t>
                  </w:r>
                </w:p>
              </w:tc>
            </w:tr>
            <w:tr>
              <w:trPr>
                <w:trHeight w:val="51" w:hRule="atLeast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Мелстон инжиниринг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Инжиниринговая компания. Основной деятельностью является ребрендинг АЗС</w:t>
                  </w:r>
                </w:p>
              </w:tc>
            </w:tr>
            <w:tr>
              <w:trPr/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Петрометалл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Один из ведущих поставщиков черного металлопроката в Северо-Западном регионе</w:t>
                  </w:r>
                </w:p>
              </w:tc>
            </w:tr>
            <w:tr>
              <w:trPr/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Трансмост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Проектно-изыскательская организация, специализирующаяся в области инфраструктуры транспорта</w:t>
                  </w:r>
                </w:p>
              </w:tc>
            </w:tr>
            <w:tr>
              <w:trPr/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ЛенПромТрансПроект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Одна из ведущих организаций в России по комплексному проектированию объектов промышленно-транспортной инфраструктуры</w:t>
                  </w:r>
                </w:p>
              </w:tc>
            </w:tr>
            <w:tr>
              <w:trPr/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Радиевый институт им. В.Г.Хлопина</w:t>
                  </w:r>
                </w:p>
              </w:tc>
              <w:tc>
                <w:tcPr>
                  <w:tcW w:w="1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Санкт-Петербург</w:t>
                  </w:r>
                </w:p>
              </w:tc>
              <w:tc>
                <w:tcPr>
                  <w:tcW w:w="5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autoSpaceDE w:val="false"/>
                    <w:rPr/>
                  </w:pPr>
                  <w:r>
                    <w:rPr>
                      <w:sz w:val="16"/>
                      <w:szCs w:val="16"/>
                    </w:rPr>
                    <w:t>Один из российских и мировых лидеров в направлениях исследования ядерно-физического, радиохимического, геохимического и экологического профилей, связанные, в основном, с проблемами атомной энергетики, радиоэкологии и получения изотопов</w:t>
                  </w:r>
                </w:p>
              </w:tc>
            </w:tr>
          </w:tbl>
          <w:p>
            <w:pPr>
              <w:pStyle w:val="Normal"/>
              <w:widowControl w:val="false"/>
              <w:autoSpaceDE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widowControl w:val="false"/>
        <w:autoSpaceDE w:val="false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tbl>
      <w:tblPr>
        <w:tblW w:w="992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7334"/>
        <w:gridCol w:w="1701"/>
      </w:tblGrid>
      <w:tr>
        <w:trPr>
          <w:trHeight w:val="300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 w:val="false"/>
              <w:autoSpaceDE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Период</w:t>
            </w:r>
          </w:p>
        </w:tc>
        <w:tc>
          <w:tcPr>
            <w:tcW w:w="7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 w:val="false"/>
              <w:autoSpaceDE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Курсы/Сертификаты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widowControl w:val="false"/>
              <w:autoSpaceDE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</w:t>
            </w:r>
          </w:p>
        </w:tc>
        <w:tc>
          <w:tcPr>
            <w:tcW w:w="73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color w:val="000000"/>
                <w:sz w:val="20"/>
                <w:szCs w:val="20"/>
              </w:rPr>
              <w:t>"Введение в конфигурирование в системе "1С: Предприятие 8.0". Основные объекты"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</w:t>
            </w:r>
          </w:p>
        </w:tc>
        <w:tc>
          <w:tcPr>
            <w:tcW w:w="73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color w:val="000000"/>
                <w:sz w:val="20"/>
                <w:szCs w:val="20"/>
              </w:rPr>
              <w:t>"Конфигурирование бухгалтерской подсистемы в прикладных решениях "1С: Предприятия 8""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</w:t>
            </w:r>
          </w:p>
        </w:tc>
        <w:tc>
          <w:tcPr>
            <w:tcW w:w="73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color w:val="000000"/>
                <w:sz w:val="20"/>
                <w:szCs w:val="20"/>
              </w:rPr>
              <w:t>"Конфигурирование в системе "1С: Предприятия 8". Решение расчетных задач"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</w:t>
            </w:r>
          </w:p>
        </w:tc>
        <w:tc>
          <w:tcPr>
            <w:tcW w:w="73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color w:val="000000"/>
                <w:sz w:val="20"/>
                <w:szCs w:val="20"/>
              </w:rPr>
              <w:t>"Конфигурирование в системе "1С: Предприятия 8". Решение оперативных задач"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</w:t>
            </w:r>
          </w:p>
        </w:tc>
      </w:tr>
      <w:tr>
        <w:trPr>
          <w:trHeight w:val="510" w:hRule="atLeast"/>
        </w:trPr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</w:t>
            </w:r>
          </w:p>
        </w:tc>
        <w:tc>
          <w:tcPr>
            <w:tcW w:w="73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b/>
                <w:color w:val="000000"/>
                <w:sz w:val="20"/>
                <w:szCs w:val="20"/>
              </w:rPr>
              <w:t>1С: Специалист</w:t>
            </w:r>
            <w:r>
              <w:rPr>
                <w:color w:val="000000"/>
                <w:sz w:val="20"/>
                <w:szCs w:val="20"/>
              </w:rPr>
              <w:t xml:space="preserve"> «По разработке и модификации прикладных решений на технологической платформе «1С: Предприятие 8»»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Сертификат</w:t>
            </w:r>
          </w:p>
        </w:tc>
      </w:tr>
      <w:tr>
        <w:trPr>
          <w:trHeight w:val="510" w:hRule="atLeast"/>
        </w:trPr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</w:t>
            </w:r>
          </w:p>
        </w:tc>
        <w:tc>
          <w:tcPr>
            <w:tcW w:w="73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b/>
                <w:color w:val="000000"/>
                <w:sz w:val="20"/>
                <w:szCs w:val="20"/>
              </w:rPr>
              <w:t>1С: Профессионал</w:t>
            </w:r>
            <w:r>
              <w:rPr>
                <w:color w:val="000000"/>
                <w:sz w:val="20"/>
                <w:szCs w:val="20"/>
              </w:rPr>
              <w:t xml:space="preserve">  «На знание возможностей и особенностей применения типовой конфигурации «Управление торговлей»»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Сертификат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2009</w:t>
            </w:r>
          </w:p>
        </w:tc>
        <w:tc>
          <w:tcPr>
            <w:tcW w:w="73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color w:val="000000"/>
                <w:sz w:val="20"/>
                <w:szCs w:val="20"/>
              </w:rPr>
              <w:t>"1С: Предприятие 8.1. Новые возможности"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</w:t>
            </w:r>
          </w:p>
        </w:tc>
      </w:tr>
      <w:tr>
        <w:trPr>
          <w:trHeight w:val="480" w:hRule="atLeast"/>
        </w:trPr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2010</w:t>
            </w:r>
          </w:p>
        </w:tc>
        <w:tc>
          <w:tcPr>
            <w:tcW w:w="73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color w:val="000000"/>
                <w:sz w:val="20"/>
                <w:szCs w:val="20"/>
              </w:rPr>
              <w:t>"Конфигурирование в системе "1С: Предприятия 8". Решение бухгалтерских задач"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</w:t>
            </w:r>
          </w:p>
        </w:tc>
      </w:tr>
      <w:tr>
        <w:trPr>
          <w:trHeight w:val="510" w:hRule="atLeast"/>
        </w:trPr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2010</w:t>
            </w:r>
          </w:p>
        </w:tc>
        <w:tc>
          <w:tcPr>
            <w:tcW w:w="73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b/>
                <w:color w:val="000000"/>
                <w:sz w:val="20"/>
                <w:szCs w:val="20"/>
              </w:rPr>
              <w:t>1С: Специалист</w:t>
            </w:r>
            <w:r>
              <w:rPr>
                <w:color w:val="000000"/>
                <w:sz w:val="20"/>
                <w:szCs w:val="20"/>
              </w:rPr>
              <w:t xml:space="preserve"> «По конфигурированию и внедрению бухгалтерской подсистемы в прикладных решениях «1С: Предприятие 8»»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2010</w:t>
            </w:r>
          </w:p>
        </w:tc>
        <w:tc>
          <w:tcPr>
            <w:tcW w:w="73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color w:val="000000"/>
                <w:sz w:val="20"/>
                <w:szCs w:val="20"/>
              </w:rPr>
              <w:t>Курс по изучению механизма «Структура компоновки данных»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</w:t>
            </w:r>
          </w:p>
        </w:tc>
      </w:tr>
      <w:tr>
        <w:trPr>
          <w:trHeight w:val="510" w:hRule="atLeast"/>
        </w:trPr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</w:t>
            </w:r>
          </w:p>
        </w:tc>
        <w:tc>
          <w:tcPr>
            <w:tcW w:w="73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color w:val="000000"/>
                <w:sz w:val="20"/>
                <w:szCs w:val="20"/>
              </w:rPr>
              <w:t>«PMI Сертификат»: пройден тренинг «по управлению проектами по стандарту PMBOK». 35 часов.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Сертификат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2012</w:t>
            </w:r>
          </w:p>
        </w:tc>
        <w:tc>
          <w:tcPr>
            <w:tcW w:w="73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color w:val="000000"/>
                <w:sz w:val="20"/>
                <w:szCs w:val="20"/>
              </w:rPr>
              <w:t>Пройден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тренинг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по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ISO:9001: Quality Management Systems ISO 9001:2008 Requirements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Сертификат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3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Программа «Формула переговоров»: видео-курс + практика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1С: Профессионал </w:t>
            </w:r>
            <w:r>
              <w:rPr>
                <w:color w:val="000000"/>
                <w:sz w:val="20"/>
                <w:szCs w:val="20"/>
              </w:rPr>
              <w:t>по программе "1С:Документооборот 8"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Сертификат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2015</w:t>
            </w:r>
          </w:p>
        </w:tc>
        <w:tc>
          <w:tcPr>
            <w:tcW w:w="7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/>
            </w:pPr>
            <w:r>
              <w:rPr>
                <w:color w:val="000000"/>
                <w:sz w:val="20"/>
                <w:szCs w:val="20"/>
              </w:rPr>
              <w:t>Возможности прикладного решения для «1С: Документооборот» для организации электронного документооборота 1.4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2016</w:t>
            </w:r>
          </w:p>
        </w:tc>
        <w:tc>
          <w:tcPr>
            <w:tcW w:w="7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FFFFFF" w:val="clear"/>
              </w:rPr>
              <w:t>Вебинары «Умные зарплаты» от "Сычев и К"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  <w:tc>
          <w:tcPr>
            <w:tcW w:w="7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1С: Специалист-Консультант </w:t>
            </w:r>
            <w:r>
              <w:rPr>
                <w:bCs/>
                <w:color w:val="000000"/>
                <w:sz w:val="20"/>
                <w:szCs w:val="20"/>
              </w:rPr>
              <w:t>по настройке и администрированию 1С:Документооборот 8"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Сертификат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7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Профессиональная работа в программе «1С:Документооборот 3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7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Концепция прикладного решения "1С:ERP Управление предприятием 2.5"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</w:t>
            </w:r>
          </w:p>
        </w:tc>
      </w:tr>
    </w:tbl>
    <w:p>
      <w:pPr>
        <w:pStyle w:val="Normal"/>
        <w:widowControl w:val="false"/>
        <w:autoSpaceDE w:val="false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tabs>
          <w:tab w:val="clear" w:pos="720"/>
          <w:tab w:val="left" w:pos="2160" w:leader="none"/>
        </w:tabs>
        <w:autoSpaceDE w:val="false"/>
        <w:ind w:left="720" w:right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00" w:after="100"/>
      <w:outlineLvl w:val="1"/>
    </w:pPr>
    <w:rPr>
      <w:b/>
      <w:bCs/>
      <w:sz w:val="36"/>
      <w:szCs w:val="36"/>
      <w:lang w:val="ru-RU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6">
    <w:name w:val="WW8Num26z6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Symbol" w:hAnsi="Symbol" w:cs="Symbol"/>
      <w:sz w:val="20"/>
      <w:szCs w:val="20"/>
    </w:rPr>
  </w:style>
  <w:style w:type="character" w:styleId="WW8Num35z6">
    <w:name w:val="WW8Num35z6"/>
    <w:qFormat/>
    <w:rPr>
      <w:rFonts w:ascii="Symbol" w:hAnsi="Symbol" w:cs="Symbol"/>
    </w:rPr>
  </w:style>
  <w:style w:type="character" w:styleId="WW8Num35z7">
    <w:name w:val="WW8Num35z7"/>
    <w:qFormat/>
    <w:rPr>
      <w:rFonts w:ascii="Courier New" w:hAnsi="Courier New" w:cs="Courier New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8z0">
    <w:name w:val="WW8Num38z0"/>
    <w:qFormat/>
    <w:rPr/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6">
    <w:name w:val="WW8Num38z6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0">
    <w:name w:val="WW8Num43z0"/>
    <w:qFormat/>
    <w:rPr>
      <w:rFonts w:ascii="Times New Roman" w:hAnsi="Times New Roman" w:eastAsia="Times New Roman" w:cs="Times New Roman"/>
      <w:b w:val="false"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5z0">
    <w:name w:val="WW8Num45z0"/>
    <w:qFormat/>
    <w:rPr>
      <w:rFonts w:ascii="Symbol" w:hAnsi="Symbol" w:cs="Symbol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6z0">
    <w:name w:val="WW8Num46z0"/>
    <w:qFormat/>
    <w:rPr>
      <w:rFonts w:ascii="Symbol" w:hAnsi="Symbol" w:cs="Symbol"/>
      <w:sz w:val="20"/>
    </w:rPr>
  </w:style>
  <w:style w:type="character" w:styleId="WW8Num47z0">
    <w:name w:val="WW8Num47z0"/>
    <w:qFormat/>
    <w:rPr>
      <w:rFonts w:ascii="Symbol" w:hAnsi="Symbol" w:cs="Symbol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9z0">
    <w:name w:val="WW8Num49z0"/>
    <w:qFormat/>
    <w:rPr>
      <w:rFonts w:ascii="Symbol" w:hAnsi="Symbol" w:cs="Symbol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Style11">
    <w:name w:val="Основной шрифт абзаца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2">
    <w:name w:val="Заголовок 2 Знак"/>
    <w:qFormat/>
    <w:rPr>
      <w:b/>
      <w:bCs/>
      <w:sz w:val="36"/>
      <w:szCs w:val="36"/>
    </w:rPr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2">
    <w:name w:val="Верхний колонтитул Знак"/>
    <w:qFormat/>
    <w:rPr>
      <w:sz w:val="24"/>
      <w:szCs w:val="24"/>
    </w:rPr>
  </w:style>
  <w:style w:type="character" w:styleId="Style13">
    <w:name w:val="Нижний колонтитул Знак"/>
    <w:qFormat/>
    <w:rPr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sonormal">
    <w:name w:val="msonormal"/>
    <w:basedOn w:val="Style11"/>
    <w:qFormat/>
    <w:rPr/>
  </w:style>
  <w:style w:type="character" w:styleId="header4ital">
    <w:name w:val="header4ital"/>
    <w:basedOn w:val="Style11"/>
    <w:qFormat/>
    <w:rPr/>
  </w:style>
  <w:style w:type="character" w:styleId="apple-style-span">
    <w:name w:val="apple-style-span"/>
    <w:basedOn w:val="Style11"/>
    <w:qFormat/>
    <w:rPr/>
  </w:style>
  <w:style w:type="character" w:styleId="HTML">
    <w:name w:val="Стандартный HTML Знак"/>
    <w:qFormat/>
    <w:rPr>
      <w:rFonts w:ascii="Courier New" w:hAnsi="Courier New" w:cs="Courier New"/>
    </w:rPr>
  </w:style>
  <w:style w:type="character" w:styleId="apple-converted-space">
    <w:name w:val="apple-converted-space"/>
    <w:basedOn w:val="Style11"/>
    <w:qFormat/>
    <w:rPr/>
  </w:style>
  <w:style w:type="character" w:styleId="Emphasis">
    <w:name w:val="Emphasis"/>
    <w:qFormat/>
    <w:rPr>
      <w:i/>
      <w:iCs/>
    </w:rPr>
  </w:style>
  <w:style w:type="character" w:styleId="ins-text">
    <w:name w:val="ins-text"/>
    <w:basedOn w:val="Style11"/>
    <w:qFormat/>
    <w:rPr/>
  </w:style>
  <w:style w:type="character" w:styleId="3">
    <w:name w:val="Заголовок 3 Знак"/>
    <w:qFormat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Style14">
    <w:name w:val="Неразрешенное упоминание"/>
    <w:qFormat/>
    <w:rPr>
      <w:color w:val="605E5C"/>
      <w:shd w:fill="E1DFDD" w:val="clear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>
      <w:lang w:val="ru-RU"/>
    </w:rPr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>
      <w:lang w:val="ru-RU"/>
    </w:rPr>
  </w:style>
  <w:style w:type="paragraph" w:styleId="HTML1">
    <w:name w:val="Стандартный HTML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RU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c1.1c.ru/account/summary/?token=31c3406275ad7fe99752b4c3521ef16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Application>LibreOffice/25.2.3.2$Windows_X86_64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2023-05-30T16:14:00Z</dcterms:created>
  <dc:creator>Глеб</dc:creator>
  <dc:description/>
  <cp:keywords/>
  <dc:language>ru-RU</dc:language>
  <cp:lastModifiedBy>Admin</cp:lastModifiedBy>
  <cp:lastPrinted>2011-01-18T17:21:00Z</cp:lastPrinted>
  <dcterms:modified xsi:type="dcterms:W3CDTF">2025-05-19T11:45:00Z</dcterms:modified>
  <cp:revision>40</cp:revision>
  <dc:subject/>
  <dc:title>Ф</dc:title>
</cp:coreProperties>
</file>