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360"/>
      </w:pPr>
      <w:r>
        <w:rPr>
          <w:rFonts w:ascii="Times New Roman" w:cs="Times New Roman" w:eastAsia="Times New Roman" w:hAnsi="Times New Roman"/>
          <w:b/>
          <w:bCs/>
          <w:sz w:val="32"/>
          <w:szCs w:val="32"/>
        </w:rPr>
        <w:t xml:space="preserve">2. Literature Review</w:t>
      </w:r>
    </w:p>
    <w:p>
      <w:pPr>
        <w:spacing w:after="200" w:line="360"/>
        <w:jc w:val="both"/>
      </w:pPr>
      <w:r>
        <w:rPr>
          <w:rFonts w:ascii="Times New Roman" w:cs="Times New Roman" w:eastAsia="Times New Roman" w:hAnsi="Times New Roman"/>
          <w:sz w:val="24"/>
          <w:szCs w:val="24"/>
        </w:rPr>
        <w:t xml:space="preserve">This chapter reviews the literature that motivates and positions the present work. The review is organized around six interconnected propositions that, taken together, identify a research gap at the intersection of agentic benchmarking, automated prompt optimization, and teacher–student knowledge transfer. Each subsection advances a distinct claim supported by existing scholarship: that tool-using language model agents remain unreliable at enterprise scale; that static prompting and scaffolding techniques, while valuable, reach a performance ceiling; that reinforcement learning from human feedback and fine-tuning, though effective, are impractical for rapid domain-specific adaptation; that automated prompt optimization methods are powerful yet untested on structured tool-agent-user benchmarks; that teacher–student knowledge distillation is well-established at the weight level and increasingly explored at the output level; and that the specific combination of teacher-model-driven prompt evolution validated on agentic tool-use benchmarks remains an open problem. The chapter concludes by synthesizing these strands into the research gap that this thesis addresses.</w:t>
      </w:r>
    </w:p>
    <w:p>
      <w:pPr>
        <w:pStyle w:val="Heading2"/>
        <w:spacing w:after="200" w:before="300"/>
      </w:pPr>
      <w:r>
        <w:rPr>
          <w:rFonts w:ascii="Times New Roman" w:cs="Times New Roman" w:eastAsia="Times New Roman" w:hAnsi="Times New Roman"/>
          <w:b/>
          <w:bCs/>
          <w:sz w:val="28"/>
          <w:szCs w:val="28"/>
        </w:rPr>
        <w:t xml:space="preserve">2.1 The Enterprise Reliability Gap in Tool-Using Agents</w:t>
      </w:r>
    </w:p>
    <w:p>
      <w:pPr>
        <w:spacing w:after="200" w:line="360"/>
        <w:jc w:val="both"/>
      </w:pPr>
      <w:r>
        <w:rPr>
          <w:rFonts w:ascii="Times New Roman" w:cs="Times New Roman" w:eastAsia="Times New Roman" w:hAnsi="Times New Roman"/>
          <w:sz w:val="24"/>
          <w:szCs w:val="24"/>
        </w:rPr>
        <w:t xml:space="preserve">The past two years have seen a proliferation of benchmarks designed to evaluate large language models not merely as text generators but as autonomous agents capable of multi-turn interaction, tool invocation, and policy adherence. The τ-bench family is central to this thesis. Yao, Shinn, Razavi, and Narasimhan (2024) introduced τ-bench as a benchmark that operationalizes tool–agent–user interaction into measurable success criteria across retail and airline customer-service domains. Their results revealed that even GPT-4o succeeded on fewer than half of all tasks, and the pass</w:t>
      </w:r>
      <w:r>
        <w:rPr>
          <w:rFonts w:ascii="Times New Roman" w:cs="Times New Roman" w:eastAsia="Times New Roman" w:hAnsi="Times New Roman"/>
          <w:sz w:val="24"/>
          <w:szCs w:val="24"/>
          <w:vertAlign w:val="superscript"/>
        </w:rPr>
        <w:t xml:space="preserve">k</w:t>
      </w:r>
      <w:r>
        <w:rPr>
          <w:rFonts w:ascii="Times New Roman" w:cs="Times New Roman" w:eastAsia="Times New Roman" w:hAnsi="Times New Roman"/>
          <w:sz w:val="24"/>
          <w:szCs w:val="24"/>
        </w:rPr>
        <w:t xml:space="preserve"> reliability metric—which measures the probability of solving the same task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consecutive times—showed that pass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dropped below 25% in the retail domain. Barres, Dong, Ray, Si, and Narasimhan (2025) extended this work with τ²-bench, introducing a dual-control environment where both the agent and a simulated user have access to tools and databases, and adding a telecom domain. The expanded setup exposed further failure modes, particularly in scenarios requiring the user to perform physical actions such as troubleshooting network equipment, and confirmed that frontier models remain far from reliable even in the enriched evaluation setting.</w:t>
      </w:r>
    </w:p>
    <w:p>
      <w:pPr>
        <w:spacing w:after="200" w:line="360"/>
        <w:jc w:val="both"/>
      </w:pPr>
      <w:r>
        <w:rPr>
          <w:rFonts w:ascii="Times New Roman" w:cs="Times New Roman" w:eastAsia="Times New Roman" w:hAnsi="Times New Roman"/>
          <w:sz w:val="24"/>
          <w:szCs w:val="24"/>
        </w:rPr>
        <w:t xml:space="preserve">These findings are not isolated to the τ-bench family. Liu et al. (2023) presented AgentBench, the first systematic multi-dimensional benchmark evaluating LLMs as agents across eight interactive environments including operating system interaction, database operations, and web browsing. Testing twenty-nine models, they found a significant performance gap between top commercial systems and open-source alternatives, identifying poor long-term reasoning, decision-making, and instruction following as the primary obstacles. In a complementary line of work, Jimenez, Yang, Wettig, Yao, Pei, Press, and Narasimhan (2024) introduced SWE-bench, a collection of 2,294 real-world software engineering tasks drawn from GitHub issues. At publication, the best-performing model solved only 1.96% of issues, establishing that autonomous multi-step tool use remains fundamentally unreliable even in code-centric domains where LLMs are considered strongest.</w:t>
      </w:r>
    </w:p>
    <w:p>
      <w:pPr>
        <w:spacing w:after="200" w:line="360"/>
        <w:jc w:val="both"/>
      </w:pPr>
      <w:r>
        <w:rPr>
          <w:rFonts w:ascii="Times New Roman" w:cs="Times New Roman" w:eastAsia="Times New Roman" w:hAnsi="Times New Roman"/>
          <w:sz w:val="24"/>
          <w:szCs w:val="24"/>
        </w:rPr>
        <w:t xml:space="preserve">Benchmarks targeting specific tool-use capabilities reinforce this picture. Qin et al. (2023) introduced ToolBench with over 16,000 real-world RESTful APIs, finding that open-source instruction-tuned models achieved a zero percent pass rate on tool-use tasks and that even ChatGPT required a novel depth-first search decision tree to achieve reasonable performance. Li et al. (2023) proposed API-Bank with 73 API tools across 314 dialogues, identifying persistent failure modes in parameter extraction, API selection, and sequential planning even for GPT-4. Mialon et al. (2023) presented GAIA, 466 real-world questions requiring reasoning, browsing, and tool-use proficiency, where human respondents scored 92% versus only 15% for GPT-4 with plugins—a 77-point gap that inverts the typical narrative of LLMs outperforming humans on standard benchmarks.</w:t>
      </w:r>
    </w:p>
    <w:p>
      <w:pPr>
        <w:spacing w:after="200" w:line="360"/>
        <w:jc w:val="both"/>
      </w:pPr>
      <w:r>
        <w:rPr>
          <w:rFonts w:ascii="Times New Roman" w:cs="Times New Roman" w:eastAsia="Times New Roman" w:hAnsi="Times New Roman"/>
          <w:sz w:val="24"/>
          <w:szCs w:val="24"/>
        </w:rPr>
        <w:t xml:space="preserve">Two recent meta-analyses provide the conceptual framing for interpreting these results. Kapoor, Stroebl, Siegel, Nadgir, and Narayanan (2024) conducted a critical analysis of agent benchmarking practices, showing that state-of-the-art agents exhibit fifty-fold cost variation for similar accuracy levels and that complex agent architectures achieve marginal accuracy gains at exponential cost—directly relevant to the thesis’s argument that prompt-level optimization offers a more efficient path to improvement than architectural scaling. Most consequentially, Rabanser, Kapoor, Kirgis, Liu, Utpala, and Narayanan (2025) proposed twelve metrics decomposing agent reliability across consistency, robustness, predictability, and safety. Testing fourteen models across eighteen months on GAIA and τ-bench, they identified a persistent </w:t>
      </w:r>
      <w:r>
        <w:rPr>
          <w:rFonts w:ascii="Times New Roman" w:cs="Times New Roman" w:eastAsia="Times New Roman" w:hAnsi="Times New Roman"/>
          <w:i/>
          <w:iCs/>
          <w:sz w:val="24"/>
          <w:szCs w:val="24"/>
        </w:rPr>
        <w:t xml:space="preserve">capability–reliability gap</w:t>
      </w:r>
      <w:r>
        <w:rPr>
          <w:rFonts w:ascii="Times New Roman" w:cs="Times New Roman" w:eastAsia="Times New Roman" w:hAnsi="Times New Roman"/>
          <w:sz w:val="24"/>
          <w:szCs w:val="24"/>
        </w:rPr>
        <w:t xml:space="preserve">: accuracy improves faster than reliability. Their work explicitly argues that enterprise autonomous operation requires three to five nines of performance (99.9%–99.999%) and that current LLM agents are not on track to reach this threshold through scaling alone.</w:t>
      </w:r>
    </w:p>
    <w:p>
      <w:pPr>
        <w:pStyle w:val="Heading2"/>
        <w:spacing w:after="200" w:before="300"/>
      </w:pPr>
      <w:r>
        <w:rPr>
          <w:rFonts w:ascii="Times New Roman" w:cs="Times New Roman" w:eastAsia="Times New Roman" w:hAnsi="Times New Roman"/>
          <w:b/>
          <w:bCs/>
          <w:sz w:val="28"/>
          <w:szCs w:val="28"/>
        </w:rPr>
        <w:t xml:space="preserve">2.2 The Ceiling of Static Prompting and Scaffolding</w:t>
      </w:r>
    </w:p>
    <w:p>
      <w:pPr>
        <w:spacing w:after="200" w:line="360"/>
        <w:jc w:val="both"/>
      </w:pPr>
      <w:r>
        <w:rPr>
          <w:rFonts w:ascii="Times New Roman" w:cs="Times New Roman" w:eastAsia="Times New Roman" w:hAnsi="Times New Roman"/>
          <w:sz w:val="24"/>
          <w:szCs w:val="24"/>
        </w:rPr>
        <w:t xml:space="preserve">A substantial body of work has sought to improve agent performance through better prompt design and execution scaffolding. Chain-of-thought prompting, introduced by Wei et al. (2022), demonstrated that a small number of hand-crafted reasoning exemplars can dramatically improve performance on arithmetic, commonsense, and symbolic reasoning tasks, with PaLM-540B achieving state-of-the-art results on GSM8K. The ReAct framework (Yao, Zhao, Yu, Du, Shafran, Narasimhan, &amp; Cao, 2023) extended this by interleaving reasoning traces with task-specific actions, enabling models to interface with external tools while maintaining reasoning chains. ReAct improved over both pure chain-of-thought and pure action-generation baselines on question answering, fact verification, and interactive decision-making. Yao, Yu, Zhao, Shafran, Griffiths, Cao, and Narasimhan (2023) further generalized the approach with Tree of Thoughts, enabling LMs to explore multiple reasoning paths via tree search with self-evaluation, achieving 74% success on Game of 24 versus chain-of-thought’s 4%.</w:t>
      </w:r>
    </w:p>
    <w:p>
      <w:pPr>
        <w:spacing w:after="200" w:line="360"/>
        <w:jc w:val="both"/>
      </w:pPr>
      <w:r>
        <w:rPr>
          <w:rFonts w:ascii="Times New Roman" w:cs="Times New Roman" w:eastAsia="Times New Roman" w:hAnsi="Times New Roman"/>
          <w:sz w:val="24"/>
          <w:szCs w:val="24"/>
        </w:rPr>
        <w:t xml:space="preserve">On the tool-use side, the introduction of function calling by OpenAI (2023) shifted interaction from free-form text generation to schema-driven structured output, acknowledging that pure natural-language prompting is insufficient for reliable tool invocation. Schick et al. (2023) proposed Toolformer, training language models in a self-supervised manner to autonomously invoke external tools, achieving zero-shot performance competitive with much larger models. Patil, Zhang, Wang, and Gonzalez (2023) fine-tuned LLaMA to surpass GPT-4 on API call generation through Gorilla, while simultaneously showing that GPT-4 frequently hallucinates incorrect API usage when relying on prompting alone. Willard and Louf (2023) approached the format reliability problem through constrained decoding with finite-state machines, guaranteeing valid structured output but addressing only output format rather than reasoning or planning.</w:t>
      </w:r>
    </w:p>
    <w:p>
      <w:pPr>
        <w:spacing w:after="200" w:line="360"/>
        <w:jc w:val="both"/>
      </w:pPr>
      <w:r>
        <w:rPr>
          <w:rFonts w:ascii="Times New Roman" w:cs="Times New Roman" w:eastAsia="Times New Roman" w:hAnsi="Times New Roman"/>
          <w:sz w:val="24"/>
          <w:szCs w:val="24"/>
        </w:rPr>
        <w:t xml:space="preserve">Despite these genuine advances, the literature reveals fundamental limitations of static approaches. The core problem is that all of these techniques fix the agent’s behavioral repertoire at design time. ReAct exemplars are hand-crafted and task-specific; function schemas consume tokens and require careful engineering; chain-of-thought reasoning is strongly model-size-dependent, emerging only at approximately 100 billion parameters (Wei et al., 2022). Brown et al. (2020) established that in-context few-shot learning has task-dependent ceilings, with GPT-3 failing on tasks like ANLI and QuAC. Zhou, Muresanu, Han, Paster, Pitis, Chan, and Ba (2022) found through their Automatic Prompt Engineer (APE) work that optimal prompts are fragile—small wording changes alter effectiveness—supporting the characterization of prompt engineering as program synthesis over a brittle search space.</w:t>
      </w:r>
    </w:p>
    <w:p>
      <w:pPr>
        <w:spacing w:after="200" w:line="360"/>
        <w:jc w:val="both"/>
      </w:pPr>
      <w:r>
        <w:rPr>
          <w:rFonts w:ascii="Times New Roman" w:cs="Times New Roman" w:eastAsia="Times New Roman" w:hAnsi="Times New Roman"/>
          <w:sz w:val="24"/>
          <w:szCs w:val="24"/>
        </w:rPr>
        <w:t xml:space="preserve">The most direct empirical evidence for this ceiling comes from Sclar, Choi, Tsvetkov, and Suhr (2023), who demonstrated extreme sensitivity of LLMs to meaning-preserving formatting changes in few-shot prompts, with up to 76 accuracy points of variation on LLaMA-2-13B from changes as trivial as spacing and delimiter choice. This sensitivity persisted even with increased model size, more examples, or instruction tuning. The implication for agent deployment is clear: static prompt scaffolds, however sophisticated, cannot guarantee the consistent behavior that enterprise applications demand. The agent’s performance is contingent on design-time decisions that may be suboptimal or brittle under distribution shift, and there is no mechanism for the agent to adapt when it encounters novel failure modes in production.</w:t>
      </w:r>
    </w:p>
    <w:p>
      <w:pPr>
        <w:pStyle w:val="Heading2"/>
        <w:spacing w:after="200" w:before="300"/>
      </w:pPr>
      <w:r>
        <w:rPr>
          <w:rFonts w:ascii="Times New Roman" w:cs="Times New Roman" w:eastAsia="Times New Roman" w:hAnsi="Times New Roman"/>
          <w:b/>
          <w:bCs/>
          <w:sz w:val="28"/>
          <w:szCs w:val="28"/>
        </w:rPr>
        <w:t xml:space="preserve">2.3 The Impracticality of Fine-Tuning for Rapid Enterprise Adaptation</w:t>
      </w:r>
    </w:p>
    <w:p>
      <w:pPr>
        <w:spacing w:after="200" w:line="360"/>
        <w:jc w:val="both"/>
      </w:pPr>
      <w:r>
        <w:rPr>
          <w:rFonts w:ascii="Times New Roman" w:cs="Times New Roman" w:eastAsia="Times New Roman" w:hAnsi="Times New Roman"/>
          <w:sz w:val="24"/>
          <w:szCs w:val="24"/>
        </w:rPr>
        <w:t xml:space="preserve">Reinforcement learning from human feedback (RLHF) has been the dominant paradigm for aligning language models with human intent. Ouyang et al. (2022) demonstrated with InstructGPT that a 1.3-billion-parameter model trained with human feedback is preferred over 175-billion-parameter GPT-3, establishing the effectiveness of the approach. However, their work also revealed the substantial infrastructure required: labeler-written demonstrations, multi-stage reward modeling, and iterative RL optimization, all demanding extensive human annotation pipelines. The authors noted an “alignment tax” where alignment comes at the cost of performance regressions on public NLP benchmarks. Bai et al. (2022) proposed Constitutional AI (CAI) to reduce the human feedback burden by replacing human harmlessness labels with model-generated critiques guided by constitutional principles, but CAI still requires a complex multi-phase pipeline of supervised self-critique followed by reinforcement learning.</w:t>
      </w:r>
    </w:p>
    <w:p>
      <w:pPr>
        <w:spacing w:after="200" w:line="360"/>
        <w:jc w:val="both"/>
      </w:pPr>
      <w:r>
        <w:rPr>
          <w:rFonts w:ascii="Times New Roman" w:cs="Times New Roman" w:eastAsia="Times New Roman" w:hAnsi="Times New Roman"/>
          <w:sz w:val="24"/>
          <w:szCs w:val="24"/>
        </w:rPr>
        <w:t xml:space="preserve">Subsequent work has simplified the pipeline but not eliminated its fundamental constraints. Rafailov, Sharma, Mitchell, Manning, Ermon, and Finn (2023) introduced Direct Preference Optimization (DPO), eliminating the separate reward model and RL optimization by directly optimizing the language model on preference data using a classification loss. DPO matches or exceeds PPO-based RLHF with substantially less complexity. However, the core bottleneck—collecting or generating domain-specific preference datasets—remains. Every new company policy or workflow change would require new preference data, making DPO equally impractical for rapid enterprise adaptation. Hu, Shen, Wallis, Allen-Zhu, Li, Wang, Wang, and Chen (2022) reduced fine-tuning costs through LoRA, which injects trainable low-rank matrices while freezing pretrained weights, cutting trainable parameters by up to 10,000×. While making fine-tuning more accessible, LoRA does not eliminate the need for task-specific training data or the risk of catastrophic forgetting.</w:t>
      </w:r>
    </w:p>
    <w:p>
      <w:pPr>
        <w:spacing w:after="200" w:line="360"/>
        <w:jc w:val="both"/>
      </w:pPr>
      <w:r>
        <w:rPr>
          <w:rFonts w:ascii="Times New Roman" w:cs="Times New Roman" w:eastAsia="Times New Roman" w:hAnsi="Times New Roman"/>
          <w:sz w:val="24"/>
          <w:szCs w:val="24"/>
        </w:rPr>
        <w:t xml:space="preserve">The limitations of the RLHF paradigm are well-documented. Casper et al. (2023) produced a comprehensive survey taxonomizing RLHF challenges including noisy and biased human feedback, reward hacking, distributional shift, instability, and sycophancy, arguing that RLHF is not a complete alignment framework and that human evaluators miss over half of critical errors. Lin et al. (2024) directly quantified the alignment tax, showing that RLHF alignment degrades pretrained LLM abilities in translation, reading comprehension, and common-sense reasoning, with existing mitigation techniques such as LoRA and regularization proving insufficient. Luo, Yang, Meng, Li, and Zhou (2023) confirmed that catastrophic forgetting during continual fine-tuning affects all model sizes and, counterintuitively, that larger models suffer stronger forgetting—meaning that fine-tuning for one enterprise task (such as compliance checking) risks degrading performance on others (such as customer support).</w:t>
      </w:r>
    </w:p>
    <w:p>
      <w:pPr>
        <w:spacing w:after="200" w:line="360"/>
        <w:jc w:val="both"/>
      </w:pPr>
      <w:r>
        <w:rPr>
          <w:rFonts w:ascii="Times New Roman" w:cs="Times New Roman" w:eastAsia="Times New Roman" w:hAnsi="Times New Roman"/>
          <w:sz w:val="24"/>
          <w:szCs w:val="24"/>
        </w:rPr>
        <w:t xml:space="preserve">Zhou, Liu, Xu, Iyer, Sun, Mao, Ma, Efrat, Yu, Yu, Zhang, Ghosh, Lewis, Zettlemoyer, and Levy (2023) offered an alternative perspective through LIMA, demonstrating that fine-tuning on just 1,000 carefully curated examples can achieve strong alignment. Their “Superficial Alignment Hypothesis”—that alignment primarily teaches style and format rather than injecting knowledge—is conceptually aligned with the thesis’s premise that prompt-level interventions can achieve substantial behavioral changes. However, LIMA’s effectiveness depends on extremely careful manual curation, and each new enterprise domain would require expert-curated datasets, making it no more practical for rapid adaptation than RLHF. The collective evidence suggests that while fine-tuning approaches are powerful in principle, they impose costs in data collection, compute, and maintenance that make them unsuitable as a mechanism for the rapid, reversible, domain-specific agent improvement that enterprises require.</w:t>
      </w:r>
    </w:p>
    <w:p>
      <w:pPr>
        <w:pStyle w:val="Heading2"/>
        <w:spacing w:after="200" w:before="300"/>
      </w:pPr>
      <w:r>
        <w:rPr>
          <w:rFonts w:ascii="Times New Roman" w:cs="Times New Roman" w:eastAsia="Times New Roman" w:hAnsi="Times New Roman"/>
          <w:b/>
          <w:bCs/>
          <w:sz w:val="28"/>
          <w:szCs w:val="28"/>
        </w:rPr>
        <w:t xml:space="preserve">2.4 Automated Prompt Optimization: Power Without Agentic Validation</w:t>
      </w:r>
    </w:p>
    <w:p>
      <w:pPr>
        <w:spacing w:after="200" w:line="360"/>
        <w:jc w:val="both"/>
      </w:pPr>
      <w:r>
        <w:rPr>
          <w:rFonts w:ascii="Times New Roman" w:cs="Times New Roman" w:eastAsia="Times New Roman" w:hAnsi="Times New Roman"/>
          <w:sz w:val="24"/>
          <w:szCs w:val="24"/>
        </w:rPr>
        <w:t xml:space="preserve">A rapidly growing body of work demonstrates that prompts can be optimized automatically, without updating model weights. This section reviews the major approaches and identifies a consistent blind spot: none have been validated on structured tool-agent-user benchmarks.</w:t>
      </w:r>
    </w:p>
    <w:p>
      <w:pPr>
        <w:spacing w:after="200" w:line="360"/>
        <w:jc w:val="both"/>
      </w:pPr>
      <w:r>
        <w:rPr>
          <w:rFonts w:ascii="Times New Roman" w:cs="Times New Roman" w:eastAsia="Times New Roman" w:hAnsi="Times New Roman"/>
          <w:sz w:val="24"/>
          <w:szCs w:val="24"/>
        </w:rPr>
        <w:t xml:space="preserve">Khattab et al. (2023) introduced DSPy, a framework that abstracts language model pipelines as declarative modules with learnable parameters—prompts and demonstrations—and provides a compiler that automatically optimizes pipelines against a target metric. GPT-3.5 and Llama2-13b self-bootstrap pipelines that outperform expert-created demonstrations by 5–46% on multi-hop QA and math reasoning. Yuksekgonul, Bianchi, Boen, Liu, Huang, Guestrin, and Zou (2024) proposed TextGrad, which performs automatic “differentiation” via text by backpropagating LLM-generated textual feedback through computation graphs to optimize compound AI system components, improving GPT-4o zero-shot accuracy on GPQA and achieving substantial gains on LeetCode-Hard. Yang, Wang, Lu, Liu, Le, Zhou, and Chen (2023) developed OPRO, which uses LLMs as black-box optimizers by describing optimization tasks in natural language, with the LLM iteratively generating new prompt candidates from a meta-prompt containing previous solutions with scores, outperforming human-designed prompts by up to 8% on GSM8K and 50% on Big-Bench Hard.</w:t>
      </w:r>
    </w:p>
    <w:p>
      <w:pPr>
        <w:spacing w:after="200" w:line="360"/>
        <w:jc w:val="both"/>
      </w:pPr>
      <w:r>
        <w:rPr>
          <w:rFonts w:ascii="Times New Roman" w:cs="Times New Roman" w:eastAsia="Times New Roman" w:hAnsi="Times New Roman"/>
          <w:sz w:val="24"/>
          <w:szCs w:val="24"/>
        </w:rPr>
        <w:t xml:space="preserve">Evolutionary approaches have proven particularly effective. Guo et al. (2023) combined LLMs with evolutionary algorithms for discrete prompt optimization through EvoPrompt, significantly outperforming human-engineered prompts across 31 datasets covering language understanding, generation, and reasoning. Fernando, Banarse, Michalewski, Osindero, and Rocktäschel (2023) introduced PromptBreeder, which evolves both task-prompts and the mutation-prompts that generate them in a self-referential loop. Pryzant, Iter, Li, Lee, Zhu, and Zeng (2023) proposed ProTeGi, using LLM-generated natural language “gradients”—criticisms of current prompt performance—to iteratively edit prompts, achieving up to 31% improvement on classification tasks.</w:t>
      </w:r>
    </w:p>
    <w:p>
      <w:pPr>
        <w:spacing w:after="200" w:line="360"/>
        <w:jc w:val="both"/>
      </w:pPr>
      <w:r>
        <w:rPr>
          <w:rFonts w:ascii="Times New Roman" w:cs="Times New Roman" w:eastAsia="Times New Roman" w:hAnsi="Times New Roman"/>
          <w:sz w:val="24"/>
          <w:szCs w:val="24"/>
        </w:rPr>
        <w:t xml:space="preserve">More recent work has begun to target agentic systems specifically. Shinn, Cassano, Gopinath, Narasimhan, and Yao (2023) introduced Reflexion, where language agents verbally reflect on task feedback and maintain reflective text in episodic memory, achieving significant gains on AlfWorld, HotPotQA, and HumanEval. Hu, Lu, and Clune (2024) proposed Automated Design of Agentic Systems (ADAS), which defines agents in code and uses a meta-agent to iteratively program new agent designs based on an ever-growing archive of discoveries, outperforming hand-designed agents on multiple benchmarks. Cheng, Nie, and Swaminathan (2024) developed Trace and OptoPrime, framing workflow optimization as an optimization problem with execution traces and rich feedback, achieving approximately 10% higher accuracy than DSPy’s COPRO on Big-Bench Hard. Zhang et al. (2024) introduced AgentOptimizer, treating an LLM agent’s function and tool set as learnable parameters and using an LLM-based optimizer to iteratively add, revise, or remove tools. Wu et al. (2024) proposed AvaTaR, which uses contrastive reasoning to provide holistic prompts for tool-assisted knowledge retrieval tasks.</w:t>
      </w:r>
    </w:p>
    <w:p>
      <w:pPr>
        <w:spacing w:after="200" w:line="360"/>
        <w:jc w:val="both"/>
      </w:pPr>
      <w:r>
        <w:rPr>
          <w:rFonts w:ascii="Times New Roman" w:cs="Times New Roman" w:eastAsia="Times New Roman" w:hAnsi="Times New Roman"/>
          <w:sz w:val="24"/>
          <w:szCs w:val="24"/>
        </w:rPr>
        <w:t xml:space="preserve">Despite the breadth and sophistication of this literature, a consistent pattern emerges: evaluations are confined to question answering, classification, mathematical reasoning, coding, and simplified interactive environments. DSPy’s optimizers are validated on GSM8K and HotPotQA; TextGrad on GPQA and LeetCode; OPRO on GSM8K and Big-Bench Hard; Reflexion on AlfWorld and HumanEval; ADAS on ARC and DROP; AvaTaR on STaRK. None of these are structured multi-turn tool-calling benchmarks with realistic user simulation, domain-specific policies, and enterprise-grade success criteria. The τ-bench family—which operationalizes exactly these conditions—has not been used as an optimization target for any automated prompt evolution method. This is the critical gap for the present work: the tools exist, the benchmarks exist, but the connection between them has not been made.</w:t>
      </w:r>
    </w:p>
    <w:p>
      <w:pPr>
        <w:pStyle w:val="Heading2"/>
        <w:spacing w:after="200" w:before="300"/>
      </w:pPr>
      <w:r>
        <w:rPr>
          <w:rFonts w:ascii="Times New Roman" w:cs="Times New Roman" w:eastAsia="Times New Roman" w:hAnsi="Times New Roman"/>
          <w:b/>
          <w:bCs/>
          <w:sz w:val="28"/>
          <w:szCs w:val="28"/>
        </w:rPr>
        <w:t xml:space="preserve">2.5 From Weight-Level Distillation to Prompt-Level Knowledge Transfer</w:t>
      </w:r>
    </w:p>
    <w:p>
      <w:pPr>
        <w:spacing w:after="200" w:line="360"/>
        <w:jc w:val="both"/>
      </w:pPr>
      <w:r>
        <w:rPr>
          <w:rFonts w:ascii="Times New Roman" w:cs="Times New Roman" w:eastAsia="Times New Roman" w:hAnsi="Times New Roman"/>
          <w:sz w:val="24"/>
          <w:szCs w:val="24"/>
        </w:rPr>
        <w:t xml:space="preserve">The idea that a strong model can transfer knowledge to a weaker one is well-established in machine learning. Hinton, Vinyals, and Dean (2015) introduced knowledge distillation, training a smaller “student” model to replicate the soft probability distributions of a larger “teacher” model via temperature-scaled softmax. This foundational work demonstrated that knowledge can be compressed from cumbersome models into smaller, deployable ones while retaining most performance. In NLP, Sanh, Debut, Chaumond, and Wolf (2019) applied distillation during pre-training to produce DistilBERT, reducing BERT’s size by 40% while retaining 97% of its language understanding capabilities. Jiao, Yin, Shang, Jiang, Chen, Li, Wang, and Liu (2020) achieved further compression with TinyBERT through Transformer distillation at multiple layers, producing a model 7.5× smaller and 9.4× faster than BERT-Base at 96.8% of its performance.</w:t>
      </w:r>
    </w:p>
    <w:p>
      <w:pPr>
        <w:spacing w:after="200" w:line="360"/>
        <w:jc w:val="both"/>
      </w:pPr>
      <w:r>
        <w:rPr>
          <w:rFonts w:ascii="Times New Roman" w:cs="Times New Roman" w:eastAsia="Times New Roman" w:hAnsi="Times New Roman"/>
          <w:sz w:val="24"/>
          <w:szCs w:val="24"/>
        </w:rPr>
        <w:t xml:space="preserve">The emergence of large language models shifted the distillation paradigm from soft probability matching to output-level transfer. Taori et al. (2023) demonstrated with Stanford Alpaca that LLaMA-7B fine-tuned on 52,000 instruction-following examples generated by text-davinci-003 achieves behavior qualitatively similar to GPT-3.5 for under 600 US dollars. Chiang et al. (2023) fine-tuned LLaMA-13B on approximately 70,000 user-shared ChatGPT conversations to create Vicuna, achieving roughly 90% of ChatGPT quality. Wang, Kordi, Mishra, Liu, Smith, Khashabi, and Hajishirzi (2023) formalized this pattern through Self-Instruct, where a language model generates its own instruction-following training data via a bootstrapping pipeline starting from 175 seed tasks. These works represent a paradigm shift: the teacher’s knowledge is transferred not through soft probability distributions but through behavioral outputs that train the student’s weights.</w:t>
      </w:r>
    </w:p>
    <w:p>
      <w:pPr>
        <w:spacing w:after="200" w:line="360"/>
        <w:jc w:val="both"/>
      </w:pPr>
      <w:r>
        <w:rPr>
          <w:rFonts w:ascii="Times New Roman" w:cs="Times New Roman" w:eastAsia="Times New Roman" w:hAnsi="Times New Roman"/>
          <w:sz w:val="24"/>
          <w:szCs w:val="24"/>
        </w:rPr>
        <w:t xml:space="preserve">More recent work has introduced iterative, failure-driven knowledge transfer that more closely resembles the present thesis’s approach. Jiang, Chan, Chen, and Wang (2023) proposed Lion, an adversarial distillation loop where the teacher identifies hard instructions where the student fails and generates new challenging examples, transferring knowledge from ChatGPT to a smaller model that surpasses Vicuna on Big-Bench Hard. Xu et al. (2023) introduced Evol-Instruct through WizardLM, where a strong LLM progressively rewrites simple instructions into more complex ones through in-depth and in-breadth evolution—the closest existing analog to prompt-level distillation, though the final step still involves fine-tuning weights. Zheng et al. (2023) systematically studied the LLM-as-judge paradigm, establishing that a strong model (GPT-4) can provide reliable supervisory signals with over 80% agreement with human preferences, validating the teacher-model diagnostic mechanism that the thesis employs.</w:t>
      </w:r>
    </w:p>
    <w:p>
      <w:pPr>
        <w:spacing w:after="200" w:line="360"/>
        <w:jc w:val="both"/>
      </w:pPr>
      <w:r>
        <w:rPr>
          <w:rFonts w:ascii="Times New Roman" w:cs="Times New Roman" w:eastAsia="Times New Roman" w:hAnsi="Times New Roman"/>
          <w:sz w:val="24"/>
          <w:szCs w:val="24"/>
        </w:rPr>
        <w:t xml:space="preserve">A crucial precedent for prompt-level transfer is the work of Vu, Lester, Constant, Al-Rfou, and Cer (2022) on SPoT, which demonstrated that soft prompts learned for one task can be transferred to initialize prompts for new tasks, improving performance across 26 NLP tasks. This establishes the theoretical basis for prompt-level knowledge transfer—that knowledge encoded in prompts (rather than model weights) can be reused across contexts. Constitutional AI (Bai et al., 2022) represents another form of model-to-model knowledge transfer at the principle level, where a model’s critiques encoded as natural language rules shape another model’s behavior. The trajectory from weight-level distillation (Hinton et al.) through output-level distillation (Alpaca, Vicuna) to instruction-level transfer (WizardLM, CAI) to prompt-level transfer (SPoT) reveals a clear evolutionary direction: knowledge transfer mechanisms are becoming progressively lighter, cheaper, and more reversible. The present thesis extends this trajectory to its logical next step: using a strong teacher model to iteratively optimize the prompts and tool descriptions of a weaker student model, achieving knowledge transfer without modifying any weights.</w:t>
      </w:r>
    </w:p>
    <w:p>
      <w:pPr>
        <w:pStyle w:val="Heading2"/>
        <w:spacing w:after="200" w:before="300"/>
      </w:pPr>
      <w:r>
        <w:rPr>
          <w:rFonts w:ascii="Times New Roman" w:cs="Times New Roman" w:eastAsia="Times New Roman" w:hAnsi="Times New Roman"/>
          <w:b/>
          <w:bCs/>
          <w:sz w:val="28"/>
          <w:szCs w:val="28"/>
        </w:rPr>
        <w:t xml:space="preserve">2.6 Identifying the Research Gap</w:t>
      </w:r>
    </w:p>
    <w:p>
      <w:pPr>
        <w:spacing w:after="200" w:line="360"/>
        <w:jc w:val="both"/>
      </w:pPr>
      <w:r>
        <w:rPr>
          <w:rFonts w:ascii="Times New Roman" w:cs="Times New Roman" w:eastAsia="Times New Roman" w:hAnsi="Times New Roman"/>
          <w:sz w:val="24"/>
          <w:szCs w:val="24"/>
        </w:rPr>
        <w:t xml:space="preserve">The preceding sections establish three mature research streams—agentic benchmarking, automated prompt optimization, and teacher–student knowledge transfer—that have developed largely in parallel. The research gap this thesis addresses lies at their intersection: no existing work combines automated prompt optimization driven by a frontier teacher model with validation on structured tool-agent-user benchmarks. Several recent papers approach this intersection from different directions but leave the gap open.</w:t>
      </w:r>
    </w:p>
    <w:p>
      <w:pPr>
        <w:spacing w:after="200" w:line="360"/>
        <w:jc w:val="both"/>
      </w:pPr>
      <w:r>
        <w:rPr>
          <w:rFonts w:ascii="Times New Roman" w:cs="Times New Roman" w:eastAsia="Times New Roman" w:hAnsi="Times New Roman"/>
          <w:sz w:val="24"/>
          <w:szCs w:val="24"/>
        </w:rPr>
        <w:t xml:space="preserve">The closest existing work is GEPA (Agrawal, Tan, Soylu, Ziems, Khare, Opsahl-Ong, Singhvi, Shandilya, Ryan, Jiang, Potts, Sen, Dimakis, Stoica, Klein, Zaharia, &amp; Khattab, 2025), a Genetic-Pareto prompt optimizer integrated into DSPy that uses natural language reflection from a stronger model to diagnose failures from execution traces and propose targeted mutations for a weaker task model, outperforming reinforcement learning baselines by up to 20%. GEPA has automated prompt optimization and implicitly employs a teacher–student paradigm, but its evaluations are on reasoning benchmarks (HotPotQA, AIME) and instruction-following (IFBench)—not on multi-turn customer service benchmarks with tool calls and domain policies.</w:t>
      </w:r>
    </w:p>
    <w:p>
      <w:pPr>
        <w:spacing w:after="200" w:line="360"/>
        <w:jc w:val="both"/>
      </w:pPr>
      <w:r>
        <w:rPr>
          <w:rFonts w:ascii="Times New Roman" w:cs="Times New Roman" w:eastAsia="Times New Roman" w:hAnsi="Times New Roman"/>
          <w:sz w:val="24"/>
          <w:szCs w:val="24"/>
        </w:rPr>
        <w:t xml:space="preserve">Pei, Zhen, Kai, Pan, Wang, Yuan, and Yu (2025) proposed SCOPE, which frames agent prompt management as an online optimization problem, synthesizing guidelines from execution traces via a dual-stream mechanism. SCOPE provides automated prompt evolution for agents and tests on agentic benchmarks (GAIA, HLE), but it does not employ a teacher–student paradigm where a stronger model explicitly diagnoses and patches the behavior of a weaker one. Choudhury and Sodhi (2024) introduced LEAP, an iterative framework where an AI expert teacher with privileged state information provides corrective feedback to a weaker student agent. LEAP has a clear teacher–student architecture and evaluates on interactive agent benchmarks (ALFWorld, WebShop), but it improves the student via fine-tuning—weight updates rather than prompt optimization—and does not target tool-calling customer service benchmarks.</w:t>
      </w:r>
    </w:p>
    <w:p>
      <w:pPr>
        <w:spacing w:after="200" w:line="360"/>
        <w:jc w:val="both"/>
      </w:pPr>
      <w:r>
        <w:rPr>
          <w:rFonts w:ascii="Times New Roman" w:cs="Times New Roman" w:eastAsia="Times New Roman" w:hAnsi="Times New Roman"/>
          <w:sz w:val="24"/>
          <w:szCs w:val="24"/>
        </w:rPr>
        <w:t xml:space="preserve">Reflexion (Shinn et al., 2023) improves agent performance through verbal self-reflection without weight updates, but reflections are ephemeral per-episode memory rather than permanent prompt patches, and there is no separate teacher model. ADAS (Hu et al., 2024) automates agent design including prompt discovery but operates at the level of entire agent architectures rather than iterative prompt patching and lacks an explicit teacher–student mechanism.</w:t>
      </w:r>
    </w:p>
    <w:p>
      <w:pPr>
        <w:spacing w:after="200" w:line="360"/>
        <w:jc w:val="both"/>
      </w:pPr>
      <w:r>
        <w:rPr>
          <w:rFonts w:ascii="Times New Roman" w:cs="Times New Roman" w:eastAsia="Times New Roman" w:hAnsi="Times New Roman"/>
          <w:sz w:val="24"/>
          <w:szCs w:val="24"/>
        </w:rPr>
        <w:t xml:space="preserve">In summary, the literature offers three well-developed components that have not been assembled into a single framework. Agentic benchmarks such as τ²-bench tell us precisely where tool-using agents fail and provide reproducible, domain-specific success criteria. Automated prompt optimization methods such as DSPy, TextGrad, and GEPA demonstrate that prompts and tool descriptions can be improved algorithmically at costs far below fine-tuning. Teacher–student distillation, from Hinton’s foundational work through Alpaca and Lion to LLM-as-judge, establishes that a strong model can reliably supervise a weaker one. What is missing—and what this thesis contributes—is the empirical demonstration that a frontier reasoning model can iteratively evolve the prompts and tool descriptions of a smaller, cheaper model on a structured tool-agent-user benchmark, achieving measurable reliability improvements without modifying any model weights. This approach is practical because it operates at the prompt level rather than requiring retraining; it is measurable because it is validated on τ²-bench with standardized metrics; and it is enterprise-aligned because it mirrors the operational reality where a more capable (and expensive) system improves the behavior of a cheaper execution-tier agent.</w:t>
      </w:r>
    </w:p>
    <w:p>
      <w:r>
        <w:br w:type="page"/>
      </w:r>
    </w:p>
    <w:p>
      <w:pPr>
        <w:pStyle w:val="Heading1"/>
        <w:spacing w:after="240" w:before="360"/>
      </w:pPr>
      <w:r>
        <w:rPr>
          <w:rFonts w:ascii="Times New Roman" w:cs="Times New Roman" w:eastAsia="Times New Roman" w:hAnsi="Times New Roman"/>
          <w:b/>
          <w:bCs/>
          <w:sz w:val="32"/>
          <w:szCs w:val="32"/>
        </w:rPr>
        <w:t xml:space="preserve">References</w:t>
      </w:r>
    </w:p>
    <w:p>
      <w:pPr>
        <w:spacing w:after="160" w:line="360"/>
        <w:ind w:left="720" w:hanging="720"/>
        <w:jc w:val="left"/>
      </w:pPr>
      <w:r>
        <w:rPr>
          <w:rFonts w:ascii="Times New Roman" w:cs="Times New Roman" w:eastAsia="Times New Roman" w:hAnsi="Times New Roman"/>
          <w:sz w:val="24"/>
          <w:szCs w:val="24"/>
        </w:rPr>
        <w:t xml:space="preserve">Agrawal, L. A., Tan, S., Soylu, D., Ziems, N., Khare, R., Opsahl-Ong, K., Singhvi, A., Shandilya, H., Ryan, M. J., Jiang, M., Potts, C., Sen, K., Dimakis, A. G., Stoica, I., Klein, D., Zaharia, M., &amp; Khattab, O. (2025). GEPA: Reflective prompt evolution can outperform reinforcement learning. arXiv preprint arXiv:2507.19457.</w:t>
      </w:r>
    </w:p>
    <w:p>
      <w:pPr>
        <w:spacing w:after="160" w:line="360"/>
        <w:ind w:left="720" w:hanging="720"/>
        <w:jc w:val="left"/>
      </w:pPr>
      <w:r>
        <w:rPr>
          <w:rFonts w:ascii="Times New Roman" w:cs="Times New Roman" w:eastAsia="Times New Roman" w:hAnsi="Times New Roman"/>
          <w:sz w:val="24"/>
          <w:szCs w:val="24"/>
        </w:rPr>
        <w:t xml:space="preserve">Bai, Y., Kadavath, S., Kundu, S., Askell, A., Kernion, J., Jones, A., Chen, A., Goldie, A., Mirhoseini, A., McKinnon, C., Chen, C., Olsson, C., Olah, C., Hernandez, D., Drain, D., Ganguli, D., Li, D., Tran-Johnson, E., Perez, E., … Kaplan, J. (2022). Constitutional AI: Harmlessness from AI feedback. arXiv preprint arXiv:2212.08073.</w:t>
      </w:r>
    </w:p>
    <w:p>
      <w:pPr>
        <w:spacing w:after="160" w:line="360"/>
        <w:ind w:left="720" w:hanging="720"/>
        <w:jc w:val="left"/>
      </w:pPr>
      <w:r>
        <w:rPr>
          <w:rFonts w:ascii="Times New Roman" w:cs="Times New Roman" w:eastAsia="Times New Roman" w:hAnsi="Times New Roman"/>
          <w:sz w:val="24"/>
          <w:szCs w:val="24"/>
        </w:rPr>
        <w:t xml:space="preserve">Barres, V., Dong, H., Ray, S., Si, X., &amp; Narasimhan, K. (2025). τ²-bench: Evaluating conversational agents in a dual-control environment. arXiv preprint arXiv:2506.07982.</w:t>
      </w:r>
    </w:p>
    <w:p>
      <w:pPr>
        <w:spacing w:after="160" w:line="360"/>
        <w:ind w:left="720" w:hanging="720"/>
        <w:jc w:val="left"/>
      </w:pPr>
      <w:r>
        <w:rPr>
          <w:rFonts w:ascii="Times New Roman" w:cs="Times New Roman" w:eastAsia="Times New Roman" w:hAnsi="Times New Roman"/>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w:t>
      </w:r>
    </w:p>
    <w:p>
      <w:pPr>
        <w:spacing w:after="160" w:line="360"/>
        <w:ind w:left="720" w:hanging="720"/>
        <w:jc w:val="left"/>
      </w:pPr>
      <w:r>
        <w:rPr>
          <w:rFonts w:ascii="Times New Roman" w:cs="Times New Roman" w:eastAsia="Times New Roman" w:hAnsi="Times New Roman"/>
          <w:sz w:val="24"/>
          <w:szCs w:val="24"/>
        </w:rPr>
        <w:t xml:space="preserve">Casper, S., Davies, X., Shi, C., Gilbert, T. K., Scheurer, J., Rando, J., Freedman, R., Korbak, T., Lindner, D., Freire, P., Wang, T., Marks, S., Segerie, C.-R., Carroll, M., Peng, A., Christoffersen, P., Damani, M., Slocum, S., Anwar, U., … Hadfield-Menell, D. (2023). Open problems and fundamental limitations of reinforcement learning from human feedback. Transactions on Machine Learning Research.</w:t>
      </w:r>
    </w:p>
    <w:p>
      <w:pPr>
        <w:spacing w:after="160" w:line="360"/>
        <w:ind w:left="720" w:hanging="720"/>
        <w:jc w:val="left"/>
      </w:pPr>
      <w:r>
        <w:rPr>
          <w:rFonts w:ascii="Times New Roman" w:cs="Times New Roman" w:eastAsia="Times New Roman" w:hAnsi="Times New Roman"/>
          <w:sz w:val="24"/>
          <w:szCs w:val="24"/>
        </w:rPr>
        <w:t xml:space="preserve">Cheng, C.-A., Nie, A., &amp; Swaminathan, A. (2024). Trace is the next AutoDiff: Generative optimization with rich feedback, execution traces, and LLMs. Advances in Neural Information Processing Systems, 37. arXiv preprint arXiv:2406.16218.</w:t>
      </w:r>
    </w:p>
    <w:p>
      <w:pPr>
        <w:spacing w:after="160" w:line="360"/>
        <w:ind w:left="720" w:hanging="720"/>
        <w:jc w:val="left"/>
      </w:pPr>
      <w:r>
        <w:rPr>
          <w:rFonts w:ascii="Times New Roman" w:cs="Times New Roman" w:eastAsia="Times New Roman" w:hAnsi="Times New Roman"/>
          <w:sz w:val="24"/>
          <w:szCs w:val="24"/>
        </w:rPr>
        <w:t xml:space="preserve">Chiang, W.-L., Li, Z., Lin, Z., Sheng, Y., Wu, Z., Zhang, H., Zheng, L., Zhuang, S., Zhuang, Y., Gonzalez, J. E., Stoica, I., &amp; Xing, E. P. (2023). Vicuna: An open-source chatbot impressing GPT-4 with 90%* ChatGPT quality. LMSYS Blog.</w:t>
      </w:r>
    </w:p>
    <w:p>
      <w:pPr>
        <w:spacing w:after="160" w:line="360"/>
        <w:ind w:left="720" w:hanging="720"/>
        <w:jc w:val="left"/>
      </w:pPr>
      <w:r>
        <w:rPr>
          <w:rFonts w:ascii="Times New Roman" w:cs="Times New Roman" w:eastAsia="Times New Roman" w:hAnsi="Times New Roman"/>
          <w:sz w:val="24"/>
          <w:szCs w:val="24"/>
        </w:rPr>
        <w:t xml:space="preserve">Choudhury, S., &amp; Sodhi, P. (2024). Better than your teacher: LLM agents that learn from privileged AI feedback. arXiv preprint arXiv:2410.05434.</w:t>
      </w:r>
    </w:p>
    <w:p>
      <w:pPr>
        <w:spacing w:after="160" w:line="360"/>
        <w:ind w:left="720" w:hanging="720"/>
        <w:jc w:val="left"/>
      </w:pPr>
      <w:r>
        <w:rPr>
          <w:rFonts w:ascii="Times New Roman" w:cs="Times New Roman" w:eastAsia="Times New Roman" w:hAnsi="Times New Roman"/>
          <w:sz w:val="24"/>
          <w:szCs w:val="24"/>
        </w:rPr>
        <w:t xml:space="preserve">Fernando, C., Banarse, D., Michalewski, H., Osindero, S., &amp; Rocktäschel, T. (2023). PromptBreeder: Self-referential self-improvement via prompt evolution. arXiv preprint arXiv:2309.16797.</w:t>
      </w:r>
    </w:p>
    <w:p>
      <w:pPr>
        <w:spacing w:after="160" w:line="360"/>
        <w:ind w:left="720" w:hanging="720"/>
        <w:jc w:val="left"/>
      </w:pPr>
      <w:r>
        <w:rPr>
          <w:rFonts w:ascii="Times New Roman" w:cs="Times New Roman" w:eastAsia="Times New Roman" w:hAnsi="Times New Roman"/>
          <w:sz w:val="24"/>
          <w:szCs w:val="24"/>
        </w:rPr>
        <w:t xml:space="preserve">Guo, Q., Wang, R., Guo, J., Li, B., Song, K., Tan, X., Liu, G., Bian, J., &amp; Yang, Y. (2023). Connecting LLMs with evolutionary algorithms yields powerful prompt optimizers.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Hinton, G., Vinyals, O., &amp; Dean, J. (2015). Distilling the knowledge in a neural network. arXiv preprint arXiv:1503.02531.</w:t>
      </w:r>
    </w:p>
    <w:p>
      <w:pPr>
        <w:spacing w:after="160" w:line="360"/>
        <w:ind w:left="720" w:hanging="720"/>
        <w:jc w:val="left"/>
      </w:pPr>
      <w:r>
        <w:rPr>
          <w:rFonts w:ascii="Times New Roman" w:cs="Times New Roman" w:eastAsia="Times New Roman" w:hAnsi="Times New Roman"/>
          <w:sz w:val="24"/>
          <w:szCs w:val="24"/>
        </w:rPr>
        <w:t xml:space="preserve">Hu, E. J., Shen, Y., Wallis, P., Allen-Zhu, Z., Li, Y., Wang, S., Wang, L., &amp; Chen, W. (2022). LoRA: Low-rank adaptation of large language models. Proceedings of the Tenth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Hu, S., Lu, C., &amp; Clune, J. (2024). Automated design of agentic systems. Proceedings of the Thirteenth International Conference on Learning Representations. arXiv preprint arXiv:2408.08435.</w:t>
      </w:r>
    </w:p>
    <w:p>
      <w:pPr>
        <w:spacing w:after="160" w:line="360"/>
        <w:ind w:left="720" w:hanging="720"/>
        <w:jc w:val="left"/>
      </w:pPr>
      <w:r>
        <w:rPr>
          <w:rFonts w:ascii="Times New Roman" w:cs="Times New Roman" w:eastAsia="Times New Roman" w:hAnsi="Times New Roman"/>
          <w:sz w:val="24"/>
          <w:szCs w:val="24"/>
        </w:rPr>
        <w:t xml:space="preserve">Jiang, Y., Chan, C., Chen, M., &amp; Wang, W. (2023). Lion: Adversarial distillation of proprietary large language models. Proceedings of the 2023 Conference on Empirical Methods in Natural Language Processing, 3134–3154.</w:t>
      </w:r>
    </w:p>
    <w:p>
      <w:pPr>
        <w:spacing w:after="160" w:line="360"/>
        <w:ind w:left="720" w:hanging="720"/>
        <w:jc w:val="left"/>
      </w:pPr>
      <w:r>
        <w:rPr>
          <w:rFonts w:ascii="Times New Roman" w:cs="Times New Roman" w:eastAsia="Times New Roman" w:hAnsi="Times New Roman"/>
          <w:sz w:val="24"/>
          <w:szCs w:val="24"/>
        </w:rPr>
        <w:t xml:space="preserve">Jiao, X., Yin, Y., Shang, L., Jiang, X., Chen, X., Li, L., Wang, F., &amp; Liu, Q. (2020). TinyBERT: Distilling BERT for natural language understanding. Findings of the Association for Computational Linguistics: EMNLP 2020, 4163–4174.</w:t>
      </w:r>
    </w:p>
    <w:p>
      <w:pPr>
        <w:spacing w:after="160" w:line="360"/>
        <w:ind w:left="720" w:hanging="720"/>
        <w:jc w:val="left"/>
      </w:pPr>
      <w:r>
        <w:rPr>
          <w:rFonts w:ascii="Times New Roman" w:cs="Times New Roman" w:eastAsia="Times New Roman" w:hAnsi="Times New Roman"/>
          <w:sz w:val="24"/>
          <w:szCs w:val="24"/>
        </w:rPr>
        <w:t xml:space="preserve">Jimenez, C. E., Yang, J., Wettig, A., Yao, S., Pei, K., Press, O., &amp; Narasimhan, K. (2024). SWE-bench: Can language models resolve real-world GitHub issues?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Kapoor, S., Stroebl, B., Siegel, Z. S., Nadgir, N., &amp; Narayanan, A. (2024). AI agents that matter. Transactions on Machine Learning Research.</w:t>
      </w:r>
    </w:p>
    <w:p>
      <w:pPr>
        <w:spacing w:after="160" w:line="360"/>
        <w:ind w:left="720" w:hanging="720"/>
        <w:jc w:val="left"/>
      </w:pPr>
      <w:r>
        <w:rPr>
          <w:rFonts w:ascii="Times New Roman" w:cs="Times New Roman" w:eastAsia="Times New Roman" w:hAnsi="Times New Roman"/>
          <w:sz w:val="24"/>
          <w:szCs w:val="24"/>
        </w:rPr>
        <w:t xml:space="preserve">Khattab, O., Singhvi, A., Maheshwari, P., Zhang, Z., Santhanam, K., Vardhamanan, S., Haq, S., Sharma, A., Joshi, T. T., Moazam, H., Miller, H., Zaharia, M., &amp; Potts, C. (2023). DSPy: Compiling declarative language model calls into self-improving pipelines.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Li, M., Zhao, Y., Yu, B., Song, F., Li, H., Yu, H., Li, Z., Huang, F., &amp; Li, Y. (2023). API-Bank: A comprehensive benchmark for tool-augmented LLMs. Proceedings of the 2023 Conference on Empirical Methods in Natural Language Processing, 3102–3116.</w:t>
      </w:r>
    </w:p>
    <w:p>
      <w:pPr>
        <w:spacing w:after="160" w:line="360"/>
        <w:ind w:left="720" w:hanging="720"/>
        <w:jc w:val="left"/>
      </w:pPr>
      <w:r>
        <w:rPr>
          <w:rFonts w:ascii="Times New Roman" w:cs="Times New Roman" w:eastAsia="Times New Roman" w:hAnsi="Times New Roman"/>
          <w:sz w:val="24"/>
          <w:szCs w:val="24"/>
        </w:rPr>
        <w:t xml:space="preserve">Lin, Y., Lin, H., Xiong, W., Diao, S., Liu, J., Zhang, J., Pan, R., Wang, H., Hu, W., Zhang, H., Dong, H., Pi, R., Zhao, H., Jiang, N., Ji, H., Yao, Y., &amp; Zhang, T. (2024). Mitigating the alignment tax of RLHF. Proceedings of the 2024 Conference on Empirical Methods in Natural Language Processing.</w:t>
      </w:r>
    </w:p>
    <w:p>
      <w:pPr>
        <w:spacing w:after="160" w:line="360"/>
        <w:ind w:left="720" w:hanging="720"/>
        <w:jc w:val="left"/>
      </w:pPr>
      <w:r>
        <w:rPr>
          <w:rFonts w:ascii="Times New Roman" w:cs="Times New Roman" w:eastAsia="Times New Roman" w:hAnsi="Times New Roman"/>
          <w:sz w:val="24"/>
          <w:szCs w:val="24"/>
        </w:rPr>
        <w:t xml:space="preserve">Liu, X., Yu, H., Zhang, H., Xu, Y., Lei, X., Lai, H., Gu, Y., Ding, H., Men, K., Yang, K., Zhang, S., Deng, X., Zeng, A., Du, Z., Zhang, C., Shen, S., Zhang, T., Su, Y., Sun, H., … Tang, J. (2023). AgentBench: Evaluating LLMs as agents.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Luo, Y., Yang, Z., Meng, F., Li, Y., &amp; Zhou, J. (2023). An empirical study of catastrophic forgetting in large language models during continual fine-tuning. arXiv preprint arXiv:2308.08747.</w:t>
      </w:r>
    </w:p>
    <w:p>
      <w:pPr>
        <w:spacing w:after="160" w:line="360"/>
        <w:ind w:left="720" w:hanging="720"/>
        <w:jc w:val="left"/>
      </w:pPr>
      <w:r>
        <w:rPr>
          <w:rFonts w:ascii="Times New Roman" w:cs="Times New Roman" w:eastAsia="Times New Roman" w:hAnsi="Times New Roman"/>
          <w:sz w:val="24"/>
          <w:szCs w:val="24"/>
        </w:rPr>
        <w:t xml:space="preserve">Mialon, G., Fourrier, C., Swift, C., Wolf, T., LeCun, Y., &amp; Scialom, T. (2023). GAIA: A benchmark for general AI assistants.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OpenAI. (2023, June 13). Function calling and other API updates. https://openai.com/index/function-calling-and-other-api-updates/</w:t>
      </w:r>
    </w:p>
    <w:p>
      <w:pPr>
        <w:spacing w:after="160" w:line="360"/>
        <w:ind w:left="720" w:hanging="720"/>
        <w:jc w:val="left"/>
      </w:pPr>
      <w:r>
        <w:rPr>
          <w:rFonts w:ascii="Times New Roman" w:cs="Times New Roman" w:eastAsia="Times New Roman" w:hAnsi="Times New Roman"/>
          <w:sz w:val="24"/>
          <w:szCs w:val="24"/>
        </w:rPr>
        <w:t xml:space="preserve">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w:t>
      </w:r>
    </w:p>
    <w:p>
      <w:pPr>
        <w:spacing w:after="160" w:line="360"/>
        <w:ind w:left="720" w:hanging="720"/>
        <w:jc w:val="left"/>
      </w:pPr>
      <w:r>
        <w:rPr>
          <w:rFonts w:ascii="Times New Roman" w:cs="Times New Roman" w:eastAsia="Times New Roman" w:hAnsi="Times New Roman"/>
          <w:sz w:val="24"/>
          <w:szCs w:val="24"/>
        </w:rPr>
        <w:t xml:space="preserve">Patil, S. G., Zhang, T., Wang, X., &amp; Gonzalez, J. E. (2023). Gorilla: Large language model connected with massive APIs. Advances in Neural Information Processing Systems, 37.</w:t>
      </w:r>
    </w:p>
    <w:p>
      <w:pPr>
        <w:spacing w:after="160" w:line="360"/>
        <w:ind w:left="720" w:hanging="720"/>
        <w:jc w:val="left"/>
      </w:pPr>
      <w:r>
        <w:rPr>
          <w:rFonts w:ascii="Times New Roman" w:cs="Times New Roman" w:eastAsia="Times New Roman" w:hAnsi="Times New Roman"/>
          <w:sz w:val="24"/>
          <w:szCs w:val="24"/>
        </w:rPr>
        <w:t xml:space="preserve">Pei, Z., Zhen, H.-L., Kai, S., Pan, S. J., Wang, Y., Yuan, M., &amp; Yu, B. (2025). SCOPE: Self-evolving context optimization via prompt evolution. arXiv preprint arXiv:2512.15374.</w:t>
      </w:r>
    </w:p>
    <w:p>
      <w:pPr>
        <w:spacing w:after="160" w:line="360"/>
        <w:ind w:left="720" w:hanging="720"/>
        <w:jc w:val="left"/>
      </w:pPr>
      <w:r>
        <w:rPr>
          <w:rFonts w:ascii="Times New Roman" w:cs="Times New Roman" w:eastAsia="Times New Roman" w:hAnsi="Times New Roman"/>
          <w:sz w:val="24"/>
          <w:szCs w:val="24"/>
        </w:rPr>
        <w:t xml:space="preserve">Pryzant, R., Iter, D., Li, J., Lee, Y. T., Zhu, C., &amp; Zeng, M. (2023). Automatic prompt optimization with “gradient descent” and beam search. Proceedings of the 2023 Conference on Empirical Methods in Natural Language Processing, 7957–7968.</w:t>
      </w:r>
    </w:p>
    <w:p>
      <w:pPr>
        <w:spacing w:after="160" w:line="360"/>
        <w:ind w:left="720" w:hanging="720"/>
        <w:jc w:val="left"/>
      </w:pPr>
      <w:r>
        <w:rPr>
          <w:rFonts w:ascii="Times New Roman" w:cs="Times New Roman" w:eastAsia="Times New Roman" w:hAnsi="Times New Roman"/>
          <w:sz w:val="24"/>
          <w:szCs w:val="24"/>
        </w:rPr>
        <w:t xml:space="preserve">Qin, Y., Liang, S., Ye, Y., Zhu, K., Yan, L., Lu, Y., Lin, Y., Cong, X., Tang, X., Qian, B., Zhao, S., Tian, R., Xie, R., Zhou, J., Gerstein, M., Li, D., Liu, Z., &amp; Sun, M. (2023). ToolLLM: Facilitating large language models to master 16000+ real-world APIs.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Rabanser, S., Kapoor, S., Kirgis, P., Liu, K., Utpala, S., &amp; Narayanan, A. (2025). Towards a science of AI agent reliability. arXiv preprint arXiv:2602.16666.</w:t>
      </w:r>
    </w:p>
    <w:p>
      <w:pPr>
        <w:spacing w:after="160" w:line="360"/>
        <w:ind w:left="720" w:hanging="720"/>
        <w:jc w:val="left"/>
      </w:pPr>
      <w:r>
        <w:rPr>
          <w:rFonts w:ascii="Times New Roman" w:cs="Times New Roman" w:eastAsia="Times New Roman" w:hAnsi="Times New Roman"/>
          <w:sz w:val="24"/>
          <w:szCs w:val="24"/>
        </w:rPr>
        <w:t xml:space="preserve">Rafailov, R., Sharma, A., Mitchell, E., Manning, C. D., Ermon, S., &amp; Finn, C. (2023). Direct preference optimization: Your language model is secretly a reward model.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Sanh, V., Debut, L., Chaumond, J., &amp; Wolf, T. (2019). DistilBERT, a distilled version of BERT: Smaller, faster, cheaper and lighter. arXiv preprint arXiv:1910.01108.</w:t>
      </w:r>
    </w:p>
    <w:p>
      <w:pPr>
        <w:spacing w:after="160" w:line="360"/>
        <w:ind w:left="720" w:hanging="720"/>
        <w:jc w:val="left"/>
      </w:pPr>
      <w:r>
        <w:rPr>
          <w:rFonts w:ascii="Times New Roman" w:cs="Times New Roman" w:eastAsia="Times New Roman" w:hAnsi="Times New Roman"/>
          <w:sz w:val="24"/>
          <w:szCs w:val="24"/>
        </w:rPr>
        <w:t xml:space="preserve">Schick, T., Dwivedi-Yu, J., Dessì, R., Raileanu, R., Lomeli, M., Hambro, E., Zettlemoyer, L., Cancedda, N., &amp; Scialom, T. (2023). Toolformer: Language models can teach themselves to use tools.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Sclar, M., Choi, Y., Tsvetkov, Y., &amp; Suhr, A. (2023). Quantifying language models’ sensitivity to spurious features in prompt design.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Shinn, N., Cassano, F., Gopinath, A., Narasimhan, K., &amp; Yao, S. (2023). Reflexion: Language agents with verbal reinforcement learning.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Taori, R., Gulrajani, I., Zhang, T., Dubois, Y., Li, X., Guestrin, C., Liang, P., &amp; Hashimoto, T. B. (2023). Stanford Alpaca: An instruction-following LLaMA model. Stanford CRFM.</w:t>
      </w:r>
    </w:p>
    <w:p>
      <w:pPr>
        <w:spacing w:after="160" w:line="360"/>
        <w:ind w:left="720" w:hanging="720"/>
        <w:jc w:val="left"/>
      </w:pPr>
      <w:r>
        <w:rPr>
          <w:rFonts w:ascii="Times New Roman" w:cs="Times New Roman" w:eastAsia="Times New Roman" w:hAnsi="Times New Roman"/>
          <w:sz w:val="24"/>
          <w:szCs w:val="24"/>
        </w:rPr>
        <w:t xml:space="preserve">Vu, T., Lester, B., Constant, N., Al-Rfou, R., &amp; Cer, D. (2022). SPoT: Better frozen model adaptation through soft prompt transfer. Proceedings of the 60th Annual Meeting of the Association for Computational Linguistics, 5286–5300.</w:t>
      </w:r>
    </w:p>
    <w:p>
      <w:pPr>
        <w:spacing w:after="160" w:line="360"/>
        <w:ind w:left="720" w:hanging="720"/>
        <w:jc w:val="left"/>
      </w:pPr>
      <w:r>
        <w:rPr>
          <w:rFonts w:ascii="Times New Roman" w:cs="Times New Roman" w:eastAsia="Times New Roman" w:hAnsi="Times New Roman"/>
          <w:sz w:val="24"/>
          <w:szCs w:val="24"/>
        </w:rPr>
        <w:t xml:space="preserve">Wang, Y., Kordi, Y., Mishra, S., Liu, A., Smith, N. A., Khashabi, D., &amp; Hajishirzi, H. (2023). Self-Instruct: Aligning language models with self-generated instructions. Proceedings of the 61st Annual Meeting of the Association for Computational Linguistics, 13484–13508.</w:t>
      </w:r>
    </w:p>
    <w:p>
      <w:pPr>
        <w:spacing w:after="160" w:line="360"/>
        <w:ind w:left="720" w:hanging="720"/>
        <w:jc w:val="left"/>
      </w:pPr>
      <w:r>
        <w:rPr>
          <w:rFonts w:ascii="Times New Roman" w:cs="Times New Roman" w:eastAsia="Times New Roman" w:hAnsi="Times New Roman"/>
          <w:sz w:val="24"/>
          <w:szCs w:val="24"/>
        </w:rPr>
        <w:t xml:space="preserve">Wei, J., Wang, X., Schuurmans, D., Bosma, M., Ichter, B., Xia, F., Chi, E., Le, Q. V., &amp; Zhou, D. (2022). Chain-of-thought prompting elicits reasoning in large language models. Advances in Neural Information Processing Systems, 35.</w:t>
      </w:r>
    </w:p>
    <w:p>
      <w:pPr>
        <w:spacing w:after="160" w:line="360"/>
        <w:ind w:left="720" w:hanging="720"/>
        <w:jc w:val="left"/>
      </w:pPr>
      <w:r>
        <w:rPr>
          <w:rFonts w:ascii="Times New Roman" w:cs="Times New Roman" w:eastAsia="Times New Roman" w:hAnsi="Times New Roman"/>
          <w:sz w:val="24"/>
          <w:szCs w:val="24"/>
        </w:rPr>
        <w:t xml:space="preserve">Willard, B. T., &amp; Louf, R. (2023). Efficient guided generation for large language models. arXiv preprint arXiv:2307.09702.</w:t>
      </w:r>
    </w:p>
    <w:p>
      <w:pPr>
        <w:spacing w:after="160" w:line="360"/>
        <w:ind w:left="720" w:hanging="720"/>
        <w:jc w:val="left"/>
      </w:pPr>
      <w:r>
        <w:rPr>
          <w:rFonts w:ascii="Times New Roman" w:cs="Times New Roman" w:eastAsia="Times New Roman" w:hAnsi="Times New Roman"/>
          <w:sz w:val="24"/>
          <w:szCs w:val="24"/>
        </w:rPr>
        <w:t xml:space="preserve">Wu, S., Zhao, S., Huang, Q., Huang, K., Yasunaga, M., Cao, K., Ioannidis, V. N., Subbian, K., Leskovec, J., &amp; Zou, J. (2024). AvaTaR: Optimizing LLM agents for tool-assisted knowledge retrieval. Advances in Neural Information Processing Systems, 37.</w:t>
      </w:r>
    </w:p>
    <w:p>
      <w:pPr>
        <w:spacing w:after="160" w:line="360"/>
        <w:ind w:left="720" w:hanging="720"/>
        <w:jc w:val="left"/>
      </w:pPr>
      <w:r>
        <w:rPr>
          <w:rFonts w:ascii="Times New Roman" w:cs="Times New Roman" w:eastAsia="Times New Roman" w:hAnsi="Times New Roman"/>
          <w:sz w:val="24"/>
          <w:szCs w:val="24"/>
        </w:rPr>
        <w:t xml:space="preserve">Xu, C., Sun, Q., Zheng, K., Geng, X., Zhao, P., Feng, J., Tao, C., &amp; Jiang, D. (2023). WizardLM: Empowering large language models to follow complex instructions. arXiv preprint arXiv:2304.12244.</w:t>
      </w:r>
    </w:p>
    <w:p>
      <w:pPr>
        <w:spacing w:after="160" w:line="360"/>
        <w:ind w:left="720" w:hanging="720"/>
        <w:jc w:val="left"/>
      </w:pPr>
      <w:r>
        <w:rPr>
          <w:rFonts w:ascii="Times New Roman" w:cs="Times New Roman" w:eastAsia="Times New Roman" w:hAnsi="Times New Roman"/>
          <w:sz w:val="24"/>
          <w:szCs w:val="24"/>
        </w:rPr>
        <w:t xml:space="preserve">Yang, C., Wang, X., Lu, Y., Liu, H., Le, Q. V., Zhou, D., &amp; Chen, X. (2023). Large language models as optimizers. Proceedings of the Twelfth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Yao, S., Shinn, N., Razavi, P., &amp; Narasimhan, K. (2024). τ-bench: A benchmark for tool-agent-user interaction in real-world domains. arXiv preprint arXiv:2406.12045.</w:t>
      </w:r>
    </w:p>
    <w:p>
      <w:pPr>
        <w:spacing w:after="160" w:line="360"/>
        <w:ind w:left="720" w:hanging="720"/>
        <w:jc w:val="left"/>
      </w:pPr>
      <w:r>
        <w:rPr>
          <w:rFonts w:ascii="Times New Roman" w:cs="Times New Roman" w:eastAsia="Times New Roman" w:hAnsi="Times New Roman"/>
          <w:sz w:val="24"/>
          <w:szCs w:val="24"/>
        </w:rPr>
        <w:t xml:space="preserve">Yao, S., Yu, D., Zhao, J., Shafran, I., Griffiths, T. L., Cao, Y., &amp; Narasimhan, K. (2023). Tree of thoughts: Deliberate problem solving with large language models.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Yao, S., Zhao, J., Yu, D., Du, N., Shafran, I., Narasimhan, K., &amp; Cao, Y. (2023). ReAct: Synergizing reasoning and acting in language models. Proceedings of the Eleventh International Conference on Learning Representations.</w:t>
      </w:r>
    </w:p>
    <w:p>
      <w:pPr>
        <w:spacing w:after="160" w:line="360"/>
        <w:ind w:left="720" w:hanging="720"/>
        <w:jc w:val="left"/>
      </w:pPr>
      <w:r>
        <w:rPr>
          <w:rFonts w:ascii="Times New Roman" w:cs="Times New Roman" w:eastAsia="Times New Roman" w:hAnsi="Times New Roman"/>
          <w:sz w:val="24"/>
          <w:szCs w:val="24"/>
        </w:rPr>
        <w:t xml:space="preserve">Yuksekgonul, M., Bianchi, F., Boen, J., Liu, S., Huang, Z., Guestrin, C., &amp; Zou, J. (2024). TextGrad: Automatic “differentiation” via text. Advances in Neural Information Processing Systems, 37.</w:t>
      </w:r>
    </w:p>
    <w:p>
      <w:pPr>
        <w:spacing w:after="160" w:line="360"/>
        <w:ind w:left="720" w:hanging="720"/>
        <w:jc w:val="left"/>
      </w:pPr>
      <w:r>
        <w:rPr>
          <w:rFonts w:ascii="Times New Roman" w:cs="Times New Roman" w:eastAsia="Times New Roman" w:hAnsi="Times New Roman"/>
          <w:sz w:val="24"/>
          <w:szCs w:val="24"/>
        </w:rPr>
        <w:t xml:space="preserve">Zhang, S., Zhang, J., Liu, J., Liu, L., Peng, H., Li, L., Shen, Y., &amp; Wang, C. (2024). AgentOptimizer: Offline training of language model agents with functions as learnable weights. arXiv preprint arXiv:2402.11359.</w:t>
      </w:r>
    </w:p>
    <w:p>
      <w:pPr>
        <w:spacing w:after="160" w:line="360"/>
        <w:ind w:left="720" w:hanging="720"/>
        <w:jc w:val="left"/>
      </w:pPr>
      <w:r>
        <w:rPr>
          <w:rFonts w:ascii="Times New Roman" w:cs="Times New Roman" w:eastAsia="Times New Roman" w:hAnsi="Times New Roman"/>
          <w:sz w:val="24"/>
          <w:szCs w:val="24"/>
        </w:rPr>
        <w:t xml:space="preserve">Zheng, L., Chiang, W.-L., Sheng, Y., Zhuang, S., Wu, Z., Zhuang, Y., Lin, Z., Li, Z., Li, D., Xing, E. P., Zhang, H., Gonzalez, J. E., &amp; Stoica, I. (2023). Judging LLM-as-a-judge with MT-Bench and Chatbot Arena.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Zhou, C., Liu, P., Xu, P., Iyer, S., Sun, J., Mao, Y., Ma, X., Efrat, A., Yu, P., Yu, L., Zhang, S., Ghosh, G., Lewis, M., Zettlemoyer, L., &amp; Levy, O. (2023). LIMA: Less is more for alignment. Advances in Neural Information Processing Systems, 36.</w:t>
      </w:r>
    </w:p>
    <w:p>
      <w:pPr>
        <w:spacing w:after="160" w:line="360"/>
        <w:ind w:left="720" w:hanging="720"/>
        <w:jc w:val="left"/>
      </w:pPr>
      <w:r>
        <w:rPr>
          <w:rFonts w:ascii="Times New Roman" w:cs="Times New Roman" w:eastAsia="Times New Roman" w:hAnsi="Times New Roman"/>
          <w:sz w:val="24"/>
          <w:szCs w:val="24"/>
        </w:rPr>
        <w:t xml:space="preserve">Zhou, Y., Muresanu, A. I., Han, Z., Paster, K., Pitis, S., Chan, H., &amp; Ba, J. (2022). Large language models are human-level prompt engineers. Proceedings of the Eleventh International Conference on Learning Representations.</w:t>
      </w:r>
    </w:p>
    <w:p>
      <w:pPr>
        <w:pStyle w:val="Heading1"/>
        <w:spacing w:after="200" w:before="360"/>
      </w:pPr>
      <w:r>
        <w:rPr>
          <w:rFonts w:ascii="Times New Roman" w:cs="Times New Roman" w:eastAsia="Times New Roman" w:hAnsi="Times New Roman"/>
        </w:rPr>
        <w:t xml:space="preserve">3. Methodology</w:t>
      </w:r>
    </w:p>
    <w:p>
      <w:pPr>
        <w:spacing w:after="120" w:line="360"/>
        <w:jc w:val="both"/>
      </w:pPr>
      <w:r>
        <w:rPr>
          <w:rFonts w:ascii="Times New Roman" w:cs="Times New Roman" w:eastAsia="Times New Roman" w:hAnsi="Times New Roman"/>
          <w:sz w:val="24"/>
          <w:szCs w:val="24"/>
        </w:rPr>
        <w:t xml:space="preserve">This chapter describes the research design, experimental setup, and implementation of the prompt evolution framework evaluated in this thesis. Section 3.1 situates the research within a design-science paradigm; Section 3.2 describes the evaluation benchmark; Section 3.3 defines the three experimental conditions; Section 3.4 justifies model choices; Sections 3.5–3.7 detail the evolution framework, its patch mechanisms, and the failure taxonomy; Section 3.8 defines evaluation metrics; Section 3.9 documents reproducibility provisions; and Section 3.10 discusses threats to validity.</w:t>
      </w:r>
    </w:p>
    <w:p>
      <w:pPr>
        <w:pStyle w:val="Heading2"/>
        <w:spacing w:after="120" w:before="280"/>
      </w:pPr>
      <w:r>
        <w:rPr>
          <w:rFonts w:ascii="Times New Roman" w:cs="Times New Roman" w:eastAsia="Times New Roman" w:hAnsi="Times New Roman"/>
        </w:rPr>
        <w:t xml:space="preserve">3.1 Research Design</w:t>
      </w:r>
    </w:p>
    <w:p>
      <w:pPr>
        <w:spacing w:after="120" w:line="360"/>
        <w:jc w:val="both"/>
      </w:pPr>
      <w:r>
        <w:rPr>
          <w:rFonts w:ascii="Times New Roman" w:cs="Times New Roman" w:eastAsia="Times New Roman" w:hAnsi="Times New Roman"/>
          <w:sz w:val="24"/>
          <w:szCs w:val="24"/>
        </w:rPr>
        <w:t xml:space="preserve">The research follows a design-science approach (Hevner, March, Park, &amp; Ram, 2004; Peffers, Tuunanen, Rothenberger, &amp; Chatterjee, 2007): the primary contribution is a software artifact—the prompt evolution framework—and the primary evaluation is an empirical measurement of its effect on a standardized benchmark. The study is quantitative and experimental, employing a pre-test/post-test design in which the same agent is evaluated before and after the intervention (automated prompt and tool-schema evolution), with an additional ceiling condition provided by a stronger model. Hevner et al.’s Design Evaluation guideline requires demonstrating that the artifact improves upon a baseline and contextualizing improvement against an upper bound; the three-condition design satisfies both requirements.</w:t>
      </w:r>
    </w:p>
    <w:p>
      <w:pPr>
        <w:spacing w:after="120" w:line="360"/>
        <w:jc w:val="both"/>
      </w:pPr>
      <w:r>
        <w:rPr>
          <w:rFonts w:ascii="Times New Roman" w:cs="Times New Roman" w:eastAsia="Times New Roman" w:hAnsi="Times New Roman"/>
          <w:sz w:val="24"/>
          <w:szCs w:val="24"/>
        </w:rPr>
        <w:t xml:space="preserve">The research question—</w:t>
      </w:r>
      <w:r>
        <w:rPr>
          <w:rFonts w:ascii="Times New Roman" w:cs="Times New Roman" w:eastAsia="Times New Roman" w:hAnsi="Times New Roman"/>
          <w:i/>
          <w:iCs/>
          <w:sz w:val="24"/>
          <w:szCs w:val="24"/>
        </w:rPr>
        <w:t xml:space="preserve">How can AI agent performance on structured benchmarks be improved through automated, teacher-model-driven prompt and tool evolution?</w:t>
      </w:r>
      <w:r>
        <w:rPr>
          <w:rFonts w:ascii="Times New Roman" w:cs="Times New Roman" w:eastAsia="Times New Roman" w:hAnsi="Times New Roman"/>
          <w:sz w:val="24"/>
          <w:szCs w:val="24"/>
        </w:rPr>
        <w:t xml:space="preserve">—is operationalized as a measurable change in pass rate on the τ²-bench benchmark across three experimental conditions. The sub-questions map to specific analyses: failure-mode responsiveness is assessed through the failure taxonomy and ablation of patch types; the efficiency question is addressed by the iterative structure of the loop, which tracks marginal gains per iteration; and the comparison with static agents is enabled by the floor–intervention–ceiling design.</w:t>
      </w:r>
    </w:p>
    <w:p>
      <w:pPr>
        <w:pStyle w:val="Heading2"/>
        <w:spacing w:after="120" w:before="280"/>
      </w:pPr>
      <w:r>
        <w:rPr>
          <w:rFonts w:ascii="Times New Roman" w:cs="Times New Roman" w:eastAsia="Times New Roman" w:hAnsi="Times New Roman"/>
        </w:rPr>
        <w:t xml:space="preserve">3.2 Benchmark: τ²-bench</w:t>
      </w:r>
    </w:p>
    <w:p>
      <w:pPr>
        <w:pStyle w:val="Heading3"/>
        <w:spacing w:after="120" w:before="240"/>
      </w:pPr>
      <w:r>
        <w:rPr>
          <w:rFonts w:ascii="Times New Roman" w:cs="Times New Roman" w:eastAsia="Times New Roman" w:hAnsi="Times New Roman"/>
        </w:rPr>
        <w:t xml:space="preserve">3.2.1 Selection Rationale</w:t>
      </w:r>
    </w:p>
    <w:p>
      <w:pPr>
        <w:spacing w:after="120" w:line="360"/>
        <w:jc w:val="both"/>
      </w:pPr>
      <w:r>
        <w:rPr>
          <w:rFonts w:ascii="Times New Roman" w:cs="Times New Roman" w:eastAsia="Times New Roman" w:hAnsi="Times New Roman"/>
          <w:sz w:val="24"/>
          <w:szCs w:val="24"/>
        </w:rPr>
        <w:t xml:space="preserve">The evaluation benchmark is τ²-bench (Barres, Dong, Ray, Si, &amp; Narasimhan, 2025), an extension of τ-bench (Yao, Shinn, Razavi, &amp; Narasimhan, 2024). It was selected over four alternative benchmarks for reasons that reduce to a single requirement: the benchmark must combine multi-turn dialogue with tool calling, a simulated user that reveals information incrementally, and domain-specific policy constraints—the conjunction that defines realistic customer-service automation.</w:t>
      </w:r>
    </w:p>
    <w:p>
      <w:pPr>
        <w:spacing w:after="120" w:line="360"/>
        <w:jc w:val="both"/>
      </w:pPr>
      <w:r>
        <w:rPr>
          <w:rFonts w:ascii="Times New Roman" w:cs="Times New Roman" w:eastAsia="Times New Roman" w:hAnsi="Times New Roman"/>
          <w:sz w:val="24"/>
          <w:szCs w:val="24"/>
        </w:rPr>
        <w:t xml:space="preserve">AgentBench (Liu et al., 2023) covers eight interactive environments but features no simulated user interaction; the agent operates autonomously given all information upfront. SWE-bench (Jimenez, Yang, Wettig, Yao, Pei, Press, &amp; Narasimhan, 2024) is confined to single-shot code generation with no dialogue or tool-calling APIs. GAIA (Mialon, Fourrier, Swift, Wolf, LeCun, &amp; Scialom, 2023) evaluates single-turn factual question answering with no conversational back-and-forth. ToolBench (Qin et al., 2023) tests tool use across 16,000+ APIs, but—as noted in the τ-bench paper—instructions are provided upfront in their entirety: there is no multi-turn user dialogue, no domain policies, and no customer-service workflows. τ²-bench is the only benchmark that combines all four elements: multi-turn conversations with an LLM-simulated user providing partial information, domain-specific policies, tool-calling APIs that modify database state, and the pass</w:t>
      </w:r>
      <w:r>
        <w:rPr>
          <w:rFonts w:ascii="Times New Roman" w:cs="Times New Roman" w:eastAsia="Times New Roman" w:hAnsi="Times New Roman"/>
          <w:sz w:val="24"/>
          <w:szCs w:val="24"/>
          <w:vertAlign w:val="superscript"/>
        </w:rPr>
        <w:t xml:space="preserve">k</w:t>
      </w:r>
      <w:r>
        <w:rPr>
          <w:rFonts w:ascii="Times New Roman" w:cs="Times New Roman" w:eastAsia="Times New Roman" w:hAnsi="Times New Roman"/>
          <w:sz w:val="24"/>
          <w:szCs w:val="24"/>
        </w:rPr>
        <w:t xml:space="preserve"> reliability metric that the thesis requires.</w:t>
      </w:r>
    </w:p>
    <w:p>
      <w:pPr>
        <w:pStyle w:val="Heading3"/>
        <w:spacing w:after="120" w:before="240"/>
      </w:pPr>
      <w:r>
        <w:rPr>
          <w:rFonts w:ascii="Times New Roman" w:cs="Times New Roman" w:eastAsia="Times New Roman" w:hAnsi="Times New Roman"/>
        </w:rPr>
        <w:t xml:space="preserve">3.2.2 Domains and Tasks</w:t>
      </w:r>
    </w:p>
    <w:p>
      <w:pPr>
        <w:spacing w:after="120" w:line="360"/>
        <w:jc w:val="both"/>
      </w:pPr>
      <w:r>
        <w:rPr>
          <w:rFonts w:ascii="Times New Roman" w:cs="Times New Roman" w:eastAsia="Times New Roman" w:hAnsi="Times New Roman"/>
          <w:sz w:val="24"/>
          <w:szCs w:val="24"/>
        </w:rPr>
        <w:t xml:space="preserve">τ²-bench provides three customer-service domains, each with its own database, policy document, tool set, and task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Domain</w:t>
            </w:r>
          </w:p>
        </w:tc>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Tasks</w:t>
            </w:r>
          </w:p>
        </w:tc>
        <w:tc>
          <w:tcPr>
            <w:tcW w:type="dxa" w:w="576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Description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Airline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50</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Flight reservations, cancellations, upgrades, baggage</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Retail</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114</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Order management, returns, exchanges, account issues</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Telecom</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114</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Mobile plans, data issues, billing, service changes</w:t>
            </w:r>
          </w:p>
        </w:tc>
      </w:tr>
    </w:tbl>
    <w:p>
      <w:pPr>
        <w:spacing w:after="200" w:before="60"/>
        <w:jc w:val="center"/>
      </w:pPr>
      <w:r>
        <w:rPr>
          <w:rFonts w:ascii="Times New Roman" w:cs="Times New Roman" w:eastAsia="Times New Roman" w:hAnsi="Times New Roman"/>
          <w:b/>
          <w:bCs/>
          <w:i/>
          <w:iCs/>
          <w:sz w:val="24"/>
          <w:szCs w:val="24"/>
        </w:rPr>
        <w:t xml:space="preserve">Table. </w:t>
      </w:r>
      <w:r>
        <w:rPr>
          <w:rFonts w:ascii="Times New Roman" w:cs="Times New Roman" w:eastAsia="Times New Roman" w:hAnsi="Times New Roman"/>
          <w:i/>
          <w:iCs/>
          <w:sz w:val="24"/>
          <w:szCs w:val="24"/>
        </w:rPr>
        <w:t xml:space="preserve">τ²-bench domain characteristics.</w:t>
      </w:r>
    </w:p>
    <w:p>
      <w:pPr>
        <w:spacing w:after="120" w:line="360"/>
        <w:jc w:val="both"/>
      </w:pPr>
      <w:r>
        <w:rPr>
          <w:rFonts w:ascii="Times New Roman" w:cs="Times New Roman" w:eastAsia="Times New Roman" w:hAnsi="Times New Roman"/>
          <w:sz w:val="24"/>
          <w:szCs w:val="24"/>
        </w:rPr>
        <w:t xml:space="preserve">Each task defines a user scenario (visible only to the simulated customer), expected agent actions with specific tool calls and arguments, post-conversation database state assertions, and natural-language assertions about the conversation. A task passes if and only if the agent satisfies all criteria simultaneously—the strict binary pass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metric standard in τ-bench publications. Rabanser, Kapoor, Kirgis, Liu, Utpala, and Narayanan (2026) note that 24 of the original 50 airline tasks contain ground-truth errors; where practical, this thesis uses verified task subsets for the airline domain.</w:t>
      </w:r>
    </w:p>
    <w:p>
      <w:pPr>
        <w:pStyle w:val="Heading3"/>
        <w:spacing w:after="120" w:before="240"/>
      </w:pPr>
      <w:r>
        <w:rPr>
          <w:rFonts w:ascii="Times New Roman" w:cs="Times New Roman" w:eastAsia="Times New Roman" w:hAnsi="Times New Roman"/>
        </w:rPr>
        <w:t xml:space="preserve">3.2.3 Conversation Mechanics</w:t>
      </w:r>
    </w:p>
    <w:p>
      <w:pPr>
        <w:spacing w:after="120" w:line="360"/>
        <w:jc w:val="both"/>
      </w:pPr>
      <w:r>
        <w:rPr>
          <w:rFonts w:ascii="Times New Roman" w:cs="Times New Roman" w:eastAsia="Times New Roman" w:hAnsi="Times New Roman"/>
          <w:sz w:val="24"/>
          <w:szCs w:val="24"/>
        </w:rPr>
        <w:t xml:space="preserve">During evaluation, a simulated orchestrator manages a turn-by-turn conversation between the agent and a user simulator. On each turn the agent may either send a text message or invoke a tool; it cannot do both. Tool calls are executed against a simulated database, and the result is returned. The conversation ends when the user simulator signals completion or a maximum step count is reached. Each completed conversation is evaluated against the task’s criteria, producing a reward between 0.0 and 1.0. The full trace—user messages, agent messages, tool calls, tool results—is preserved for analysis by the teacher model.</w:t>
      </w:r>
    </w:p>
    <w:p>
      <w:pPr>
        <w:pStyle w:val="Heading3"/>
        <w:spacing w:after="120" w:before="240"/>
      </w:pPr>
      <w:r>
        <w:rPr>
          <w:rFonts w:ascii="Times New Roman" w:cs="Times New Roman" w:eastAsia="Times New Roman" w:hAnsi="Times New Roman"/>
        </w:rPr>
        <w:t xml:space="preserve">3.2.4 Integration</w:t>
      </w:r>
    </w:p>
    <w:p>
      <w:pPr>
        <w:spacing w:after="120" w:line="360"/>
        <w:jc w:val="both"/>
      </w:pPr>
      <w:r>
        <w:rPr>
          <w:rFonts w:ascii="Times New Roman" w:cs="Times New Roman" w:eastAsia="Times New Roman" w:hAnsi="Times New Roman"/>
          <w:sz w:val="24"/>
          <w:szCs w:val="24"/>
        </w:rPr>
        <w:t xml:space="preserve">τ²-bench is integrated as a git submodule pinned to commit 37bfc31 (based on tag v0.1.1), installed as an editable Python package. No modifications were made to the upstream codebase; all integration occurs through τ²-bench’s public API: the RunConfig data model, the run_domain() function, the agent registry, and the Tool and Environment classes. This design ensures benchmark results are directly comparable to published baselines.</w:t>
      </w:r>
    </w:p>
    <w:p>
      <w:pPr>
        <w:pStyle w:val="Heading2"/>
        <w:spacing w:after="120" w:before="280"/>
      </w:pPr>
      <w:r>
        <w:rPr>
          <w:rFonts w:ascii="Times New Roman" w:cs="Times New Roman" w:eastAsia="Times New Roman" w:hAnsi="Times New Roman"/>
        </w:rPr>
        <w:t xml:space="preserve">3.3 Experimental Conditions</w:t>
      </w:r>
    </w:p>
    <w:p>
      <w:pPr>
        <w:spacing w:after="120" w:line="360"/>
        <w:jc w:val="both"/>
      </w:pPr>
      <w:r>
        <w:rPr>
          <w:rFonts w:ascii="Times New Roman" w:cs="Times New Roman" w:eastAsia="Times New Roman" w:hAnsi="Times New Roman"/>
          <w:sz w:val="24"/>
          <w:szCs w:val="24"/>
        </w:rPr>
        <w:t xml:space="preserve">The experiment evaluates three conditions across the three τ²-bench domains. Each uses identical evaluation infrastructure, differing only in the agent’s model and prompt configuration. Following best practices for establishing strong baselines in machine learning research (Wornow et al., 2024), the design brackets the intervention between a floor (unoptimized student) and a ceiling (frontier model).</w:t>
      </w:r>
    </w:p>
    <w:p>
      <w:pPr>
        <w:pStyle w:val="Heading3"/>
        <w:spacing w:after="120" w:before="240"/>
      </w:pPr>
      <w:r>
        <w:rPr>
          <w:rFonts w:ascii="Times New Roman" w:cs="Times New Roman" w:eastAsia="Times New Roman" w:hAnsi="Times New Roman"/>
        </w:rPr>
        <w:t xml:space="preserve">3.3.1 Condition B: Baseline</w:t>
      </w:r>
    </w:p>
    <w:p>
      <w:pPr>
        <w:spacing w:after="120" w:line="360"/>
        <w:jc w:val="both"/>
      </w:pPr>
      <w:r>
        <w:rPr>
          <w:rFonts w:ascii="Times New Roman" w:cs="Times New Roman" w:eastAsia="Times New Roman" w:hAnsi="Times New Roman"/>
          <w:sz w:val="24"/>
          <w:szCs w:val="24"/>
        </w:rPr>
        <w:t xml:space="preserve">The student model runs on τ²-bench tasks with no modifications. The system prompt is τ²-bench’s default instruction template, which directs the agent to follow the domain policy and produce valid JSON. Tool schemas are the originals. This establishes the performance floor—how well the student performs out of the box.</w:t>
      </w:r>
    </w:p>
    <w:p>
      <w:pPr>
        <w:pStyle w:val="Heading3"/>
        <w:spacing w:after="120" w:before="240"/>
      </w:pPr>
      <w:r>
        <w:rPr>
          <w:rFonts w:ascii="Times New Roman" w:cs="Times New Roman" w:eastAsia="Times New Roman" w:hAnsi="Times New Roman"/>
        </w:rPr>
        <w:t xml:space="preserve">3.3.2 Condition K: Evolved</w:t>
      </w:r>
    </w:p>
    <w:p>
      <w:pPr>
        <w:spacing w:after="120" w:line="360"/>
        <w:jc w:val="both"/>
      </w:pPr>
      <w:r>
        <w:rPr>
          <w:rFonts w:ascii="Times New Roman" w:cs="Times New Roman" w:eastAsia="Times New Roman" w:hAnsi="Times New Roman"/>
          <w:sz w:val="24"/>
          <w:szCs w:val="24"/>
        </w:rPr>
        <w:t xml:space="preserve">The student model runs with an evolved prompt and tool configuration produced by the evolution framework (Sections 3.5–3.6). The evolved state comprises three components: (1) a modified system prompt containing the original plus additions produced by the teacher’s patch_prompt calls—typically concrete behavioral rules such as identity verification requirements or tool-call sequencing instructions; (2) modified tool schemas with clarified parameter descriptions, added constraints, or edge-case notes; and (3) tool preprocessors—sandboxed Python functions that transform tool inputs before execution, acting as guardrails against common LLM formatting errors.</w:t>
      </w:r>
    </w:p>
    <w:p>
      <w:pPr>
        <w:pStyle w:val="Heading3"/>
        <w:spacing w:after="120" w:before="240"/>
      </w:pPr>
      <w:r>
        <w:rPr>
          <w:rFonts w:ascii="Times New Roman" w:cs="Times New Roman" w:eastAsia="Times New Roman" w:hAnsi="Times New Roman"/>
        </w:rPr>
        <w:t xml:space="preserve">3.3.3 Condition F: Frontier Ceiling</w:t>
      </w:r>
    </w:p>
    <w:p>
      <w:pPr>
        <w:spacing w:after="120" w:line="360"/>
        <w:jc w:val="both"/>
      </w:pPr>
      <w:r>
        <w:rPr>
          <w:rFonts w:ascii="Times New Roman" w:cs="Times New Roman" w:eastAsia="Times New Roman" w:hAnsi="Times New Roman"/>
          <w:sz w:val="24"/>
          <w:szCs w:val="24"/>
        </w:rPr>
        <w:t xml:space="preserve">The teacher model (Kimi K2.5) runs as the agent directly, using the default, unmodified τ²-bench prompt and tools. This measures the upper bound—how well the strongest available model performs without any evolution—and provides a normalization denominator for the gap-closure metric (Section 3.8).</w:t>
      </w:r>
    </w:p>
    <w:p>
      <w:pPr>
        <w:pStyle w:val="Heading3"/>
        <w:spacing w:after="120" w:before="240"/>
      </w:pPr>
      <w:r>
        <w:rPr>
          <w:rFonts w:ascii="Times New Roman" w:cs="Times New Roman" w:eastAsia="Times New Roman" w:hAnsi="Times New Roman"/>
        </w:rPr>
        <w:t xml:space="preserve">3.3.4 Three-Way Comparison Logic</w:t>
      </w:r>
    </w:p>
    <w:p>
      <w:pPr>
        <w:spacing w:after="120" w:line="360"/>
        <w:jc w:val="both"/>
      </w:pPr>
      <w:r>
        <w:rPr>
          <w:rFonts w:ascii="Times New Roman" w:cs="Times New Roman" w:eastAsia="Times New Roman" w:hAnsi="Times New Roman"/>
          <w:sz w:val="24"/>
          <w:szCs w:val="24"/>
        </w:rPr>
        <w:t xml:space="preserve">The three conditions form a floor–intervention–ceiling comparison analogous to teacher–student distillation studies, where a teacher’s performance defines the ceiling, a student’s pre-distillation performance defines the floor, and the post-distillation student occupies the intervention position (Hinton, Vinyals, &amp; Dean, 2015). The key departure is that knowledge transfer operates at the prompt level rather than the weight level. The baseline alone is uninterpretable: a pass rate of 60 percent means nothing without context. The frontier provides that context. If it achieves 90 percent, the gap is 30 percentage points, and the evolved condition’s position within that gap indicates how much of the teacher’s advantage was transferred through prompt engineering alone, with no weight changes.</w:t>
      </w:r>
    </w:p>
    <w:p>
      <w:pPr>
        <w:pStyle w:val="Heading3"/>
        <w:spacing w:after="120" w:before="240"/>
      </w:pPr>
      <w:r>
        <w:rPr>
          <w:rFonts w:ascii="Times New Roman" w:cs="Times New Roman" w:eastAsia="Times New Roman" w:hAnsi="Times New Roman"/>
        </w:rPr>
        <w:t xml:space="preserve">3.3.5 Per-Domain Independence</w:t>
      </w:r>
    </w:p>
    <w:p>
      <w:pPr>
        <w:spacing w:after="120" w:line="360"/>
        <w:jc w:val="both"/>
      </w:pPr>
      <w:r>
        <w:rPr>
          <w:rFonts w:ascii="Times New Roman" w:cs="Times New Roman" w:eastAsia="Times New Roman" w:hAnsi="Times New Roman"/>
          <w:sz w:val="24"/>
          <w:szCs w:val="24"/>
        </w:rPr>
        <w:t xml:space="preserve">Each domain is evolved independently. There is no cross-domain transfer of patches. A rule learned from airline cancellation failures (“always check refund eligibility before cancelling”) is irrelevant in the telecom domain. The evolution loop runs separately per domain, producing domain-specific evolved prompts and enabling per-domain analysis of which failure types respond to the intervention.</w:t>
      </w:r>
    </w:p>
    <w:p>
      <w:pPr>
        <w:pStyle w:val="Heading2"/>
        <w:spacing w:after="120" w:before="280"/>
      </w:pPr>
      <w:r>
        <w:rPr>
          <w:rFonts w:ascii="Times New Roman" w:cs="Times New Roman" w:eastAsia="Times New Roman" w:hAnsi="Times New Roman"/>
        </w:rPr>
        <w:t xml:space="preserve">3.4 Model Selection and Justification</w:t>
      </w:r>
    </w:p>
    <w:p>
      <w:pPr>
        <w:spacing w:after="120" w:line="360"/>
        <w:jc w:val="both"/>
      </w:pPr>
      <w:r>
        <w:rPr>
          <w:rFonts w:ascii="Times New Roman" w:cs="Times New Roman" w:eastAsia="Times New Roman" w:hAnsi="Times New Roman"/>
          <w:sz w:val="24"/>
          <w:szCs w:val="24"/>
        </w:rPr>
        <w:t xml:space="preserve">All models are accessed through OpenRouter using a single API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Role</w:t>
            </w:r>
          </w:p>
        </w:tc>
        <w:tc>
          <w:tcPr>
            <w:tcW w:type="dxa" w:w="368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Model</w:t>
            </w:r>
          </w:p>
        </w:tc>
        <w:tc>
          <w:tcPr>
            <w:tcW w:type="dxa" w:w="368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Access Method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Student agent</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Qwen3 30B-A3B</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litellm via τ²-bench</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User simulator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Qwen3 30B-A3B</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litellm via τ²-bench</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Teacher</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Kimi K2.5</w:t>
            </w:r>
          </w:p>
        </w:tc>
        <w:tc>
          <w:tcPr>
            <w:tcW w:type="dxa" w:w="36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OpenAI client direct</w:t>
            </w:r>
          </w:p>
        </w:tc>
      </w:tr>
    </w:tbl>
    <w:p>
      <w:pPr>
        <w:spacing w:after="200" w:before="60"/>
        <w:jc w:val="center"/>
      </w:pPr>
      <w:r>
        <w:rPr>
          <w:rFonts w:ascii="Times New Roman" w:cs="Times New Roman" w:eastAsia="Times New Roman" w:hAnsi="Times New Roman"/>
          <w:b/>
          <w:bCs/>
          <w:i/>
          <w:iCs/>
          <w:sz w:val="24"/>
          <w:szCs w:val="24"/>
        </w:rPr>
        <w:t xml:space="preserve">Table. </w:t>
      </w:r>
      <w:r>
        <w:rPr>
          <w:rFonts w:ascii="Times New Roman" w:cs="Times New Roman" w:eastAsia="Times New Roman" w:hAnsi="Times New Roman"/>
          <w:i/>
          <w:iCs/>
          <w:sz w:val="24"/>
          <w:szCs w:val="24"/>
        </w:rPr>
        <w:t xml:space="preserve">Model assignments and access methods.</w:t>
      </w:r>
    </w:p>
    <w:p>
      <w:pPr>
        <w:pStyle w:val="Heading3"/>
        <w:spacing w:after="120" w:before="240"/>
      </w:pPr>
      <w:r>
        <w:rPr>
          <w:rFonts w:ascii="Times New Roman" w:cs="Times New Roman" w:eastAsia="Times New Roman" w:hAnsi="Times New Roman"/>
        </w:rPr>
        <w:t xml:space="preserve">3.4.1 Student Model: Qwen3 30B-A3B</w:t>
      </w:r>
    </w:p>
    <w:p>
      <w:pPr>
        <w:spacing w:after="120" w:line="360"/>
        <w:jc w:val="both"/>
      </w:pPr>
      <w:r>
        <w:rPr>
          <w:rFonts w:ascii="Times New Roman" w:cs="Times New Roman" w:eastAsia="Times New Roman" w:hAnsi="Times New Roman"/>
          <w:sz w:val="24"/>
          <w:szCs w:val="24"/>
        </w:rPr>
        <w:t xml:space="preserve">The student model is Qwen3 30B-A3B (Qwen Team, 2025), a Mixture-of-Experts Transformer with 30.5 billion total parameters but only 3.3 billion active per token. It employs 128 experts with top-8 routing across 48 layers and supports 32,768 native context tokens extensible to 131,072 with YaRN scaling. Despite activating barely 10 percent of its parameters per forward pass, the model outperforms Qwen2.5-14B on all reported benchmarks and leads the Berkeley Function Calling Leaderboard (BFCL v3). Three criteria guided the selection. The model must be strong enough to produce non-trivial τ²-bench scores. It must be weak enough relative to the frontier that meaningful headroom for improvement exists. And it must be cost-effective for the many evaluation runs required by the iterative evolution process. Qwen3 30B-A3B satisfies all three: its MoE architecture makes it fast and inexpensive via API, it is capable of tool-calling and multi-turn dialogue, and it is demonstrably imperfect on τ²-bench tasks.</w:t>
      </w:r>
    </w:p>
    <w:p>
      <w:pPr>
        <w:spacing w:after="120" w:line="360"/>
        <w:jc w:val="both"/>
      </w:pPr>
      <w:r>
        <w:rPr>
          <w:rFonts w:ascii="Times New Roman" w:cs="Times New Roman" w:eastAsia="Times New Roman" w:hAnsi="Times New Roman"/>
          <w:sz w:val="24"/>
          <w:szCs w:val="24"/>
        </w:rPr>
        <w:t xml:space="preserve">Alternative student models—Qwen3.5 Flash and GLM 4.7 Flash—are supported by the implementation for cross-student ablation, but the primary evaluation uses Qwen3 30B-A3B.</w:t>
      </w:r>
    </w:p>
    <w:p>
      <w:pPr>
        <w:pStyle w:val="Heading3"/>
        <w:spacing w:after="120" w:before="240"/>
      </w:pPr>
      <w:r>
        <w:rPr>
          <w:rFonts w:ascii="Times New Roman" w:cs="Times New Roman" w:eastAsia="Times New Roman" w:hAnsi="Times New Roman"/>
        </w:rPr>
        <w:t xml:space="preserve">3.4.2 Teacher Model: Kimi K2.5</w:t>
      </w:r>
    </w:p>
    <w:p>
      <w:pPr>
        <w:spacing w:after="120" w:line="360"/>
        <w:jc w:val="both"/>
      </w:pPr>
      <w:r>
        <w:rPr>
          <w:rFonts w:ascii="Times New Roman" w:cs="Times New Roman" w:eastAsia="Times New Roman" w:hAnsi="Times New Roman"/>
          <w:sz w:val="24"/>
          <w:szCs w:val="24"/>
        </w:rPr>
        <w:t xml:space="preserve">The teacher model is Kimi K2.5 (Kimi Team, 2026), a visual-agentic extension of the Kimi K2 base model (Kimi Team, 2025). The base model is a MoE Transformer with approximately one trillion total parameters and 32 billion active per token, employing 384 experts—50 percent more than DeepSeek-V3—with Multi-head Latent Attention. Its 256K-token context window accommodates full conversation traces (often 5–15 turns with tool calls and results), the system prompt, all tool schemas, and task requirements in a single prompt. Five criteria guided the selection: significantly stronger performance than the student on target domains; strong tool-calling comprehension; a long context window; architectural independence from the student (Moonshot AI, not Alibaba); and cost-effectiveness for hundreds of reflection calls.</w:t>
      </w:r>
    </w:p>
    <w:p>
      <w:pPr>
        <w:spacing w:after="120" w:line="360"/>
        <w:jc w:val="both"/>
      </w:pPr>
      <w:r>
        <w:rPr>
          <w:rFonts w:ascii="Times New Roman" w:cs="Times New Roman" w:eastAsia="Times New Roman" w:hAnsi="Times New Roman"/>
          <w:sz w:val="24"/>
          <w:szCs w:val="24"/>
        </w:rPr>
        <w:t xml:space="preserve">The use of a separate, stronger model to diagnose and correct the student’s failures is grounded in the knowledge distillation literature (Hinton et al., 2015) and more recent teacher–student paradigms, including adversarial distillation (Jiang, Chan, Chen, &amp; Wang, 2023) and the LLM-as-judge approach. Zheng et al. (2023) established that GPT-4 agrees with human preferences over 80 percent of the time; subsequent work has tightened this estimate. Zhuge et al. (2024) showed that an agent-based judge achieves approximately 90 percent agreement with human experts in agentic evaluation settings, while Gilardi, Alizadeh, and Kubli (2023) found that ChatGPT outperforms crowd-workers by 25 percentage points on annotation tasks with intercoder agreement of 91–97 percent. These results validate the use of a frontier model as a diagnostic supervisor. The key departure from classical distillation is that the teacher’s knowledge is transferred through prompt and tool-schema patches rather than through training data or weight updates—a lighter mechanism consistent with the Superficial Alignment Hypothesis (Zhou et al., 2023), which posits that alignment primarily teaches style and format rather than injecting deep knowledge.</w:t>
      </w:r>
    </w:p>
    <w:p>
      <w:pPr>
        <w:pStyle w:val="Heading3"/>
        <w:spacing w:after="120" w:before="240"/>
      </w:pPr>
      <w:r>
        <w:rPr>
          <w:rFonts w:ascii="Times New Roman" w:cs="Times New Roman" w:eastAsia="Times New Roman" w:hAnsi="Times New Roman"/>
        </w:rPr>
        <w:t xml:space="preserve">3.4.3 User Simulator</w:t>
      </w:r>
    </w:p>
    <w:p>
      <w:pPr>
        <w:spacing w:after="120" w:line="360"/>
        <w:jc w:val="both"/>
      </w:pPr>
      <w:r>
        <w:rPr>
          <w:rFonts w:ascii="Times New Roman" w:cs="Times New Roman" w:eastAsia="Times New Roman" w:hAnsi="Times New Roman"/>
          <w:sz w:val="24"/>
          <w:szCs w:val="24"/>
        </w:rPr>
        <w:t xml:space="preserve">The user simulator uses the same model as the student (Qwen3 30B-A3B). τ²-bench’s user simulator follows scripted scenarios; it does not require frontier-level capabilities. Using the same inexpensive model keeps costs low without compromising evaluation validity.</w:t>
      </w:r>
    </w:p>
    <w:p>
      <w:pPr>
        <w:pStyle w:val="Heading2"/>
        <w:spacing w:after="120" w:before="280"/>
      </w:pPr>
      <w:r>
        <w:rPr>
          <w:rFonts w:ascii="Times New Roman" w:cs="Times New Roman" w:eastAsia="Times New Roman" w:hAnsi="Times New Roman"/>
        </w:rPr>
        <w:t xml:space="preserve">3.5 The Evolution Framework</w:t>
      </w:r>
    </w:p>
    <w:p>
      <w:pPr>
        <w:pStyle w:val="Heading3"/>
        <w:spacing w:after="120" w:before="240"/>
      </w:pPr>
      <w:r>
        <w:rPr>
          <w:rFonts w:ascii="Times New Roman" w:cs="Times New Roman" w:eastAsia="Times New Roman" w:hAnsi="Times New Roman"/>
        </w:rPr>
        <w:t xml:space="preserve">3.5.1 Architecture Overview</w:t>
      </w:r>
    </w:p>
    <w:p>
      <w:pPr>
        <w:spacing w:after="120" w:line="360"/>
        <w:jc w:val="both"/>
      </w:pPr>
      <w:r>
        <w:rPr>
          <w:rFonts w:ascii="Times New Roman" w:cs="Times New Roman" w:eastAsia="Times New Roman" w:hAnsi="Times New Roman"/>
          <w:sz w:val="24"/>
          <w:szCs w:val="24"/>
        </w:rPr>
        <w:t xml:space="preserve">The evolution framework implements a diagnose-patch-validate loop. A weaker student model runs on benchmark tasks and fails on some. A stronger teacher model analyzes each failure, proposes modifications to the student’s prompt and tool configuration, and those modifications are validated by re-running the student on the failed task. Successful patches are merged into a progressively improved agent configuration. The architecture operates at two levels: an outer loop iterates over the full task set, and an inner loop handles individual failure repair.</w:t>
      </w:r>
    </w:p>
    <w:p>
      <w:pPr>
        <w:spacing w:after="120" w:line="360"/>
        <w:jc w:val="both"/>
      </w:pPr>
      <w:r>
        <w:rPr>
          <w:rFonts w:ascii="Times New Roman" w:cs="Times New Roman" w:eastAsia="Times New Roman" w:hAnsi="Times New Roman"/>
          <w:sz w:val="24"/>
          <w:szCs w:val="24"/>
        </w:rPr>
        <w:t xml:space="preserve">The approach is positioned within the automated prompt optimization literature as a teacher-driven variant of reflective prompt evolution. The closest precedent is GEPA (Agrawal et al., 2025), a Genetic-Pareto prompt optimizer accepted as an oral at ICLR 2026, which uses natural language reflection from a stronger model to diagnose failures from execution traces and propose targeted mutations for a weaker task model, outperforming reinforcement learning baselines by up to 20 percent while using 35× fewer rollouts. The present framework shares GEPA’s core mechanism—a strong reflection model inspecting the weaker model’s failures and proposing prompt edits—but departs from it in three respects. First, the patches target not only prompt text but also tool schemas and sandboxed input preprocessors, giving the teacher three distinct surfaces to modify. Second, every proposed patch is validated by re-running the student on the specific failed task before merging, ensuring that only empirically verified improvements enter the production prompt. Third, the evaluation target is a structured tool-agent-user benchmark (τ²-bench) rather than reasoning or classification tasks, filling the gap identified in the literature review: automated prompt optimization methods have not been validated on multi-turn tool-calling benchmarks.</w:t>
      </w:r>
    </w:p>
    <w:p>
      <w:pPr>
        <w:spacing w:after="120" w:line="360"/>
        <w:jc w:val="both"/>
      </w:pPr>
      <w:r>
        <w:rPr>
          <w:rFonts w:ascii="Times New Roman" w:cs="Times New Roman" w:eastAsia="Times New Roman" w:hAnsi="Times New Roman"/>
          <w:sz w:val="24"/>
          <w:szCs w:val="24"/>
        </w:rPr>
        <w:t xml:space="preserve">Unlike DSPy (Khattab et al., 2023), which compiles declarative modules against a target metric through self-bootstrapping, or TextGrad (Yuksekgonul et al., 2024), which backpropagates textual feedback through computation graphs, the present framework uses a separate teacher model to perform structured diagnosis and targeted patching on a per-failure basis. Unlike Reflexion (Shinn, Cassano, Gopinath, Narasimhan, &amp; Yao, 2023), where reflections are ephemeral per-episode memory, the patches produced here are permanent modifications persisted across episodes and iterations.</w:t>
      </w:r>
    </w:p>
    <w:p>
      <w:pPr>
        <w:pStyle w:val="Heading3"/>
        <w:spacing w:after="120" w:before="240"/>
      </w:pPr>
      <w:r>
        <w:rPr>
          <w:rFonts w:ascii="Times New Roman" w:cs="Times New Roman" w:eastAsia="Times New Roman" w:hAnsi="Times New Roman"/>
        </w:rPr>
        <w:t xml:space="preserve">3.5.2 The Outer Loop</w:t>
      </w:r>
    </w:p>
    <w:p>
      <w:pPr>
        <w:spacing w:after="120" w:line="360"/>
        <w:jc w:val="both"/>
      </w:pPr>
      <w:r>
        <w:rPr>
          <w:rFonts w:ascii="Times New Roman" w:cs="Times New Roman" w:eastAsia="Times New Roman" w:hAnsi="Times New Roman"/>
          <w:sz w:val="24"/>
          <w:szCs w:val="24"/>
        </w:rPr>
        <w:t xml:space="preserve">The outer loop proceeds as follows for each iteration. First, the student is evaluated on all benchmark tasks (excluding previously dropped tasks) with the current evolved state, and results are saved. Second, tasks with reward strictly less than 1.0 are extracted as failures. Third, for each failed task, a teacher session is spawned in parallel to diagnose the failure and propose patches; each patch set is validated by re-running the student on that task. Fourth, all accepted patches are merged into the global state. Fifth, all attempted tasks—both fixed and unfixed—are dropped from future evaluation. The loop repeats until no failures remain, all tasks have been dropped, or the maximum iteration count is reached.</w:t>
      </w:r>
    </w:p>
    <w:p>
      <w:pPr>
        <w:spacing w:after="120" w:line="360"/>
        <w:jc w:val="both"/>
      </w:pPr>
      <w:r>
        <w:rPr>
          <w:rFonts w:ascii="Times New Roman" w:cs="Times New Roman" w:eastAsia="Times New Roman" w:hAnsi="Times New Roman"/>
          <w:sz w:val="24"/>
          <w:szCs w:val="24"/>
        </w:rPr>
        <w:t xml:space="preserve">Dropping both fixed and unfixed tasks is deliberate. Fixed tasks were already validated during the fix phase; re-evaluating them wastes API budget. Unfixed tasks could not be repaired within the allotted retries; re-attempting with a marginally different global prompt is unlikely to succeed and risks conflicting patches. These tasks are treated as intractable for the current teacher–student pair.</w:t>
      </w:r>
    </w:p>
    <w:p>
      <w:pPr>
        <w:pStyle w:val="Heading3"/>
        <w:spacing w:after="120" w:before="240"/>
      </w:pPr>
      <w:r>
        <w:rPr>
          <w:rFonts w:ascii="Times New Roman" w:cs="Times New Roman" w:eastAsia="Times New Roman" w:hAnsi="Times New Roman"/>
        </w:rPr>
        <w:t xml:space="preserve">3.5.3 The Inner Loop: Per-Failure Fix Attempts</w:t>
      </w:r>
    </w:p>
    <w:p>
      <w:pPr>
        <w:spacing w:after="120" w:line="360"/>
        <w:jc w:val="both"/>
      </w:pPr>
      <w:r>
        <w:rPr>
          <w:rFonts w:ascii="Times New Roman" w:cs="Times New Roman" w:eastAsia="Times New Roman" w:hAnsi="Times New Roman"/>
          <w:sz w:val="24"/>
          <w:szCs w:val="24"/>
        </w:rPr>
        <w:t xml:space="preserve">For each failed task, a teacher session is created with deep copies of the current global state. The session enters a reflect-validate loop with up to 1 + </w:t>
      </w:r>
      <w:r>
        <w:rPr>
          <w:rFonts w:ascii="Times New Roman" w:cs="Times New Roman" w:eastAsia="Times New Roman" w:hAnsi="Times New Roman"/>
          <w:i/>
          <w:iCs/>
          <w:sz w:val="24"/>
          <w:szCs w:val="24"/>
        </w:rPr>
        <w:t xml:space="preserve">max_retries</w:t>
      </w:r>
      <w:r>
        <w:rPr>
          <w:rFonts w:ascii="Times New Roman" w:cs="Times New Roman" w:eastAsia="Times New Roman" w:hAnsi="Times New Roman"/>
          <w:sz w:val="24"/>
          <w:szCs w:val="24"/>
        </w:rPr>
        <w:t xml:space="preserve"> attempts. In the reflection step, the teacher receives a comprehensive prompt containing the agent’s current system prompt, all tool schemas, the full failed conversation trace, the task requirements, and the reward breakdown. It diagnoses the root cause, classifies it (Section 3.7), and calls patch tools to propose modifications. In the validation step, the student is re-run on the same task with the patches applied. If the patched reward exceeds the baseline reward, the fix is accepted. If not, the teacher receives the new conversation trace, the new reward breakdown, and the current state of all its modifications, and is asked to try again.</w:t>
      </w:r>
    </w:p>
    <w:p>
      <w:pPr>
        <w:spacing w:after="120" w:line="360"/>
        <w:jc w:val="both"/>
      </w:pPr>
      <w:r>
        <w:rPr>
          <w:rFonts w:ascii="Times New Roman" w:cs="Times New Roman" w:eastAsia="Times New Roman" w:hAnsi="Times New Roman"/>
          <w:sz w:val="24"/>
          <w:szCs w:val="24"/>
        </w:rPr>
        <w:t xml:space="preserve">Patches are merged into the global state only if validation succeeds. Failed patches are discarded entirely. The fix success criterion is permissive: any improvement in reward counts, not just reaching a perfect 1.0. A patch improving a task’s reward from 0.0 to 0.5 is accepted and merged, potentially enabling further improvement in subsequent iterations.</w:t>
      </w:r>
    </w:p>
    <w:p>
      <w:pPr>
        <w:pStyle w:val="Heading3"/>
        <w:spacing w:after="120" w:before="240"/>
      </w:pPr>
      <w:r>
        <w:rPr>
          <w:rFonts w:ascii="Times New Roman" w:cs="Times New Roman" w:eastAsia="Times New Roman" w:hAnsi="Times New Roman"/>
        </w:rPr>
        <w:t xml:space="preserve">3.5.4 The Teacher Session</w:t>
      </w:r>
    </w:p>
    <w:p>
      <w:pPr>
        <w:spacing w:after="120" w:line="360"/>
        <w:jc w:val="both"/>
      </w:pPr>
      <w:r>
        <w:rPr>
          <w:rFonts w:ascii="Times New Roman" w:cs="Times New Roman" w:eastAsia="Times New Roman" w:hAnsi="Times New Roman"/>
          <w:sz w:val="24"/>
          <w:szCs w:val="24"/>
        </w:rPr>
        <w:t xml:space="preserve">The teacher session maintains a stateful conversation with the teacher model using function calling. The teacher has access to four tools: </w:t>
      </w:r>
      <w:r>
        <w:rPr>
          <w:rFonts w:ascii="Times New Roman" w:cs="Times New Roman" w:eastAsia="Times New Roman" w:hAnsi="Times New Roman"/>
          <w:b/>
          <w:bCs/>
          <w:sz w:val="24"/>
          <w:szCs w:val="24"/>
        </w:rPr>
        <w:t xml:space="preserve">patch_prompt</w:t>
      </w:r>
      <w:r>
        <w:rPr>
          <w:rFonts w:ascii="Times New Roman" w:cs="Times New Roman" w:eastAsia="Times New Roman" w:hAnsi="Times New Roman"/>
          <w:sz w:val="24"/>
          <w:szCs w:val="24"/>
        </w:rPr>
        <w:t xml:space="preserve"> (find-and-replace on the system prompt), </w:t>
      </w:r>
      <w:r>
        <w:rPr>
          <w:rFonts w:ascii="Times New Roman" w:cs="Times New Roman" w:eastAsia="Times New Roman" w:hAnsi="Times New Roman"/>
          <w:b/>
          <w:bCs/>
          <w:sz w:val="24"/>
          <w:szCs w:val="24"/>
        </w:rPr>
        <w:t xml:space="preserve">patch_tool</w:t>
      </w:r>
      <w:r>
        <w:rPr>
          <w:rFonts w:ascii="Times New Roman" w:cs="Times New Roman" w:eastAsia="Times New Roman" w:hAnsi="Times New Roman"/>
          <w:sz w:val="24"/>
          <w:szCs w:val="24"/>
        </w:rPr>
        <w:t xml:space="preserve"> (find-and-replace on a tool’s JSON schema), </w:t>
      </w:r>
      <w:r>
        <w:rPr>
          <w:rFonts w:ascii="Times New Roman" w:cs="Times New Roman" w:eastAsia="Times New Roman" w:hAnsi="Times New Roman"/>
          <w:b/>
          <w:bCs/>
          <w:sz w:val="24"/>
          <w:szCs w:val="24"/>
        </w:rPr>
        <w:t xml:space="preserve">read_tool_code</w:t>
      </w:r>
      <w:r>
        <w:rPr>
          <w:rFonts w:ascii="Times New Roman" w:cs="Times New Roman" w:eastAsia="Times New Roman" w:hAnsi="Times New Roman"/>
          <w:sz w:val="24"/>
          <w:szCs w:val="24"/>
        </w:rPr>
        <w:t xml:space="preserve"> (inspect a tool’s parameters and current preprocessor), and </w:t>
      </w:r>
      <w:r>
        <w:rPr>
          <w:rFonts w:ascii="Times New Roman" w:cs="Times New Roman" w:eastAsia="Times New Roman" w:hAnsi="Times New Roman"/>
          <w:b/>
          <w:bCs/>
          <w:sz w:val="24"/>
          <w:szCs w:val="24"/>
        </w:rPr>
        <w:t xml:space="preserve">patch_tool_code</w:t>
      </w:r>
      <w:r>
        <w:rPr>
          <w:rFonts w:ascii="Times New Roman" w:cs="Times New Roman" w:eastAsia="Times New Roman" w:hAnsi="Times New Roman"/>
          <w:sz w:val="24"/>
          <w:szCs w:val="24"/>
        </w:rPr>
        <w:t xml:space="preserve"> (find-and-replace on a tool’s preprocessor source). The initial prompt is a structured template containing five sections: the current system prompt, all tool schemas serialized to JSON, the full failed conversation trace with role labels and preserved tool-call arguments, the task requirements, and the reward breakdown. Fidelity of this information transfer is validated by automated tests verifying no data is lost or truncated during formatting—a critical invariant, since the teacher cannot diagnose what it cannot see. The teacher may make up to 10 rounds of tool calls per session; in practice, most sessions complete in two to four rounds.</w:t>
      </w:r>
    </w:p>
    <w:p>
      <w:pPr>
        <w:pStyle w:val="Heading2"/>
        <w:spacing w:after="120" w:before="280"/>
      </w:pPr>
      <w:r>
        <w:rPr>
          <w:rFonts w:ascii="Times New Roman" w:cs="Times New Roman" w:eastAsia="Times New Roman" w:hAnsi="Times New Roman"/>
        </w:rPr>
        <w:t xml:space="preserve">3.6 Patch Surfaces and Mechanisms</w:t>
      </w:r>
    </w:p>
    <w:p>
      <w:pPr>
        <w:spacing w:after="120" w:line="360"/>
        <w:jc w:val="both"/>
      </w:pPr>
      <w:r>
        <w:rPr>
          <w:rFonts w:ascii="Times New Roman" w:cs="Times New Roman" w:eastAsia="Times New Roman" w:hAnsi="Times New Roman"/>
          <w:sz w:val="24"/>
          <w:szCs w:val="24"/>
        </w:rPr>
        <w:t xml:space="preserve">The framework operates on three distinct patch surfaces, each addressing a different class of agent failure. All patches use a find-and-replace mechanism: the teacher specifies an old_text to locate and a new_text to substitute, ensuring precise, minimal modifications that can be versioned and rolled back.</w:t>
      </w:r>
    </w:p>
    <w:p>
      <w:pPr>
        <w:pStyle w:val="Heading3"/>
        <w:spacing w:after="120" w:before="240"/>
      </w:pPr>
      <w:r>
        <w:rPr>
          <w:rFonts w:ascii="Times New Roman" w:cs="Times New Roman" w:eastAsia="Times New Roman" w:hAnsi="Times New Roman"/>
        </w:rPr>
        <w:t xml:space="preserve">3.6.1 Prompt Patches</w:t>
      </w:r>
    </w:p>
    <w:p>
      <w:pPr>
        <w:spacing w:after="120" w:line="360"/>
        <w:jc w:val="both"/>
      </w:pPr>
      <w:r>
        <w:rPr>
          <w:rFonts w:ascii="Times New Roman" w:cs="Times New Roman" w:eastAsia="Times New Roman" w:hAnsi="Times New Roman"/>
          <w:sz w:val="24"/>
          <w:szCs w:val="24"/>
        </w:rPr>
        <w:t xml:space="preserve">Prompt patches modify the agent’s system prompt, typically adding concrete behavioral rules the student was not following. When old_text is empty, new_text is appended to the prompt’s end. This is the lightweight alternative to fine-tuning: rather than adjusting model weights to encode a behavioral rule, the rule is stated explicitly in natural language within the prompt. The approach draws on the finding that prompt-level interventions can achieve substantial behavioral changes—consistent with the Superficial Alignment Hypothesis (Zhou et al., 2023). It is worth noting that Sclar, Choi, Tsvetkov, and Suhr (2024) demonstrated up to 76 accuracy points of variation from meaning-preserving formatting changes alone (spacing, delimiters, example ordering), a sensitivity that persisted even with increased model size or instruction tuning. The patches in this framework are the opposite: targeted, meaning-bearing modifications (rewriting instructions, adding policy constraints) rather than superficial formatting noise. Where Sclar et al. show that arbitrary formatting changes cause chaotic performance swings, the present work demonstrates that principled, diagnostic-driven edits produce consistent, validated improvement.</w:t>
      </w:r>
    </w:p>
    <w:p>
      <w:pPr>
        <w:pStyle w:val="Heading3"/>
        <w:spacing w:after="120" w:before="240"/>
      </w:pPr>
      <w:r>
        <w:rPr>
          <w:rFonts w:ascii="Times New Roman" w:cs="Times New Roman" w:eastAsia="Times New Roman" w:hAnsi="Times New Roman"/>
        </w:rPr>
        <w:t xml:space="preserve">3.6.2 Tool Schema Patches</w:t>
      </w:r>
    </w:p>
    <w:p>
      <w:pPr>
        <w:spacing w:after="120" w:line="360"/>
        <w:jc w:val="both"/>
      </w:pPr>
      <w:r>
        <w:rPr>
          <w:rFonts w:ascii="Times New Roman" w:cs="Times New Roman" w:eastAsia="Times New Roman" w:hAnsi="Times New Roman"/>
          <w:sz w:val="24"/>
          <w:szCs w:val="24"/>
        </w:rPr>
        <w:t xml:space="preserve">Tool schema patches modify the JSON schemas that define how the agent calls each tool. These schemas are presented as part of the function-calling interface and directly affect tool selection, argument formatting, and constraint adherence. Common modifications include clarifying parameter descriptions (adding “must start with #” to a reservation_id field), expanding tool descriptions to note when a tool should or should not be used, and adding constraint notes. After each edit, the JSON string is parsed to ensure syntactic validity; patches producing invalid JSON are rejected.</w:t>
      </w:r>
    </w:p>
    <w:p>
      <w:pPr>
        <w:spacing w:after="120" w:line="360"/>
        <w:jc w:val="both"/>
      </w:pPr>
      <w:r>
        <w:rPr>
          <w:rFonts w:ascii="Times New Roman" w:cs="Times New Roman" w:eastAsia="Times New Roman" w:hAnsi="Times New Roman"/>
          <w:sz w:val="24"/>
          <w:szCs w:val="24"/>
        </w:rPr>
        <w:t xml:space="preserve">This mechanism addresses a well-documented class of failures. Qin et al. (2023) showed that without their depth-first search approach, an initial parameter error “can lead to a cascade of subsequent errors” that trap the model in a faulty loop of incorrect API calls. Xu, Hong, Li, Hu, Chen, and Zhang (2023) identified generation style regulation—addressing formatting and parameter errors—as a critical intervention, with targeted constraints boosting open-source LLMs to competitive with GPT-4 on 4 of 8 tasks. StableToolBench (Guo et al., 2024) found that up to 50 percent of queries and 75 percent of trajectories in the original ToolBench data suffered from hallucinations, underscoring that parameter extraction errors are systemic, not incidental.</w:t>
      </w:r>
    </w:p>
    <w:p>
      <w:pPr>
        <w:pStyle w:val="Heading3"/>
        <w:spacing w:after="120" w:before="240"/>
      </w:pPr>
      <w:r>
        <w:rPr>
          <w:rFonts w:ascii="Times New Roman" w:cs="Times New Roman" w:eastAsia="Times New Roman" w:hAnsi="Times New Roman"/>
        </w:rPr>
        <w:t xml:space="preserve">3.6.3 Tool Preprocessors</w:t>
      </w:r>
    </w:p>
    <w:p>
      <w:pPr>
        <w:spacing w:after="120" w:line="360"/>
        <w:jc w:val="both"/>
      </w:pPr>
      <w:r>
        <w:rPr>
          <w:rFonts w:ascii="Times New Roman" w:cs="Times New Roman" w:eastAsia="Times New Roman" w:hAnsi="Times New Roman"/>
          <w:sz w:val="24"/>
          <w:szCs w:val="24"/>
        </w:rPr>
        <w:t xml:space="preserve">Tool preprocessors are sandboxed Python functions that transform tool-call arguments before execution. Every tool starts with an identity preprocessor. The teacher can modify the code to add defensive input coercion—ensuring an ID field has the correct prefix, casting strings to integers, normalizing date formats. Preprocessors are sandboxed: a static analysis pass rejects forbidden constructs (imports, eval, exec, file I/O), the execution namespace restricts available builtins, and runtime exceptions fall back to the original arguments.</w:t>
      </w:r>
    </w:p>
    <w:p>
      <w:pPr>
        <w:spacing w:after="120" w:line="360"/>
        <w:jc w:val="both"/>
      </w:pPr>
      <w:r>
        <w:rPr>
          <w:rFonts w:ascii="Times New Roman" w:cs="Times New Roman" w:eastAsia="Times New Roman" w:hAnsi="Times New Roman"/>
          <w:sz w:val="24"/>
          <w:szCs w:val="24"/>
        </w:rPr>
        <w:t xml:space="preserve">This third patch surface addresses failures that neither prompt text nor schema descriptions can reliably prevent: formatting errors the model makes despite understanding the requirement. An agent may understand that reservation IDs should start with “#” but occasionally omit the prefix due to tokenization or sampling artifacts. A preprocessor guardrail catches such errors at the tool-call boundary. The design parallels findings from the ARTEMIS framework (Brookes et al., 2025), which jointly optimizes agent prompts, tool descriptions, and parameters using evolutionary methods, reporting 13.6 percent improvement on competitive programming and 22 percent on GSM8K for Qwen2.5-7B.</w:t>
      </w:r>
    </w:p>
    <w:p>
      <w:pPr>
        <w:pStyle w:val="Heading3"/>
        <w:spacing w:after="120" w:before="240"/>
      </w:pPr>
      <w:r>
        <w:rPr>
          <w:rFonts w:ascii="Times New Roman" w:cs="Times New Roman" w:eastAsia="Times New Roman" w:hAnsi="Times New Roman"/>
        </w:rPr>
        <w:t xml:space="preserve">3.6.4 Patch Application and Merging</w:t>
      </w:r>
    </w:p>
    <w:p>
      <w:pPr>
        <w:spacing w:after="120" w:line="360"/>
        <w:jc w:val="both"/>
      </w:pPr>
      <w:r>
        <w:rPr>
          <w:rFonts w:ascii="Times New Roman" w:cs="Times New Roman" w:eastAsia="Times New Roman" w:hAnsi="Times New Roman"/>
          <w:sz w:val="24"/>
          <w:szCs w:val="24"/>
        </w:rPr>
        <w:t xml:space="preserve">Patches are applied sequentially using first-occurrence-only string replacement to prevent cascading substitutions. Failed patches (old_text not found) are logged and skipped without aborting the batch. When multiple tasks are fixed in a single iteration, winning patches are merged into the global state in sequence. The evolved state is serialized to disk as a JSON file containing the full prompt, all tool schemas, and all preprocessor source code, enabling exact reconstruction at any point.</w:t>
      </w:r>
    </w:p>
    <w:p>
      <w:pPr>
        <w:pStyle w:val="Heading2"/>
        <w:spacing w:after="120" w:before="280"/>
      </w:pPr>
      <w:r>
        <w:rPr>
          <w:rFonts w:ascii="Times New Roman" w:cs="Times New Roman" w:eastAsia="Times New Roman" w:hAnsi="Times New Roman"/>
        </w:rPr>
        <w:t xml:space="preserve">3.7 Failure Taxonomy</w:t>
      </w:r>
    </w:p>
    <w:p>
      <w:pPr>
        <w:spacing w:after="120" w:line="360"/>
        <w:jc w:val="both"/>
      </w:pPr>
      <w:r>
        <w:rPr>
          <w:rFonts w:ascii="Times New Roman" w:cs="Times New Roman" w:eastAsia="Times New Roman" w:hAnsi="Times New Roman"/>
          <w:sz w:val="24"/>
          <w:szCs w:val="24"/>
        </w:rPr>
        <w:t xml:space="preserve">The teacher classifies each failure into one of four categories as part of its diagnostic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Category</w:t>
            </w:r>
          </w:p>
        </w:tc>
        <w:tc>
          <w:tcPr>
            <w:tcW w:type="dxa" w:w="358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Description</w:t>
            </w:r>
          </w:p>
        </w:tc>
        <w:tc>
          <w:tcPr>
            <w:tcW w:type="dxa" w:w="358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Examples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TOOL_MISUSE</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Wrong tool, wrong parameters, missing tool call</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Using get_flight_details instead of get_reservation_details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POLICY_VIOLATION</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Skipped validation step or broke a constraint</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Cancelling without checking refund eligibility</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REASONING_ERROR</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Incorrect assumption, incomplete plan</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Assuming a flight is direct when it has connections</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COMMUNICATION_ERROR</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Confusing message, failed to guide user</w:t>
            </w:r>
          </w:p>
        </w:tc>
        <w:tc>
          <w:tcPr>
            <w:tcW w:type="dxa" w:w="358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Not explaining applicable fees to the customer</w:t>
            </w:r>
          </w:p>
        </w:tc>
      </w:tr>
    </w:tbl>
    <w:p>
      <w:pPr>
        <w:spacing w:after="200" w:before="60"/>
        <w:jc w:val="center"/>
      </w:pPr>
      <w:r>
        <w:rPr>
          <w:rFonts w:ascii="Times New Roman" w:cs="Times New Roman" w:eastAsia="Times New Roman" w:hAnsi="Times New Roman"/>
          <w:b/>
          <w:bCs/>
          <w:i/>
          <w:iCs/>
          <w:sz w:val="24"/>
          <w:szCs w:val="24"/>
        </w:rPr>
        <w:t xml:space="preserve">Table. </w:t>
      </w:r>
      <w:r>
        <w:rPr>
          <w:rFonts w:ascii="Times New Roman" w:cs="Times New Roman" w:eastAsia="Times New Roman" w:hAnsi="Times New Roman"/>
          <w:i/>
          <w:iCs/>
          <w:sz w:val="24"/>
          <w:szCs w:val="24"/>
        </w:rPr>
        <w:t xml:space="preserve">Failure taxonomy for teacher-model diagnosis.</w:t>
      </w:r>
    </w:p>
    <w:p>
      <w:pPr>
        <w:spacing w:after="120" w:line="360"/>
        <w:jc w:val="both"/>
      </w:pPr>
      <w:r>
        <w:rPr>
          <w:rFonts w:ascii="Times New Roman" w:cs="Times New Roman" w:eastAsia="Times New Roman" w:hAnsi="Times New Roman"/>
          <w:sz w:val="24"/>
          <w:szCs w:val="24"/>
        </w:rPr>
        <w:t xml:space="preserve">Classification is automated: the teacher includes the failure type in its diagnostic text, and the category is extracted by string matching. This is a heuristic—the teacher might use different phrasing, or a failure might span multiple categories. The implementation takes the first match, defaulting to REASONING_ERROR when none is found. Kapoor, Stroebl, Siegel, Nadgir, and Narayanan (2024) identified similar categorization challenges in their analysis of agent benchmarking practices, noting that benchmark shortcomings can be organized by failure mode (narrow accuracy focus, benchmark overfitting, cost blindness) but that any taxonomy risks oversimplification. A more robust classification mechanism—for example, a structured output field—could improve accuracy in future work.</w:t>
      </w:r>
    </w:p>
    <w:p>
      <w:pPr>
        <w:spacing w:after="120" w:line="360"/>
        <w:jc w:val="both"/>
      </w:pPr>
      <w:r>
        <w:rPr>
          <w:rFonts w:ascii="Times New Roman" w:cs="Times New Roman" w:eastAsia="Times New Roman" w:hAnsi="Times New Roman"/>
          <w:sz w:val="24"/>
          <w:szCs w:val="24"/>
        </w:rPr>
        <w:t xml:space="preserve">The taxonomy enables per-category analysis of which failure types are most responsive to prompt evolution versus tool-schema patching versus preprocessor guardrails, directly addressing the sub-question about failure-mode responsiveness.</w:t>
      </w:r>
    </w:p>
    <w:p>
      <w:pPr>
        <w:pStyle w:val="Heading2"/>
        <w:spacing w:after="120" w:before="280"/>
      </w:pPr>
      <w:r>
        <w:rPr>
          <w:rFonts w:ascii="Times New Roman" w:cs="Times New Roman" w:eastAsia="Times New Roman" w:hAnsi="Times New Roman"/>
        </w:rPr>
        <w:t xml:space="preserve">3.8 Evaluation Metrics</w:t>
      </w:r>
    </w:p>
    <w:p>
      <w:pPr>
        <w:pStyle w:val="Heading3"/>
        <w:spacing w:after="120" w:before="240"/>
      </w:pPr>
      <w:r>
        <w:rPr>
          <w:rFonts w:ascii="Times New Roman" w:cs="Times New Roman" w:eastAsia="Times New Roman" w:hAnsi="Times New Roman"/>
        </w:rPr>
        <w:t xml:space="preserve">3.8.1 Primary Metric: pass¹</w:t>
      </w:r>
    </w:p>
    <w:p>
      <w:pPr>
        <w:spacing w:after="120" w:line="360"/>
        <w:jc w:val="both"/>
      </w:pPr>
      <w:r>
        <w:rPr>
          <w:rFonts w:ascii="Times New Roman" w:cs="Times New Roman" w:eastAsia="Times New Roman" w:hAnsi="Times New Roman"/>
          <w:sz w:val="24"/>
          <w:szCs w:val="24"/>
        </w:rPr>
        <w:t xml:space="preserve">The primary metric is pass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—the fraction of tasks achieving a perfect reward of 1.0. This is the standard metric in τ-bench publications (Yao et al., 2024; Barres et al., 2025). Any reward below 1.0 constitutes failure. The strictness is intentional: Rabanser et al. (2026) argue that enterprise autonomous operation requires three to five nines of reliability (99.9–99.999 percent) and that current LLM agents are not on track to reach this threshold through scaling alone, with accuracy improving faster than reliability across 14 models spanning 18 months of releases. Under such a standard, partial credit is meaningless.</w:t>
      </w:r>
    </w:p>
    <w:p>
      <w:pPr>
        <w:pStyle w:val="Heading3"/>
        <w:spacing w:after="120" w:before="240"/>
      </w:pPr>
      <w:r>
        <w:rPr>
          <w:rFonts w:ascii="Times New Roman" w:cs="Times New Roman" w:eastAsia="Times New Roman" w:hAnsi="Times New Roman"/>
        </w:rPr>
        <w:t xml:space="preserve">3.8.2 Reward Breakdown</w:t>
      </w:r>
    </w:p>
    <w:p>
      <w:pPr>
        <w:spacing w:after="120" w:line="360"/>
        <w:jc w:val="both"/>
      </w:pPr>
      <w:r>
        <w:rPr>
          <w:rFonts w:ascii="Times New Roman" w:cs="Times New Roman" w:eastAsia="Times New Roman" w:hAnsi="Times New Roman"/>
          <w:sz w:val="24"/>
          <w:szCs w:val="24"/>
        </w:rPr>
        <w:t xml:space="preserve">τ²-bench’s evaluator produces a multi-dimensional reward: an action score (correct tools with correct arguments), environment assertions (expected database state), and a communication score (correct user-facing messages). This breakdown is passed in full to the teacher during diagnosis, enabling precise identification of which criteria failed and why.</w:t>
      </w:r>
    </w:p>
    <w:p>
      <w:pPr>
        <w:pStyle w:val="Heading3"/>
        <w:spacing w:after="120" w:before="240"/>
      </w:pPr>
      <w:r>
        <w:rPr>
          <w:rFonts w:ascii="Times New Roman" w:cs="Times New Roman" w:eastAsia="Times New Roman" w:hAnsi="Times New Roman"/>
        </w:rPr>
        <w:t xml:space="preserve">3.8.3 Gap Closure</w:t>
      </w:r>
    </w:p>
    <w:p>
      <w:pPr>
        <w:spacing w:after="120" w:line="360"/>
        <w:jc w:val="both"/>
      </w:pPr>
      <w:r>
        <w:rPr>
          <w:rFonts w:ascii="Times New Roman" w:cs="Times New Roman" w:eastAsia="Times New Roman" w:hAnsi="Times New Roman"/>
          <w:sz w:val="24"/>
          <w:szCs w:val="24"/>
        </w:rPr>
        <w:t xml:space="preserve">To normalize for domain difficulty, gap closure is computed as: (K − B) / (F − B) × 100%, where K is the evolved pass rate, B the baseline, and F the frontier. A gap closure of 50 percent means the evolved prompt captured half the teacher’s advantage through prompt and tool-schema patching alone. The metric is defined only when F &gt; B.</w:t>
      </w:r>
    </w:p>
    <w:p>
      <w:pPr>
        <w:pStyle w:val="Heading3"/>
        <w:spacing w:after="120" w:before="240"/>
      </w:pPr>
      <w:r>
        <w:rPr>
          <w:rFonts w:ascii="Times New Roman" w:cs="Times New Roman" w:eastAsia="Times New Roman" w:hAnsi="Times New Roman"/>
        </w:rPr>
        <w:t xml:space="preserve">3.8.4 Fix Success Rate</w:t>
      </w:r>
    </w:p>
    <w:p>
      <w:pPr>
        <w:spacing w:after="120" w:line="360"/>
        <w:jc w:val="both"/>
      </w:pPr>
      <w:r>
        <w:rPr>
          <w:rFonts w:ascii="Times New Roman" w:cs="Times New Roman" w:eastAsia="Times New Roman" w:hAnsi="Times New Roman"/>
          <w:sz w:val="24"/>
          <w:szCs w:val="24"/>
        </w:rPr>
        <w:t xml:space="preserve">A fix succeeds when the patched reward strictly exceeds the baseline reward. The fix success rate—the fraction of attempted fixes that succeed—measures the evolution process’s efficiency.</w:t>
      </w:r>
    </w:p>
    <w:p>
      <w:pPr>
        <w:pStyle w:val="Heading2"/>
        <w:spacing w:after="120" w:before="280"/>
      </w:pPr>
      <w:r>
        <w:rPr>
          <w:rFonts w:ascii="Times New Roman" w:cs="Times New Roman" w:eastAsia="Times New Roman" w:hAnsi="Times New Roman"/>
        </w:rPr>
        <w:t xml:space="preserve">3.9 Reproducibility</w:t>
      </w:r>
    </w:p>
    <w:p>
      <w:pPr>
        <w:pStyle w:val="Heading3"/>
        <w:spacing w:after="120" w:before="240"/>
      </w:pPr>
      <w:r>
        <w:rPr>
          <w:rFonts w:ascii="Times New Roman" w:cs="Times New Roman" w:eastAsia="Times New Roman" w:hAnsi="Times New Roman"/>
        </w:rPr>
        <w:t xml:space="preserve">3.9.1 Fixed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c>
          <w:tcPr>
            <w:tcW w:type="dxa" w:w="2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Parameter</w:t>
            </w:r>
          </w:p>
        </w:tc>
        <w:tc>
          <w:tcPr>
            <w:tcW w:type="dxa" w:w="1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Value</w:t>
            </w:r>
          </w:p>
        </w:tc>
        <w:tc>
          <w:tcPr>
            <w:tcW w:type="dxa" w:w="496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2"/>
                <w:szCs w:val="22"/>
              </w:rPr>
              <w:t xml:space="preserve">Rationale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Random seed</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42</w:t>
            </w:r>
          </w:p>
        </w:tc>
        <w:tc>
          <w:tcPr>
            <w:tcW w:type="dxa" w:w="4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Deterministic task selection and ordering</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Trials per task</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w:t>
            </w:r>
          </w:p>
        </w:tc>
        <w:tc>
          <w:tcPr>
            <w:tcW w:type="dxa" w:w="4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Single trial per evaluation</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Teacher temperature</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0.3</w:t>
            </w:r>
          </w:p>
        </w:tc>
        <w:tc>
          <w:tcPr>
            <w:tcW w:type="dxa" w:w="4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Focused diagnostic output</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Reasoning suppression</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Enabled</w:t>
            </w:r>
          </w:p>
        </w:tc>
        <w:tc>
          <w:tcPr>
            <w:tcW w:type="dxa" w:w="4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Prevents reasoning tokens from breaking content parsing</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Max teacher rounds</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10</w:t>
            </w:r>
          </w:p>
        </w:tc>
        <w:tc>
          <w:tcPr>
            <w:tcW w:type="dxa" w:w="4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2"/>
                <w:szCs w:val="22"/>
              </w:rPr>
              <w:t xml:space="preserve">Multi-step diagnosis without unbounded cost</w:t>
            </w:r>
          </w:p>
        </w:tc>
      </w:tr>
    </w:tbl>
    <w:p>
      <w:pPr>
        <w:spacing w:after="200" w:before="60"/>
        <w:jc w:val="center"/>
      </w:pPr>
      <w:r>
        <w:rPr>
          <w:rFonts w:ascii="Times New Roman" w:cs="Times New Roman" w:eastAsia="Times New Roman" w:hAnsi="Times New Roman"/>
          <w:b/>
          <w:bCs/>
          <w:i/>
          <w:iCs/>
          <w:sz w:val="24"/>
          <w:szCs w:val="24"/>
        </w:rPr>
        <w:t xml:space="preserve">Table. </w:t>
      </w:r>
      <w:r>
        <w:rPr>
          <w:rFonts w:ascii="Times New Roman" w:cs="Times New Roman" w:eastAsia="Times New Roman" w:hAnsi="Times New Roman"/>
          <w:i/>
          <w:iCs/>
          <w:sz w:val="24"/>
          <w:szCs w:val="24"/>
        </w:rPr>
        <w:t xml:space="preserve">Fixed experimental parameters.</w:t>
      </w:r>
    </w:p>
    <w:p>
      <w:pPr>
        <w:pStyle w:val="Heading3"/>
        <w:spacing w:after="120" w:before="240"/>
      </w:pPr>
      <w:r>
        <w:rPr>
          <w:rFonts w:ascii="Times New Roman" w:cs="Times New Roman" w:eastAsia="Times New Roman" w:hAnsi="Times New Roman"/>
        </w:rPr>
        <w:t xml:space="preserve">3.9.2 Software Environment</w:t>
      </w:r>
    </w:p>
    <w:p>
      <w:pPr>
        <w:spacing w:after="120" w:line="360"/>
        <w:jc w:val="both"/>
      </w:pPr>
      <w:r>
        <w:rPr>
          <w:rFonts w:ascii="Times New Roman" w:cs="Times New Roman" w:eastAsia="Times New Roman" w:hAnsi="Times New Roman"/>
          <w:sz w:val="24"/>
          <w:szCs w:val="24"/>
        </w:rPr>
        <w:t xml:space="preserve">The implementation uses Python 3.12 with τ²-bench at commit 37bfc31, the uv build system with hatchling backend, litellm for LLM routing, and the OpenAI Python SDK (≥1.0) for teacher calls. All models are accessed through OpenRouter. The source code is publicly available at github.com/glebdementev/tau-evo.</w:t>
      </w:r>
    </w:p>
    <w:p>
      <w:pPr>
        <w:pStyle w:val="Heading3"/>
        <w:spacing w:after="120" w:before="240"/>
      </w:pPr>
      <w:r>
        <w:rPr>
          <w:rFonts w:ascii="Times New Roman" w:cs="Times New Roman" w:eastAsia="Times New Roman" w:hAnsi="Times New Roman"/>
        </w:rPr>
        <w:t xml:space="preserve">3.9.3 State Persistence and Task Locking</w:t>
      </w:r>
    </w:p>
    <w:p>
      <w:pPr>
        <w:spacing w:after="120" w:line="360"/>
        <w:jc w:val="both"/>
      </w:pPr>
      <w:r>
        <w:rPr>
          <w:rFonts w:ascii="Times New Roman" w:cs="Times New Roman" w:eastAsia="Times New Roman" w:hAnsi="Times New Roman"/>
          <w:sz w:val="24"/>
          <w:szCs w:val="24"/>
        </w:rPr>
        <w:t xml:space="preserve">The complete evolution state is serialized to JSON after each iteration: the current system prompt, all tool schemas, all preprocessor source, iteration history with fix results, and metadata. Loading this state reconstructs the exact evolved agent. After the first evaluation in a run, task IDs are locked and reused for all subsequent iterations, ensuring pass-rate comparisons reflect the effect of patches on a fixed task set, not variation in sampling.</w:t>
      </w:r>
    </w:p>
    <w:p>
      <w:pPr>
        <w:pStyle w:val="Heading2"/>
        <w:spacing w:after="120" w:before="280"/>
      </w:pPr>
      <w:r>
        <w:rPr>
          <w:rFonts w:ascii="Times New Roman" w:cs="Times New Roman" w:eastAsia="Times New Roman" w:hAnsi="Times New Roman"/>
        </w:rPr>
        <w:t xml:space="preserve">3.10 Threats to Validity</w:t>
      </w:r>
    </w:p>
    <w:p>
      <w:pPr>
        <w:pStyle w:val="Heading3"/>
        <w:spacing w:after="120" w:before="240"/>
      </w:pPr>
      <w:r>
        <w:rPr>
          <w:rFonts w:ascii="Times New Roman" w:cs="Times New Roman" w:eastAsia="Times New Roman" w:hAnsi="Times New Roman"/>
        </w:rPr>
        <w:t xml:space="preserve">3.10.1 Internal Validity</w:t>
      </w:r>
    </w:p>
    <w:p>
      <w:pPr>
        <w:spacing w:after="120" w:line="360"/>
        <w:jc w:val="both"/>
      </w:pPr>
      <w:r>
        <w:rPr>
          <w:rFonts w:ascii="Times New Roman" w:cs="Times New Roman" w:eastAsia="Times New Roman" w:hAnsi="Times New Roman"/>
          <w:b/>
          <w:bCs/>
          <w:sz w:val="24"/>
          <w:szCs w:val="24"/>
        </w:rPr>
        <w:t xml:space="preserve">Single trial per task. </w:t>
      </w:r>
      <w:r>
        <w:rPr>
          <w:rFonts w:ascii="Times New Roman" w:cs="Times New Roman" w:eastAsia="Times New Roman" w:hAnsi="Times New Roman"/>
          <w:sz w:val="24"/>
          <w:szCs w:val="24"/>
        </w:rPr>
        <w:t xml:space="preserve">Each task is evaluated once per iteration, introducing variance from stochastic LLM generation. Yao et al. (2024) introduced the pass</w:t>
      </w:r>
      <w:r>
        <w:rPr>
          <w:rFonts w:ascii="Times New Roman" w:cs="Times New Roman" w:eastAsia="Times New Roman" w:hAnsi="Times New Roman"/>
          <w:sz w:val="24"/>
          <w:szCs w:val="24"/>
          <w:vertAlign w:val="superscript"/>
        </w:rPr>
        <w:t xml:space="preserve">k</w:t>
      </w:r>
      <w:r>
        <w:rPr>
          <w:rFonts w:ascii="Times New Roman" w:cs="Times New Roman" w:eastAsia="Times New Roman" w:hAnsi="Times New Roman"/>
          <w:sz w:val="24"/>
          <w:szCs w:val="24"/>
        </w:rPr>
        <w:t xml:space="preserve"> metric precisely to capture this variance, showing that pass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can drop below 25 percent even when pass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exceeds 50 percent. The limitation is mitigated by the fixed seed and by reporting results across multiple tasks, but full confidence intervals would require multiple trials per task at additional cost.</w:t>
      </w:r>
    </w:p>
    <w:p>
      <w:pPr>
        <w:spacing w:after="120" w:line="360"/>
        <w:jc w:val="both"/>
      </w:pPr>
      <w:r>
        <w:rPr>
          <w:rFonts w:ascii="Times New Roman" w:cs="Times New Roman" w:eastAsia="Times New Roman" w:hAnsi="Times New Roman"/>
          <w:b/>
          <w:bCs/>
          <w:sz w:val="24"/>
          <w:szCs w:val="24"/>
        </w:rPr>
        <w:t xml:space="preserve">Teacher model bias. </w:t>
      </w:r>
      <w:r>
        <w:rPr>
          <w:rFonts w:ascii="Times New Roman" w:cs="Times New Roman" w:eastAsia="Times New Roman" w:hAnsi="Times New Roman"/>
          <w:sz w:val="24"/>
          <w:szCs w:val="24"/>
        </w:rPr>
        <w:t xml:space="preserve">The teacher’s diagnoses and patches reflect the capabilities and blind spots of Kimi K2.5. A different teacher might produce different patches and improvement trajectories. The mitigation is empirical validation: only patches that demonstrably improve the student’s performance enter the global state. Dorner, Nastl, et al. (2024) showed that when the judge is no more capable than the evaluated model, debiasing cannot fully compensate; this limitation does not apply here, since Kimi K2.5 is substantially stronger than Qwen3 30B-A3B.</w:t>
      </w:r>
    </w:p>
    <w:p>
      <w:pPr>
        <w:spacing w:after="120" w:line="360"/>
        <w:jc w:val="both"/>
      </w:pPr>
      <w:r>
        <w:rPr>
          <w:rFonts w:ascii="Times New Roman" w:cs="Times New Roman" w:eastAsia="Times New Roman" w:hAnsi="Times New Roman"/>
          <w:b/>
          <w:bCs/>
          <w:sz w:val="24"/>
          <w:szCs w:val="24"/>
        </w:rPr>
        <w:t xml:space="preserve">Heuristic failure classification. </w:t>
      </w:r>
      <w:r>
        <w:rPr>
          <w:rFonts w:ascii="Times New Roman" w:cs="Times New Roman" w:eastAsia="Times New Roman" w:hAnsi="Times New Roman"/>
          <w:sz w:val="24"/>
          <w:szCs w:val="24"/>
        </w:rPr>
        <w:t xml:space="preserve">The four-category taxonomy is applied through string matching on the teacher’s free-text diagnosis. Misclassification is possible. This affects per-category analysis but not primary pass-rate results.</w:t>
      </w:r>
    </w:p>
    <w:p>
      <w:pPr>
        <w:pStyle w:val="Heading3"/>
        <w:spacing w:after="120" w:before="240"/>
      </w:pPr>
      <w:r>
        <w:rPr>
          <w:rFonts w:ascii="Times New Roman" w:cs="Times New Roman" w:eastAsia="Times New Roman" w:hAnsi="Times New Roman"/>
        </w:rPr>
        <w:t xml:space="preserve">3.10.2 External Validity</w:t>
      </w:r>
    </w:p>
    <w:p>
      <w:pPr>
        <w:spacing w:after="120" w:line="360"/>
        <w:jc w:val="both"/>
      </w:pPr>
      <w:r>
        <w:rPr>
          <w:rFonts w:ascii="Times New Roman" w:cs="Times New Roman" w:eastAsia="Times New Roman" w:hAnsi="Times New Roman"/>
          <w:b/>
          <w:bCs/>
          <w:sz w:val="24"/>
          <w:szCs w:val="24"/>
        </w:rPr>
        <w:t xml:space="preserve">Benchmark versus production. </w:t>
      </w:r>
      <w:r>
        <w:rPr>
          <w:rFonts w:ascii="Times New Roman" w:cs="Times New Roman" w:eastAsia="Times New Roman" w:hAnsi="Times New Roman"/>
          <w:sz w:val="24"/>
          <w:szCs w:val="24"/>
        </w:rPr>
        <w:t xml:space="preserve">τ²-bench tasks are simulated customer-service interactions. While designed to approximate operational settings, they lack the full diversity and adversarial nature of real interactions. Kapoor et al. (2024) documented that 7 of 8 major agent benchmarks lack appropriate holdout sets and that benchmark-specific overfitting is common—the top WebArena agent hardcodes policies for specific tasks. The framework’s effectiveness in production remains to be validated.</w:t>
      </w:r>
    </w:p>
    <w:p>
      <w:pPr>
        <w:spacing w:after="120" w:line="360"/>
        <w:jc w:val="both"/>
      </w:pPr>
      <w:r>
        <w:rPr>
          <w:rFonts w:ascii="Times New Roman" w:cs="Times New Roman" w:eastAsia="Times New Roman" w:hAnsi="Times New Roman"/>
          <w:b/>
          <w:bCs/>
          <w:sz w:val="24"/>
          <w:szCs w:val="24"/>
        </w:rPr>
        <w:t xml:space="preserve">Model generalization. </w:t>
      </w:r>
      <w:r>
        <w:rPr>
          <w:rFonts w:ascii="Times New Roman" w:cs="Times New Roman" w:eastAsia="Times New Roman" w:hAnsi="Times New Roman"/>
          <w:sz w:val="24"/>
          <w:szCs w:val="24"/>
        </w:rPr>
        <w:t xml:space="preserve">The framework is evaluated with one student–teacher pair. Whether results generalize to stronger students (where headroom is smaller) or weaker teachers (where diagnostic quality degrades) is an open question. Alternative student models are supported for future ablation.</w:t>
      </w:r>
    </w:p>
    <w:p>
      <w:pPr>
        <w:spacing w:after="120" w:line="360"/>
        <w:jc w:val="both"/>
      </w:pPr>
      <w:r>
        <w:rPr>
          <w:rFonts w:ascii="Times New Roman" w:cs="Times New Roman" w:eastAsia="Times New Roman" w:hAnsi="Times New Roman"/>
          <w:b/>
          <w:bCs/>
          <w:sz w:val="24"/>
          <w:szCs w:val="24"/>
        </w:rPr>
        <w:t xml:space="preserve">Domain specificity. </w:t>
      </w:r>
      <w:r>
        <w:rPr>
          <w:rFonts w:ascii="Times New Roman" w:cs="Times New Roman" w:eastAsia="Times New Roman" w:hAnsi="Times New Roman"/>
          <w:sz w:val="24"/>
          <w:szCs w:val="24"/>
        </w:rPr>
        <w:t xml:space="preserve">Patches are domain-specific by design. The framework does not claim cross-domain transfer; its value proposition is that domain-specific diagnostic knowledge can be efficiently transferred to a weaker model’s prompt configuration.</w:t>
      </w:r>
    </w:p>
    <w:p>
      <w:pPr>
        <w:pStyle w:val="Heading3"/>
        <w:spacing w:after="120" w:before="240"/>
      </w:pPr>
      <w:r>
        <w:rPr>
          <w:rFonts w:ascii="Times New Roman" w:cs="Times New Roman" w:eastAsia="Times New Roman" w:hAnsi="Times New Roman"/>
        </w:rPr>
        <w:t xml:space="preserve">3.10.3 Construct Validity</w:t>
      </w:r>
    </w:p>
    <w:p>
      <w:pPr>
        <w:spacing w:after="120" w:line="360"/>
        <w:jc w:val="both"/>
      </w:pPr>
      <w:r>
        <w:rPr>
          <w:rFonts w:ascii="Times New Roman" w:cs="Times New Roman" w:eastAsia="Times New Roman" w:hAnsi="Times New Roman"/>
          <w:b/>
          <w:bCs/>
          <w:sz w:val="24"/>
          <w:szCs w:val="24"/>
        </w:rPr>
        <w:t xml:space="preserve">pass¹ as reliability proxy. </w:t>
      </w:r>
      <w:r>
        <w:rPr>
          <w:rFonts w:ascii="Times New Roman" w:cs="Times New Roman" w:eastAsia="Times New Roman" w:hAnsi="Times New Roman"/>
          <w:sz w:val="24"/>
          <w:szCs w:val="24"/>
        </w:rPr>
        <w:t xml:space="preserve">The metric treats all failures equally—a catastrophic wrong action and a minor communication lapse both count. Rabanser et al. (2026) decompose reliability into four dimensions (consistency, robustness, predictability, safety) with twelve metrics, of which pass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captures only the consistency dimension. The reward breakdown provides more granular information, but the primary metric does not weight by severity or dimension.</w:t>
      </w:r>
    </w:p>
    <w:p>
      <w:pPr>
        <w:spacing w:after="120" w:line="360"/>
        <w:jc w:val="both"/>
      </w:pPr>
      <w:r>
        <w:rPr>
          <w:rFonts w:ascii="Times New Roman" w:cs="Times New Roman" w:eastAsia="Times New Roman" w:hAnsi="Times New Roman"/>
          <w:b/>
          <w:bCs/>
          <w:sz w:val="24"/>
          <w:szCs w:val="24"/>
        </w:rPr>
        <w:t xml:space="preserve">Prompt evolution as distillation. </w:t>
      </w:r>
      <w:r>
        <w:rPr>
          <w:rFonts w:ascii="Times New Roman" w:cs="Times New Roman" w:eastAsia="Times New Roman" w:hAnsi="Times New Roman"/>
          <w:sz w:val="24"/>
          <w:szCs w:val="24"/>
        </w:rPr>
        <w:t xml:space="preserve">The thesis frames prompt patching as a form of knowledge transfer from teacher to student. This framing is supported by the trajectory from weight-level distillation (Hinton et al., 2015) through output-level distillation (Alpaca, Vicuna) to prompt-level transfer (SPoT; Vu, Lester, Constant, Al-Rfou, &amp; Cer, 2022; GEPA; Agrawal et al., 2025). However, the patches may encode surface-level heuristics (add a “#” prefix) rather than deep domain understanding, and their durability under distribution shift is untested.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2026-03-07T18:48:02.982Z</dcterms:created>
  <dcterms:modified xsi:type="dcterms:W3CDTF">2026-03-07T18:48:02.983Z</dcterms:modified>
</cp:coreProperties>
</file>

<file path=docProps/custom.xml><?xml version="1.0" encoding="utf-8"?>
<Properties xmlns="http://schemas.openxmlformats.org/officeDocument/2006/custom-properties" xmlns:vt="http://schemas.openxmlformats.org/officeDocument/2006/docPropsVTypes"/>
</file>