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1900" w:rsidRPr="00336FE5" w:rsidRDefault="00F41900" w:rsidP="00F41900">
      <w:pPr>
        <w:rPr>
          <w:color w:val="000000" w:themeColor="text1"/>
        </w:rPr>
      </w:pPr>
      <w:r w:rsidRPr="00336FE5">
        <w:rPr>
          <w:smallCaps/>
          <w:color w:val="000000" w:themeColor="text1"/>
          <w:sz w:val="26"/>
          <w:szCs w:val="26"/>
          <w:lang w:val="en-US"/>
        </w:rPr>
        <w:t>FEDERAL STATE AUTONOMOUS EDUCATIONAL INSTITUTION OF</w:t>
      </w:r>
    </w:p>
    <w:p w:rsidR="00F41900" w:rsidRPr="00336FE5" w:rsidRDefault="00F41900" w:rsidP="00F41900">
      <w:pPr>
        <w:widowControl w:val="0"/>
        <w:tabs>
          <w:tab w:val="left" w:pos="5420"/>
        </w:tabs>
        <w:jc w:val="center"/>
        <w:rPr>
          <w:smallCaps/>
          <w:color w:val="000000" w:themeColor="text1"/>
          <w:sz w:val="26"/>
          <w:szCs w:val="26"/>
          <w:lang w:val="en-US"/>
        </w:rPr>
      </w:pPr>
      <w:r w:rsidRPr="00336FE5">
        <w:rPr>
          <w:smallCaps/>
          <w:color w:val="000000" w:themeColor="text1"/>
          <w:sz w:val="26"/>
          <w:szCs w:val="26"/>
          <w:lang w:val="en-US"/>
        </w:rPr>
        <w:t>HIGHER EDUCATION</w:t>
      </w:r>
    </w:p>
    <w:p w:rsidR="00F41900" w:rsidRPr="00336FE5" w:rsidRDefault="00F41900" w:rsidP="00F41900">
      <w:pPr>
        <w:widowControl w:val="0"/>
        <w:tabs>
          <w:tab w:val="left" w:pos="5420"/>
        </w:tabs>
        <w:jc w:val="center"/>
        <w:rPr>
          <w:color w:val="000000" w:themeColor="text1"/>
          <w:sz w:val="26"/>
          <w:szCs w:val="26"/>
          <w:lang w:val="en-US"/>
        </w:rPr>
      </w:pPr>
    </w:p>
    <w:p w:rsidR="00F41900" w:rsidRPr="00336FE5" w:rsidRDefault="00F41900" w:rsidP="00F41900">
      <w:pPr>
        <w:widowControl w:val="0"/>
        <w:tabs>
          <w:tab w:val="left" w:pos="5420"/>
        </w:tabs>
        <w:jc w:val="center"/>
        <w:rPr>
          <w:rStyle w:val="10"/>
          <w:rFonts w:eastAsia="Calibri"/>
          <w:color w:val="000000" w:themeColor="text1"/>
          <w:sz w:val="26"/>
          <w:szCs w:val="26"/>
          <w:lang w:val="en-US"/>
        </w:rPr>
      </w:pPr>
      <w:r w:rsidRPr="00336FE5">
        <w:rPr>
          <w:rStyle w:val="10"/>
          <w:rFonts w:eastAsia="Calibri"/>
          <w:color w:val="000000" w:themeColor="text1"/>
          <w:sz w:val="26"/>
          <w:szCs w:val="26"/>
        </w:rPr>
        <w:t>N</w:t>
      </w:r>
      <w:r w:rsidRPr="00336FE5">
        <w:rPr>
          <w:rStyle w:val="10"/>
          <w:rFonts w:eastAsia="Calibri"/>
          <w:color w:val="000000" w:themeColor="text1"/>
          <w:sz w:val="26"/>
          <w:szCs w:val="26"/>
          <w:lang w:val="en-US"/>
        </w:rPr>
        <w:t>ATIONAL</w:t>
      </w:r>
      <w:r w:rsidRPr="00336FE5">
        <w:rPr>
          <w:rStyle w:val="10"/>
          <w:rFonts w:eastAsia="Calibri"/>
          <w:color w:val="000000" w:themeColor="text1"/>
          <w:sz w:val="26"/>
          <w:szCs w:val="26"/>
        </w:rPr>
        <w:t xml:space="preserve"> R</w:t>
      </w:r>
      <w:r w:rsidRPr="00336FE5">
        <w:rPr>
          <w:rStyle w:val="10"/>
          <w:rFonts w:eastAsia="Calibri"/>
          <w:color w:val="000000" w:themeColor="text1"/>
          <w:sz w:val="26"/>
          <w:szCs w:val="26"/>
          <w:lang w:val="en-US"/>
        </w:rPr>
        <w:t>ESEARCH</w:t>
      </w:r>
      <w:r w:rsidRPr="00336FE5">
        <w:rPr>
          <w:rStyle w:val="10"/>
          <w:rFonts w:eastAsia="Calibri"/>
          <w:color w:val="000000" w:themeColor="text1"/>
          <w:sz w:val="26"/>
          <w:szCs w:val="26"/>
        </w:rPr>
        <w:t xml:space="preserve"> U</w:t>
      </w:r>
      <w:r w:rsidRPr="00336FE5">
        <w:rPr>
          <w:rStyle w:val="10"/>
          <w:rFonts w:eastAsia="Calibri"/>
          <w:color w:val="000000" w:themeColor="text1"/>
          <w:sz w:val="26"/>
          <w:szCs w:val="26"/>
          <w:lang w:val="en-US"/>
        </w:rPr>
        <w:t>NIVERSITY</w:t>
      </w:r>
      <w:r w:rsidRPr="00336FE5">
        <w:rPr>
          <w:rStyle w:val="10"/>
          <w:rFonts w:eastAsia="Calibri"/>
          <w:color w:val="000000" w:themeColor="text1"/>
          <w:sz w:val="26"/>
          <w:szCs w:val="26"/>
        </w:rPr>
        <w:t xml:space="preserve"> H</w:t>
      </w:r>
      <w:r w:rsidRPr="00336FE5">
        <w:rPr>
          <w:rStyle w:val="10"/>
          <w:rFonts w:eastAsia="Calibri"/>
          <w:color w:val="000000" w:themeColor="text1"/>
          <w:sz w:val="26"/>
          <w:szCs w:val="26"/>
          <w:lang w:val="en-US"/>
        </w:rPr>
        <w:t>IGHER</w:t>
      </w:r>
      <w:r w:rsidRPr="00336FE5">
        <w:rPr>
          <w:rStyle w:val="10"/>
          <w:rFonts w:eastAsia="Calibri"/>
          <w:color w:val="000000" w:themeColor="text1"/>
          <w:sz w:val="26"/>
          <w:szCs w:val="26"/>
        </w:rPr>
        <w:t xml:space="preserve"> S</w:t>
      </w:r>
      <w:r w:rsidRPr="00336FE5">
        <w:rPr>
          <w:rStyle w:val="10"/>
          <w:rFonts w:eastAsia="Calibri"/>
          <w:color w:val="000000" w:themeColor="text1"/>
          <w:sz w:val="26"/>
          <w:szCs w:val="26"/>
          <w:lang w:val="en-US"/>
        </w:rPr>
        <w:t>CHOOL</w:t>
      </w:r>
      <w:r w:rsidRPr="00336FE5">
        <w:rPr>
          <w:rStyle w:val="10"/>
          <w:rFonts w:eastAsia="Calibri"/>
          <w:color w:val="000000" w:themeColor="text1"/>
          <w:sz w:val="26"/>
          <w:szCs w:val="26"/>
        </w:rPr>
        <w:t xml:space="preserve"> </w:t>
      </w:r>
      <w:r w:rsidRPr="00336FE5">
        <w:rPr>
          <w:rStyle w:val="10"/>
          <w:rFonts w:eastAsia="Calibri"/>
          <w:color w:val="000000" w:themeColor="text1"/>
          <w:sz w:val="26"/>
          <w:szCs w:val="26"/>
          <w:lang w:val="en-US"/>
        </w:rPr>
        <w:t>OF</w:t>
      </w:r>
      <w:r w:rsidRPr="00336FE5">
        <w:rPr>
          <w:rStyle w:val="10"/>
          <w:rFonts w:eastAsia="Calibri"/>
          <w:color w:val="000000" w:themeColor="text1"/>
          <w:sz w:val="26"/>
          <w:szCs w:val="26"/>
        </w:rPr>
        <w:t xml:space="preserve"> E</w:t>
      </w:r>
      <w:r w:rsidRPr="00336FE5">
        <w:rPr>
          <w:rStyle w:val="10"/>
          <w:rFonts w:eastAsia="Calibri"/>
          <w:color w:val="000000" w:themeColor="text1"/>
          <w:sz w:val="26"/>
          <w:szCs w:val="26"/>
          <w:lang w:val="en-US"/>
        </w:rPr>
        <w:t>CONOMICS</w:t>
      </w:r>
    </w:p>
    <w:p w:rsidR="00F41900" w:rsidRPr="00336FE5" w:rsidRDefault="00F41900" w:rsidP="00F41900">
      <w:pPr>
        <w:widowControl w:val="0"/>
        <w:tabs>
          <w:tab w:val="left" w:pos="5420"/>
        </w:tabs>
        <w:jc w:val="center"/>
        <w:rPr>
          <w:color w:val="000000" w:themeColor="text1"/>
          <w:sz w:val="26"/>
          <w:szCs w:val="26"/>
          <w:lang w:val="en-US"/>
        </w:rPr>
      </w:pPr>
    </w:p>
    <w:p w:rsidR="00F41900" w:rsidRPr="00336FE5" w:rsidRDefault="00F41900" w:rsidP="00F41900">
      <w:pPr>
        <w:pStyle w:val="6"/>
        <w:ind w:left="1152"/>
        <w:jc w:val="center"/>
        <w:rPr>
          <w:b/>
          <w:color w:val="000000" w:themeColor="text1"/>
          <w:sz w:val="26"/>
          <w:szCs w:val="26"/>
          <w:lang w:val="en-US"/>
        </w:rPr>
      </w:pPr>
      <w:r w:rsidRPr="00336FE5">
        <w:rPr>
          <w:color w:val="000000" w:themeColor="text1"/>
          <w:sz w:val="26"/>
          <w:szCs w:val="26"/>
          <w:lang w:val="en-US"/>
        </w:rPr>
        <w:t>Graduate School of Business</w:t>
      </w:r>
    </w:p>
    <w:p w:rsidR="00F41900" w:rsidRPr="00336FE5" w:rsidRDefault="00F41900" w:rsidP="00F41900">
      <w:pPr>
        <w:rPr>
          <w:color w:val="000000" w:themeColor="text1"/>
          <w:lang w:val="en-US"/>
        </w:rPr>
      </w:pPr>
    </w:p>
    <w:p w:rsidR="00F41900" w:rsidRPr="00336FE5" w:rsidRDefault="00F41900" w:rsidP="00F41900">
      <w:pPr>
        <w:jc w:val="center"/>
        <w:rPr>
          <w:color w:val="000000" w:themeColor="text1"/>
          <w:sz w:val="26"/>
          <w:szCs w:val="26"/>
          <w:lang w:val="en-US"/>
        </w:rPr>
      </w:pPr>
      <w:proofErr w:type="gramStart"/>
      <w:r w:rsidRPr="00336FE5">
        <w:rPr>
          <w:color w:val="000000" w:themeColor="text1"/>
          <w:sz w:val="26"/>
          <w:szCs w:val="26"/>
          <w:lang w:val="en-US"/>
        </w:rPr>
        <w:t>”Business</w:t>
      </w:r>
      <w:proofErr w:type="gramEnd"/>
      <w:r w:rsidRPr="00336FE5">
        <w:rPr>
          <w:color w:val="000000" w:themeColor="text1"/>
          <w:sz w:val="26"/>
          <w:szCs w:val="26"/>
          <w:lang w:val="en-US"/>
        </w:rPr>
        <w:t xml:space="preserve"> Analytics and Big Data Systems”</w:t>
      </w:r>
    </w:p>
    <w:p w:rsidR="00F41900" w:rsidRPr="00336FE5" w:rsidRDefault="00F41900" w:rsidP="00F41900">
      <w:pPr>
        <w:jc w:val="center"/>
        <w:rPr>
          <w:color w:val="000000" w:themeColor="text1"/>
          <w:sz w:val="26"/>
          <w:szCs w:val="26"/>
          <w:lang w:val="en-US"/>
        </w:rPr>
      </w:pPr>
      <w:r w:rsidRPr="00336FE5">
        <w:rPr>
          <w:color w:val="000000" w:themeColor="text1"/>
          <w:sz w:val="26"/>
          <w:szCs w:val="26"/>
          <w:lang w:val="en-US"/>
        </w:rPr>
        <w:t xml:space="preserve">Master’s </w:t>
      </w:r>
      <w:proofErr w:type="spellStart"/>
      <w:r w:rsidRPr="00336FE5">
        <w:rPr>
          <w:color w:val="000000" w:themeColor="text1"/>
          <w:sz w:val="26"/>
          <w:szCs w:val="26"/>
          <w:lang w:val="en-US"/>
        </w:rPr>
        <w:t>Programme</w:t>
      </w:r>
      <w:proofErr w:type="spellEnd"/>
    </w:p>
    <w:p w:rsidR="00F41900" w:rsidRPr="00336FE5" w:rsidRDefault="00F41900" w:rsidP="00F41900">
      <w:pPr>
        <w:jc w:val="center"/>
        <w:rPr>
          <w:color w:val="000000" w:themeColor="text1"/>
          <w:sz w:val="26"/>
          <w:szCs w:val="26"/>
          <w:lang w:val="en-US"/>
        </w:rPr>
      </w:pPr>
    </w:p>
    <w:p w:rsidR="00F41900" w:rsidRPr="00336FE5" w:rsidRDefault="00F41900" w:rsidP="00F41900">
      <w:pPr>
        <w:jc w:val="center"/>
        <w:rPr>
          <w:color w:val="000000" w:themeColor="text1"/>
          <w:sz w:val="26"/>
          <w:szCs w:val="26"/>
          <w:lang w:val="en-US"/>
        </w:rPr>
      </w:pPr>
      <w:r w:rsidRPr="00336FE5">
        <w:rPr>
          <w:color w:val="000000" w:themeColor="text1"/>
          <w:sz w:val="26"/>
          <w:szCs w:val="26"/>
          <w:lang w:val="en-US"/>
        </w:rPr>
        <w:t>38.04.05 Business Informatics</w:t>
      </w:r>
    </w:p>
    <w:p w:rsidR="00F41900" w:rsidRPr="00336FE5" w:rsidRDefault="00F41900" w:rsidP="00F41900">
      <w:pPr>
        <w:tabs>
          <w:tab w:val="left" w:pos="5103"/>
          <w:tab w:val="left" w:pos="7371"/>
          <w:tab w:val="right" w:leader="underscore" w:pos="8789"/>
        </w:tabs>
        <w:jc w:val="center"/>
        <w:rPr>
          <w:color w:val="000000" w:themeColor="text1"/>
          <w:sz w:val="26"/>
          <w:szCs w:val="26"/>
          <w:lang w:val="en-US"/>
        </w:rPr>
      </w:pPr>
    </w:p>
    <w:p w:rsidR="00F41900" w:rsidRPr="00336FE5" w:rsidRDefault="00F41900" w:rsidP="00F41900">
      <w:pPr>
        <w:tabs>
          <w:tab w:val="left" w:pos="5103"/>
          <w:tab w:val="left" w:pos="7371"/>
          <w:tab w:val="right" w:leader="underscore" w:pos="8789"/>
        </w:tabs>
        <w:rPr>
          <w:color w:val="000000" w:themeColor="text1"/>
          <w:sz w:val="26"/>
          <w:szCs w:val="26"/>
          <w:lang w:val="en-US"/>
        </w:rPr>
      </w:pPr>
    </w:p>
    <w:p w:rsidR="00F41900" w:rsidRPr="00336FE5" w:rsidRDefault="00F41900" w:rsidP="00F41900">
      <w:pPr>
        <w:tabs>
          <w:tab w:val="left" w:pos="5103"/>
          <w:tab w:val="left" w:pos="7371"/>
          <w:tab w:val="right" w:leader="underscore" w:pos="8789"/>
        </w:tabs>
        <w:jc w:val="center"/>
        <w:rPr>
          <w:color w:val="000000" w:themeColor="text1"/>
          <w:sz w:val="26"/>
          <w:szCs w:val="26"/>
          <w:lang w:val="en-US"/>
        </w:rPr>
      </w:pPr>
    </w:p>
    <w:p w:rsidR="00F41900" w:rsidRPr="00336FE5" w:rsidRDefault="00F41900" w:rsidP="00F41900">
      <w:pPr>
        <w:tabs>
          <w:tab w:val="left" w:pos="5103"/>
          <w:tab w:val="left" w:pos="7371"/>
          <w:tab w:val="right" w:leader="underscore" w:pos="8789"/>
        </w:tabs>
        <w:jc w:val="center"/>
        <w:rPr>
          <w:b/>
          <w:color w:val="000000" w:themeColor="text1"/>
          <w:sz w:val="26"/>
          <w:szCs w:val="26"/>
          <w:lang w:val="en-US"/>
        </w:rPr>
      </w:pPr>
      <w:r w:rsidRPr="00336FE5">
        <w:rPr>
          <w:b/>
          <w:color w:val="000000" w:themeColor="text1"/>
          <w:sz w:val="26"/>
          <w:szCs w:val="26"/>
          <w:lang w:val="en-US"/>
        </w:rPr>
        <w:t>REPORT</w:t>
      </w:r>
      <w:r w:rsidRPr="00336FE5">
        <w:rPr>
          <w:b/>
          <w:color w:val="000000" w:themeColor="text1"/>
          <w:sz w:val="26"/>
          <w:szCs w:val="26"/>
          <w:lang w:val="en-US"/>
        </w:rPr>
        <w:br/>
        <w:t xml:space="preserve">on a professional </w:t>
      </w:r>
      <w:bookmarkStart w:id="0" w:name="OLE_LINK4"/>
      <w:bookmarkStart w:id="1" w:name="OLE_LINK5"/>
      <w:r w:rsidRPr="00336FE5">
        <w:rPr>
          <w:b/>
          <w:color w:val="000000" w:themeColor="text1"/>
          <w:sz w:val="26"/>
          <w:szCs w:val="26"/>
          <w:lang w:val="en-US"/>
        </w:rPr>
        <w:t>internship</w:t>
      </w:r>
      <w:bookmarkEnd w:id="0"/>
      <w:bookmarkEnd w:id="1"/>
    </w:p>
    <w:p w:rsidR="00F41900" w:rsidRPr="00336FE5" w:rsidRDefault="00F41900" w:rsidP="00F41900">
      <w:pPr>
        <w:tabs>
          <w:tab w:val="left" w:pos="5103"/>
          <w:tab w:val="left" w:pos="7371"/>
          <w:tab w:val="right" w:leader="underscore" w:pos="8789"/>
        </w:tabs>
        <w:jc w:val="center"/>
        <w:rPr>
          <w:b/>
          <w:color w:val="000000" w:themeColor="text1"/>
          <w:sz w:val="26"/>
          <w:szCs w:val="26"/>
          <w:lang w:val="en-US"/>
        </w:rPr>
      </w:pPr>
    </w:p>
    <w:p w:rsidR="00F41900" w:rsidRPr="00336FE5" w:rsidRDefault="00F41900" w:rsidP="00F41900">
      <w:pPr>
        <w:tabs>
          <w:tab w:val="left" w:pos="5103"/>
          <w:tab w:val="left" w:pos="7371"/>
          <w:tab w:val="right" w:leader="underscore" w:pos="8789"/>
        </w:tabs>
        <w:jc w:val="center"/>
        <w:rPr>
          <w:b/>
          <w:color w:val="000000" w:themeColor="text1"/>
          <w:sz w:val="26"/>
          <w:szCs w:val="26"/>
          <w:lang w:val="en-US"/>
        </w:rPr>
      </w:pPr>
      <w:r w:rsidRPr="00336FE5">
        <w:rPr>
          <w:b/>
          <w:color w:val="000000" w:themeColor="text1"/>
          <w:sz w:val="26"/>
          <w:szCs w:val="26"/>
          <w:lang w:val="en-US"/>
        </w:rPr>
        <w:t>Industrial Internship</w:t>
      </w:r>
    </w:p>
    <w:p w:rsidR="00F41900" w:rsidRPr="00336FE5" w:rsidRDefault="00F41900" w:rsidP="00F41900">
      <w:pPr>
        <w:tabs>
          <w:tab w:val="left" w:pos="5103"/>
          <w:tab w:val="left" w:pos="7371"/>
          <w:tab w:val="right" w:leader="underscore" w:pos="8789"/>
        </w:tabs>
        <w:jc w:val="center"/>
        <w:rPr>
          <w:color w:val="000000" w:themeColor="text1"/>
          <w:sz w:val="26"/>
          <w:szCs w:val="26"/>
          <w:lang w:val="en-US"/>
        </w:rPr>
      </w:pPr>
    </w:p>
    <w:p w:rsidR="00F41900" w:rsidRPr="00336FE5" w:rsidRDefault="00F41900" w:rsidP="00F41900">
      <w:pPr>
        <w:tabs>
          <w:tab w:val="left" w:pos="5103"/>
          <w:tab w:val="left" w:pos="7371"/>
          <w:tab w:val="right" w:leader="underscore" w:pos="8789"/>
        </w:tabs>
        <w:jc w:val="center"/>
        <w:rPr>
          <w:color w:val="000000" w:themeColor="text1"/>
          <w:sz w:val="26"/>
          <w:szCs w:val="26"/>
          <w:lang w:val="en-US"/>
        </w:rPr>
      </w:pPr>
    </w:p>
    <w:p w:rsidR="00F41900" w:rsidRPr="00336FE5" w:rsidRDefault="00F41900" w:rsidP="00F41900">
      <w:pPr>
        <w:tabs>
          <w:tab w:val="left" w:pos="5103"/>
          <w:tab w:val="left" w:pos="7371"/>
          <w:tab w:val="right" w:leader="underscore" w:pos="8789"/>
        </w:tabs>
        <w:jc w:val="center"/>
        <w:rPr>
          <w:color w:val="000000" w:themeColor="text1"/>
          <w:sz w:val="26"/>
          <w:szCs w:val="26"/>
          <w:lang w:val="en-US"/>
        </w:rPr>
      </w:pPr>
    </w:p>
    <w:p w:rsidR="00F41900" w:rsidRPr="00336FE5" w:rsidRDefault="00F41900" w:rsidP="00F41900">
      <w:pPr>
        <w:tabs>
          <w:tab w:val="left" w:pos="5103"/>
          <w:tab w:val="left" w:pos="7371"/>
          <w:tab w:val="right" w:leader="underscore" w:pos="8789"/>
        </w:tabs>
        <w:jc w:val="center"/>
        <w:rPr>
          <w:color w:val="000000" w:themeColor="text1"/>
          <w:sz w:val="26"/>
          <w:szCs w:val="26"/>
          <w:lang w:val="en-US"/>
        </w:rPr>
      </w:pPr>
    </w:p>
    <w:p w:rsidR="00F41900" w:rsidRPr="00336FE5" w:rsidRDefault="00F41900" w:rsidP="00F41900">
      <w:pPr>
        <w:rPr>
          <w:color w:val="000000" w:themeColor="text1"/>
          <w:sz w:val="26"/>
          <w:szCs w:val="26"/>
          <w:lang w:val="en-US"/>
        </w:rPr>
      </w:pPr>
    </w:p>
    <w:p w:rsidR="00F41900" w:rsidRPr="00336FE5" w:rsidRDefault="00F41900" w:rsidP="00F41900">
      <w:pPr>
        <w:rPr>
          <w:color w:val="000000" w:themeColor="text1"/>
          <w:sz w:val="26"/>
          <w:szCs w:val="26"/>
          <w:lang w:val="en-US"/>
        </w:rPr>
      </w:pPr>
    </w:p>
    <w:p w:rsidR="00F41900" w:rsidRPr="00336FE5" w:rsidRDefault="00F41900" w:rsidP="00F41900">
      <w:pPr>
        <w:jc w:val="center"/>
        <w:rPr>
          <w:color w:val="000000" w:themeColor="text1"/>
          <w:sz w:val="26"/>
          <w:szCs w:val="26"/>
          <w:lang w:val="en-US"/>
        </w:rPr>
      </w:pPr>
    </w:p>
    <w:p w:rsidR="00F41900" w:rsidRPr="00336FE5" w:rsidRDefault="00F41900" w:rsidP="00F41900">
      <w:pPr>
        <w:jc w:val="right"/>
        <w:rPr>
          <w:color w:val="000000" w:themeColor="text1"/>
          <w:sz w:val="26"/>
          <w:szCs w:val="26"/>
          <w:lang w:val="en-US"/>
        </w:rPr>
      </w:pPr>
      <w:r w:rsidRPr="00336FE5">
        <w:rPr>
          <w:color w:val="000000" w:themeColor="text1"/>
          <w:sz w:val="26"/>
          <w:szCs w:val="26"/>
          <w:lang w:val="en-US"/>
        </w:rPr>
        <w:t xml:space="preserve">Completed by: </w:t>
      </w:r>
    </w:p>
    <w:p w:rsidR="00F41900" w:rsidRPr="00336FE5" w:rsidRDefault="00F41900" w:rsidP="00F41900">
      <w:pPr>
        <w:jc w:val="right"/>
        <w:rPr>
          <w:color w:val="000000" w:themeColor="text1"/>
          <w:sz w:val="26"/>
          <w:szCs w:val="26"/>
          <w:lang w:val="en-US"/>
        </w:rPr>
      </w:pPr>
      <w:r w:rsidRPr="00336FE5">
        <w:rPr>
          <w:color w:val="000000" w:themeColor="text1"/>
          <w:sz w:val="26"/>
          <w:szCs w:val="26"/>
          <w:lang w:val="en-US"/>
        </w:rPr>
        <w:t>Group BABDS -242</w:t>
      </w:r>
    </w:p>
    <w:p w:rsidR="00F41900" w:rsidRPr="00336FE5" w:rsidRDefault="00F41900" w:rsidP="00F41900">
      <w:pPr>
        <w:jc w:val="right"/>
        <w:rPr>
          <w:color w:val="000000" w:themeColor="text1"/>
          <w:sz w:val="26"/>
          <w:szCs w:val="26"/>
          <w:lang w:val="en-US"/>
        </w:rPr>
      </w:pPr>
      <w:proofErr w:type="spellStart"/>
      <w:r w:rsidRPr="00336FE5">
        <w:rPr>
          <w:color w:val="000000" w:themeColor="text1"/>
          <w:sz w:val="26"/>
          <w:szCs w:val="26"/>
          <w:lang w:val="en-US"/>
        </w:rPr>
        <w:t>Gataullina</w:t>
      </w:r>
      <w:proofErr w:type="spellEnd"/>
      <w:r w:rsidRPr="00336FE5">
        <w:rPr>
          <w:color w:val="000000" w:themeColor="text1"/>
          <w:sz w:val="26"/>
          <w:szCs w:val="26"/>
          <w:lang w:val="en-US"/>
        </w:rPr>
        <w:t xml:space="preserve"> Albina </w:t>
      </w:r>
    </w:p>
    <w:p w:rsidR="00F41900" w:rsidRPr="00336FE5" w:rsidRDefault="00F41900" w:rsidP="00F41900">
      <w:pPr>
        <w:jc w:val="center"/>
        <w:rPr>
          <w:color w:val="000000" w:themeColor="text1"/>
          <w:sz w:val="26"/>
          <w:szCs w:val="26"/>
          <w:lang w:val="en-US"/>
        </w:rPr>
      </w:pPr>
    </w:p>
    <w:p w:rsidR="00F41900" w:rsidRPr="00336FE5" w:rsidRDefault="00F41900" w:rsidP="00F41900">
      <w:pPr>
        <w:jc w:val="center"/>
        <w:rPr>
          <w:color w:val="000000" w:themeColor="text1"/>
          <w:sz w:val="26"/>
          <w:szCs w:val="26"/>
          <w:lang w:val="en-US"/>
        </w:rPr>
      </w:pPr>
    </w:p>
    <w:p w:rsidR="00F41900" w:rsidRPr="00336FE5" w:rsidRDefault="00F41900" w:rsidP="00F41900">
      <w:pPr>
        <w:jc w:val="center"/>
        <w:rPr>
          <w:color w:val="000000" w:themeColor="text1"/>
          <w:sz w:val="26"/>
          <w:szCs w:val="26"/>
          <w:lang w:val="en-US"/>
        </w:rPr>
      </w:pPr>
    </w:p>
    <w:p w:rsidR="00F41900" w:rsidRPr="00336FE5" w:rsidRDefault="00F41900" w:rsidP="00F41900">
      <w:pPr>
        <w:rPr>
          <w:color w:val="000000" w:themeColor="text1"/>
          <w:sz w:val="26"/>
          <w:szCs w:val="26"/>
          <w:lang w:val="en-US"/>
        </w:rPr>
      </w:pPr>
      <w:r w:rsidRPr="00336FE5">
        <w:rPr>
          <w:color w:val="000000" w:themeColor="text1"/>
          <w:sz w:val="26"/>
          <w:szCs w:val="26"/>
          <w:lang w:val="en-US"/>
        </w:rPr>
        <w:t xml:space="preserve">Reviewed by: </w:t>
      </w:r>
    </w:p>
    <w:p w:rsidR="00F41900" w:rsidRPr="00336FE5" w:rsidRDefault="00F41900" w:rsidP="00F41900">
      <w:pPr>
        <w:rPr>
          <w:color w:val="000000" w:themeColor="text1"/>
          <w:sz w:val="26"/>
          <w:szCs w:val="26"/>
          <w:lang w:val="en-US"/>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F41900" w:rsidRPr="00336FE5" w:rsidTr="00CF626D">
        <w:tc>
          <w:tcPr>
            <w:tcW w:w="4672" w:type="dxa"/>
          </w:tcPr>
          <w:p w:rsidR="00F41900" w:rsidRPr="00336FE5" w:rsidRDefault="00F41900" w:rsidP="00CF626D">
            <w:pPr>
              <w:rPr>
                <w:rFonts w:ascii="Times New Roman" w:hAnsi="Times New Roman" w:cs="Times New Roman"/>
                <w:color w:val="000000" w:themeColor="text1"/>
                <w:sz w:val="26"/>
                <w:szCs w:val="26"/>
                <w:lang w:val="ru-UZ"/>
              </w:rPr>
            </w:pPr>
            <w:r w:rsidRPr="00336FE5">
              <w:rPr>
                <w:rFonts w:ascii="Times New Roman" w:hAnsi="Times New Roman" w:cs="Times New Roman"/>
                <w:color w:val="000000" w:themeColor="text1"/>
                <w:sz w:val="26"/>
                <w:szCs w:val="26"/>
                <w:lang w:val="ru-UZ"/>
              </w:rPr>
              <w:t>Nikulov S. A.</w:t>
            </w:r>
          </w:p>
          <w:p w:rsidR="00F41900" w:rsidRPr="00336FE5" w:rsidRDefault="00F41900" w:rsidP="00CF626D">
            <w:pPr>
              <w:rPr>
                <w:rFonts w:ascii="Times New Roman" w:hAnsi="Times New Roman" w:cs="Times New Roman"/>
                <w:color w:val="000000" w:themeColor="text1"/>
                <w:sz w:val="26"/>
                <w:szCs w:val="26"/>
                <w:lang w:val="en-US"/>
              </w:rPr>
            </w:pPr>
            <w:r w:rsidRPr="00336FE5">
              <w:rPr>
                <w:rFonts w:ascii="Times New Roman" w:hAnsi="Times New Roman" w:cs="Times New Roman"/>
                <w:i/>
                <w:color w:val="000000" w:themeColor="text1"/>
                <w:sz w:val="26"/>
                <w:szCs w:val="26"/>
                <w:lang w:val="ru-UZ"/>
              </w:rPr>
              <w:t>Head of University Relations, T-Bank</w:t>
            </w:r>
          </w:p>
          <w:p w:rsidR="00F41900" w:rsidRPr="00336FE5" w:rsidRDefault="00F41900" w:rsidP="00CF626D">
            <w:pPr>
              <w:rPr>
                <w:rFonts w:ascii="Times New Roman" w:hAnsi="Times New Roman" w:cs="Times New Roman"/>
                <w:i/>
                <w:color w:val="000000" w:themeColor="text1"/>
                <w:sz w:val="26"/>
                <w:szCs w:val="26"/>
                <w:lang w:val="ru-UZ"/>
              </w:rPr>
            </w:pPr>
          </w:p>
          <w:p w:rsidR="00F41900" w:rsidRPr="00336FE5" w:rsidRDefault="00F41900" w:rsidP="00CF626D">
            <w:pPr>
              <w:rPr>
                <w:rFonts w:ascii="Times New Roman" w:hAnsi="Times New Roman" w:cs="Times New Roman"/>
                <w:i/>
                <w:color w:val="000000" w:themeColor="text1"/>
                <w:sz w:val="26"/>
                <w:szCs w:val="26"/>
                <w:lang w:val="ru-UZ"/>
              </w:rPr>
            </w:pPr>
          </w:p>
          <w:p w:rsidR="00F41900" w:rsidRPr="00336FE5" w:rsidRDefault="00F41900" w:rsidP="00CF626D">
            <w:pPr>
              <w:rPr>
                <w:rFonts w:ascii="Times New Roman" w:hAnsi="Times New Roman" w:cs="Times New Roman"/>
                <w:i/>
                <w:color w:val="000000" w:themeColor="text1"/>
                <w:sz w:val="26"/>
                <w:szCs w:val="26"/>
                <w:lang w:val="ru-UZ"/>
              </w:rPr>
            </w:pPr>
          </w:p>
          <w:p w:rsidR="00F41900" w:rsidRPr="00336FE5" w:rsidRDefault="00F41900" w:rsidP="00CF626D">
            <w:pPr>
              <w:rPr>
                <w:rFonts w:ascii="Times New Roman" w:hAnsi="Times New Roman" w:cs="Times New Roman"/>
                <w:color w:val="000000" w:themeColor="text1"/>
                <w:sz w:val="26"/>
                <w:szCs w:val="26"/>
                <w:lang w:val="en-US"/>
              </w:rPr>
            </w:pPr>
            <w:r w:rsidRPr="00336FE5">
              <w:rPr>
                <w:rFonts w:ascii="Times New Roman" w:hAnsi="Times New Roman" w:cs="Times New Roman"/>
                <w:color w:val="000000" w:themeColor="text1"/>
                <w:sz w:val="26"/>
                <w:szCs w:val="26"/>
                <w:lang w:val="en-US"/>
              </w:rPr>
              <w:t xml:space="preserve">(signature) </w:t>
            </w:r>
          </w:p>
          <w:p w:rsidR="00F41900" w:rsidRPr="00336FE5" w:rsidRDefault="00F41900" w:rsidP="00CF626D">
            <w:pPr>
              <w:rPr>
                <w:rFonts w:ascii="Times New Roman" w:hAnsi="Times New Roman" w:cs="Times New Roman"/>
                <w:color w:val="000000" w:themeColor="text1"/>
                <w:sz w:val="26"/>
                <w:szCs w:val="26"/>
                <w:lang w:val="en-US"/>
              </w:rPr>
            </w:pPr>
            <w:r w:rsidRPr="00336FE5">
              <w:rPr>
                <w:rFonts w:ascii="Times New Roman" w:hAnsi="Times New Roman" w:cs="Times New Roman"/>
                <w:color w:val="000000" w:themeColor="text1"/>
                <w:sz w:val="26"/>
                <w:szCs w:val="26"/>
              </w:rPr>
              <w:t>13</w:t>
            </w:r>
            <w:r w:rsidRPr="00336FE5">
              <w:rPr>
                <w:rFonts w:ascii="Times New Roman" w:hAnsi="Times New Roman" w:cs="Times New Roman"/>
                <w:color w:val="000000" w:themeColor="text1"/>
                <w:sz w:val="26"/>
                <w:szCs w:val="26"/>
                <w:lang w:val="en-US"/>
              </w:rPr>
              <w:t>.03.2026</w:t>
            </w:r>
          </w:p>
        </w:tc>
        <w:tc>
          <w:tcPr>
            <w:tcW w:w="4673" w:type="dxa"/>
          </w:tcPr>
          <w:p w:rsidR="00F41900" w:rsidRPr="00336FE5" w:rsidRDefault="00F41900" w:rsidP="00CF626D">
            <w:pPr>
              <w:jc w:val="right"/>
              <w:rPr>
                <w:rFonts w:ascii="Times New Roman" w:hAnsi="Times New Roman" w:cs="Times New Roman"/>
                <w:color w:val="000000" w:themeColor="text1"/>
                <w:sz w:val="26"/>
                <w:szCs w:val="26"/>
                <w:lang w:val="en-US"/>
              </w:rPr>
            </w:pPr>
            <w:r w:rsidRPr="00336FE5">
              <w:rPr>
                <w:rFonts w:ascii="Times New Roman" w:hAnsi="Times New Roman" w:cs="Times New Roman"/>
                <w:color w:val="000000" w:themeColor="text1"/>
                <w:sz w:val="26"/>
                <w:szCs w:val="26"/>
                <w:lang w:val="en-US"/>
              </w:rPr>
              <w:t>Kotusev S.Y.</w:t>
            </w:r>
          </w:p>
          <w:p w:rsidR="00F41900" w:rsidRPr="00336FE5" w:rsidRDefault="00F41900" w:rsidP="00CF626D">
            <w:pPr>
              <w:jc w:val="right"/>
              <w:rPr>
                <w:rFonts w:ascii="Times New Roman" w:hAnsi="Times New Roman" w:cs="Times New Roman"/>
                <w:color w:val="000000" w:themeColor="text1"/>
                <w:sz w:val="26"/>
                <w:szCs w:val="26"/>
                <w:lang w:val="en-US"/>
              </w:rPr>
            </w:pPr>
            <w:r w:rsidRPr="00336FE5">
              <w:rPr>
                <w:rFonts w:ascii="Times New Roman" w:hAnsi="Times New Roman" w:cs="Times New Roman"/>
                <w:color w:val="000000" w:themeColor="text1"/>
                <w:sz w:val="26"/>
                <w:szCs w:val="26"/>
                <w:lang w:val="en-US"/>
              </w:rPr>
              <w:t>Professor</w:t>
            </w:r>
          </w:p>
          <w:p w:rsidR="00F41900" w:rsidRPr="00336FE5" w:rsidRDefault="00F41900" w:rsidP="00CF626D">
            <w:pPr>
              <w:jc w:val="right"/>
              <w:rPr>
                <w:rFonts w:ascii="Times New Roman" w:hAnsi="Times New Roman" w:cs="Times New Roman"/>
                <w:i/>
                <w:color w:val="000000" w:themeColor="text1"/>
                <w:sz w:val="26"/>
                <w:szCs w:val="26"/>
                <w:lang w:val="en-US"/>
              </w:rPr>
            </w:pPr>
            <w:r w:rsidRPr="00336FE5">
              <w:rPr>
                <w:rFonts w:ascii="Times New Roman" w:hAnsi="Times New Roman" w:cs="Times New Roman"/>
                <w:i/>
                <w:color w:val="000000" w:themeColor="text1"/>
                <w:sz w:val="26"/>
                <w:szCs w:val="26"/>
                <w:lang w:val="en-US"/>
              </w:rPr>
              <w:t>HSE University Supervisor</w:t>
            </w:r>
          </w:p>
          <w:p w:rsidR="00F41900" w:rsidRPr="00336FE5" w:rsidRDefault="00F41900" w:rsidP="00CF626D">
            <w:pPr>
              <w:jc w:val="right"/>
              <w:rPr>
                <w:rFonts w:ascii="Times New Roman" w:hAnsi="Times New Roman" w:cs="Times New Roman"/>
                <w:color w:val="000000" w:themeColor="text1"/>
                <w:sz w:val="26"/>
                <w:szCs w:val="26"/>
                <w:lang w:val="en-US"/>
              </w:rPr>
            </w:pPr>
          </w:p>
          <w:p w:rsidR="00F41900" w:rsidRPr="00336FE5" w:rsidRDefault="00F41900" w:rsidP="00CF626D">
            <w:pPr>
              <w:jc w:val="right"/>
              <w:rPr>
                <w:rFonts w:ascii="Times New Roman" w:hAnsi="Times New Roman" w:cs="Times New Roman"/>
                <w:color w:val="000000" w:themeColor="text1"/>
                <w:sz w:val="26"/>
                <w:szCs w:val="26"/>
                <w:lang w:val="en-US"/>
              </w:rPr>
            </w:pPr>
          </w:p>
          <w:p w:rsidR="00F41900" w:rsidRPr="00336FE5" w:rsidRDefault="00F41900" w:rsidP="00CF626D">
            <w:pPr>
              <w:jc w:val="right"/>
              <w:rPr>
                <w:rFonts w:ascii="Times New Roman" w:hAnsi="Times New Roman" w:cs="Times New Roman"/>
                <w:color w:val="000000" w:themeColor="text1"/>
                <w:sz w:val="26"/>
                <w:szCs w:val="26"/>
                <w:lang w:val="en-US"/>
              </w:rPr>
            </w:pPr>
            <w:r w:rsidRPr="00336FE5">
              <w:rPr>
                <w:rFonts w:ascii="Times New Roman" w:hAnsi="Times New Roman" w:cs="Times New Roman"/>
                <w:color w:val="000000" w:themeColor="text1"/>
                <w:sz w:val="26"/>
                <w:szCs w:val="26"/>
                <w:lang w:val="en-US"/>
              </w:rPr>
              <w:t>(signature)</w:t>
            </w:r>
          </w:p>
          <w:p w:rsidR="00F41900" w:rsidRPr="00336FE5" w:rsidRDefault="00F41900" w:rsidP="00CF626D">
            <w:pPr>
              <w:jc w:val="right"/>
              <w:rPr>
                <w:rFonts w:ascii="Times New Roman" w:hAnsi="Times New Roman" w:cs="Times New Roman"/>
                <w:color w:val="000000" w:themeColor="text1"/>
                <w:sz w:val="26"/>
                <w:szCs w:val="26"/>
                <w:lang w:val="en-US"/>
              </w:rPr>
            </w:pPr>
            <w:r w:rsidRPr="00336FE5">
              <w:rPr>
                <w:rFonts w:ascii="Times New Roman" w:hAnsi="Times New Roman" w:cs="Times New Roman"/>
                <w:color w:val="000000" w:themeColor="text1"/>
                <w:sz w:val="26"/>
                <w:szCs w:val="26"/>
                <w:lang w:val="en-US"/>
              </w:rPr>
              <w:t>19.03.2026</w:t>
            </w:r>
          </w:p>
        </w:tc>
      </w:tr>
    </w:tbl>
    <w:p w:rsidR="00F41900" w:rsidRPr="00336FE5" w:rsidRDefault="00F41900" w:rsidP="00F41900">
      <w:pPr>
        <w:rPr>
          <w:color w:val="000000" w:themeColor="text1"/>
          <w:sz w:val="26"/>
          <w:szCs w:val="26"/>
          <w:lang w:val="en-US"/>
        </w:rPr>
      </w:pPr>
    </w:p>
    <w:p w:rsidR="00F41900" w:rsidRPr="00336FE5" w:rsidRDefault="00F41900" w:rsidP="00F41900">
      <w:pPr>
        <w:rPr>
          <w:color w:val="000000" w:themeColor="text1"/>
          <w:sz w:val="26"/>
          <w:szCs w:val="26"/>
          <w:lang w:val="en-US"/>
        </w:rPr>
      </w:pPr>
    </w:p>
    <w:p w:rsidR="00F41900" w:rsidRPr="00336FE5" w:rsidRDefault="00F41900" w:rsidP="00F41900">
      <w:pPr>
        <w:rPr>
          <w:color w:val="000000" w:themeColor="text1"/>
          <w:sz w:val="26"/>
          <w:szCs w:val="26"/>
          <w:lang w:val="en-US"/>
        </w:rPr>
      </w:pPr>
    </w:p>
    <w:p w:rsidR="00F41900" w:rsidRPr="00336FE5" w:rsidRDefault="00F41900" w:rsidP="00F41900">
      <w:pPr>
        <w:rPr>
          <w:color w:val="000000" w:themeColor="text1"/>
          <w:sz w:val="26"/>
          <w:szCs w:val="26"/>
          <w:lang w:val="en-US"/>
        </w:rPr>
      </w:pPr>
    </w:p>
    <w:p w:rsidR="004C69A9" w:rsidRPr="00336FE5" w:rsidRDefault="00F41900" w:rsidP="00F41900">
      <w:pPr>
        <w:jc w:val="center"/>
        <w:rPr>
          <w:color w:val="000000" w:themeColor="text1"/>
          <w:sz w:val="26"/>
          <w:szCs w:val="26"/>
          <w:lang w:val="en-US"/>
        </w:rPr>
      </w:pPr>
      <w:r w:rsidRPr="00336FE5">
        <w:rPr>
          <w:color w:val="000000" w:themeColor="text1"/>
          <w:sz w:val="26"/>
          <w:szCs w:val="26"/>
          <w:lang w:val="en-US"/>
        </w:rPr>
        <w:t>Moscow 2026</w:t>
      </w:r>
    </w:p>
    <w:p w:rsidR="004C69A9" w:rsidRPr="00336FE5" w:rsidRDefault="00000000">
      <w:pPr>
        <w:pStyle w:val="1"/>
        <w:rPr>
          <w:color w:val="000000" w:themeColor="text1"/>
        </w:rPr>
      </w:pPr>
      <w:r w:rsidRPr="00336FE5">
        <w:rPr>
          <w:color w:val="000000" w:themeColor="text1"/>
        </w:rPr>
        <w:lastRenderedPageBreak/>
        <w:t>TABLE OF CONTENTS</w:t>
      </w:r>
    </w:p>
    <w:p w:rsidR="004C69A9" w:rsidRPr="00336FE5" w:rsidRDefault="00000000">
      <w:pPr>
        <w:tabs>
          <w:tab w:val="right" w:pos="8500"/>
        </w:tabs>
        <w:spacing w:before="40" w:after="40" w:line="280" w:lineRule="auto"/>
        <w:rPr>
          <w:color w:val="000000" w:themeColor="text1"/>
        </w:rPr>
      </w:pPr>
      <w:r w:rsidRPr="00336FE5">
        <w:rPr>
          <w:color w:val="000000" w:themeColor="text1"/>
          <w:sz w:val="22"/>
          <w:szCs w:val="22"/>
        </w:rPr>
        <w:t>ABSTRACT</w:t>
      </w:r>
      <w:r w:rsidRPr="00336FE5">
        <w:rPr>
          <w:color w:val="000000" w:themeColor="text1"/>
          <w:sz w:val="22"/>
          <w:szCs w:val="22"/>
        </w:rPr>
        <w:tab/>
        <w:t>2</w:t>
      </w:r>
    </w:p>
    <w:p w:rsidR="004C69A9" w:rsidRPr="00336FE5" w:rsidRDefault="00000000">
      <w:pPr>
        <w:tabs>
          <w:tab w:val="right" w:pos="8500"/>
        </w:tabs>
        <w:spacing w:before="40" w:after="40" w:line="280" w:lineRule="auto"/>
        <w:rPr>
          <w:color w:val="000000" w:themeColor="text1"/>
        </w:rPr>
      </w:pPr>
      <w:r w:rsidRPr="00336FE5">
        <w:rPr>
          <w:color w:val="000000" w:themeColor="text1"/>
          <w:sz w:val="22"/>
          <w:szCs w:val="22"/>
        </w:rPr>
        <w:t>INTRODUCTION</w:t>
      </w:r>
      <w:r w:rsidRPr="00336FE5">
        <w:rPr>
          <w:color w:val="000000" w:themeColor="text1"/>
          <w:sz w:val="22"/>
          <w:szCs w:val="22"/>
        </w:rPr>
        <w:tab/>
        <w:t>4</w:t>
      </w:r>
    </w:p>
    <w:p w:rsidR="004C69A9" w:rsidRPr="00336FE5" w:rsidRDefault="00000000">
      <w:pPr>
        <w:tabs>
          <w:tab w:val="right" w:pos="8500"/>
        </w:tabs>
        <w:spacing w:before="40" w:after="40" w:line="280" w:lineRule="auto"/>
        <w:rPr>
          <w:color w:val="000000" w:themeColor="text1"/>
        </w:rPr>
      </w:pPr>
      <w:r w:rsidRPr="00336FE5">
        <w:rPr>
          <w:color w:val="000000" w:themeColor="text1"/>
          <w:sz w:val="22"/>
          <w:szCs w:val="22"/>
        </w:rPr>
        <w:t>1. GENERAL OVERVIEW OF T-BANK JSC</w:t>
      </w:r>
      <w:r w:rsidRPr="00336FE5">
        <w:rPr>
          <w:color w:val="000000" w:themeColor="text1"/>
          <w:sz w:val="22"/>
          <w:szCs w:val="22"/>
        </w:rPr>
        <w:tab/>
        <w:t>6</w:t>
      </w:r>
    </w:p>
    <w:p w:rsidR="004C69A9" w:rsidRPr="00336FE5" w:rsidRDefault="00000000">
      <w:pPr>
        <w:tabs>
          <w:tab w:val="right" w:pos="8500"/>
        </w:tabs>
        <w:spacing w:before="40" w:after="40" w:line="280" w:lineRule="auto"/>
        <w:rPr>
          <w:color w:val="000000" w:themeColor="text1"/>
        </w:rPr>
      </w:pPr>
      <w:r w:rsidRPr="00336FE5">
        <w:rPr>
          <w:color w:val="000000" w:themeColor="text1"/>
          <w:sz w:val="22"/>
          <w:szCs w:val="22"/>
        </w:rPr>
        <w:t xml:space="preserve">   1.1. History and Corporate Strategy</w:t>
      </w:r>
      <w:r w:rsidRPr="00336FE5">
        <w:rPr>
          <w:color w:val="000000" w:themeColor="text1"/>
          <w:sz w:val="22"/>
          <w:szCs w:val="22"/>
        </w:rPr>
        <w:tab/>
        <w:t>6</w:t>
      </w:r>
    </w:p>
    <w:p w:rsidR="004C69A9" w:rsidRPr="00336FE5" w:rsidRDefault="00000000">
      <w:pPr>
        <w:tabs>
          <w:tab w:val="right" w:pos="8500"/>
        </w:tabs>
        <w:spacing w:before="40" w:after="40" w:line="280" w:lineRule="auto"/>
        <w:rPr>
          <w:color w:val="000000" w:themeColor="text1"/>
        </w:rPr>
      </w:pPr>
      <w:r w:rsidRPr="00336FE5">
        <w:rPr>
          <w:color w:val="000000" w:themeColor="text1"/>
          <w:sz w:val="22"/>
          <w:szCs w:val="22"/>
        </w:rPr>
        <w:t xml:space="preserve">   1.2. Organisational Structure</w:t>
      </w:r>
      <w:r w:rsidRPr="00336FE5">
        <w:rPr>
          <w:color w:val="000000" w:themeColor="text1"/>
          <w:sz w:val="22"/>
          <w:szCs w:val="22"/>
        </w:rPr>
        <w:tab/>
        <w:t>7</w:t>
      </w:r>
    </w:p>
    <w:p w:rsidR="004C69A9" w:rsidRPr="00336FE5" w:rsidRDefault="00000000">
      <w:pPr>
        <w:tabs>
          <w:tab w:val="right" w:pos="8500"/>
        </w:tabs>
        <w:spacing w:before="40" w:after="40" w:line="280" w:lineRule="auto"/>
        <w:rPr>
          <w:color w:val="000000" w:themeColor="text1"/>
        </w:rPr>
      </w:pPr>
      <w:r w:rsidRPr="00336FE5">
        <w:rPr>
          <w:color w:val="000000" w:themeColor="text1"/>
          <w:sz w:val="22"/>
          <w:szCs w:val="22"/>
        </w:rPr>
        <w:t xml:space="preserve">   1.3. Business Lines and Product Portfolio</w:t>
      </w:r>
      <w:r w:rsidRPr="00336FE5">
        <w:rPr>
          <w:color w:val="000000" w:themeColor="text1"/>
          <w:sz w:val="22"/>
          <w:szCs w:val="22"/>
        </w:rPr>
        <w:tab/>
        <w:t>8</w:t>
      </w:r>
    </w:p>
    <w:p w:rsidR="004C69A9" w:rsidRPr="00336FE5" w:rsidRDefault="00000000">
      <w:pPr>
        <w:tabs>
          <w:tab w:val="right" w:pos="8500"/>
        </w:tabs>
        <w:spacing w:before="40" w:after="40" w:line="280" w:lineRule="auto"/>
        <w:rPr>
          <w:color w:val="000000" w:themeColor="text1"/>
        </w:rPr>
      </w:pPr>
      <w:r w:rsidRPr="00336FE5">
        <w:rPr>
          <w:color w:val="000000" w:themeColor="text1"/>
          <w:sz w:val="22"/>
          <w:szCs w:val="22"/>
        </w:rPr>
        <w:t>2. THE ECOSYSTEM LENDING TEAM</w:t>
      </w:r>
      <w:r w:rsidRPr="00336FE5">
        <w:rPr>
          <w:color w:val="000000" w:themeColor="text1"/>
          <w:sz w:val="22"/>
          <w:szCs w:val="22"/>
        </w:rPr>
        <w:tab/>
        <w:t>9</w:t>
      </w:r>
    </w:p>
    <w:p w:rsidR="004C69A9" w:rsidRPr="00336FE5" w:rsidRDefault="00000000">
      <w:pPr>
        <w:tabs>
          <w:tab w:val="right" w:pos="8500"/>
        </w:tabs>
        <w:spacing w:before="40" w:after="40" w:line="280" w:lineRule="auto"/>
        <w:rPr>
          <w:color w:val="000000" w:themeColor="text1"/>
        </w:rPr>
      </w:pPr>
      <w:r w:rsidRPr="00336FE5">
        <w:rPr>
          <w:color w:val="000000" w:themeColor="text1"/>
          <w:sz w:val="22"/>
          <w:szCs w:val="22"/>
        </w:rPr>
        <w:t xml:space="preserve">   2.1. Functions and Responsibilities</w:t>
      </w:r>
      <w:r w:rsidRPr="00336FE5">
        <w:rPr>
          <w:color w:val="000000" w:themeColor="text1"/>
          <w:sz w:val="22"/>
          <w:szCs w:val="22"/>
        </w:rPr>
        <w:tab/>
        <w:t>9</w:t>
      </w:r>
    </w:p>
    <w:p w:rsidR="004C69A9" w:rsidRPr="00336FE5" w:rsidRDefault="00000000">
      <w:pPr>
        <w:tabs>
          <w:tab w:val="right" w:pos="8500"/>
        </w:tabs>
        <w:spacing w:before="40" w:after="40" w:line="280" w:lineRule="auto"/>
        <w:rPr>
          <w:color w:val="000000" w:themeColor="text1"/>
        </w:rPr>
      </w:pPr>
      <w:r w:rsidRPr="00336FE5">
        <w:rPr>
          <w:color w:val="000000" w:themeColor="text1"/>
          <w:sz w:val="22"/>
          <w:szCs w:val="22"/>
        </w:rPr>
        <w:t xml:space="preserve">   2.2. The Team's Role Within the Bank's Ecosystem</w:t>
      </w:r>
      <w:r w:rsidRPr="00336FE5">
        <w:rPr>
          <w:color w:val="000000" w:themeColor="text1"/>
          <w:sz w:val="22"/>
          <w:szCs w:val="22"/>
        </w:rPr>
        <w:tab/>
        <w:t>10</w:t>
      </w:r>
    </w:p>
    <w:p w:rsidR="004C69A9" w:rsidRPr="00336FE5" w:rsidRDefault="00000000">
      <w:pPr>
        <w:tabs>
          <w:tab w:val="right" w:pos="8500"/>
        </w:tabs>
        <w:spacing w:before="40" w:after="40" w:line="280" w:lineRule="auto"/>
        <w:rPr>
          <w:color w:val="000000" w:themeColor="text1"/>
        </w:rPr>
      </w:pPr>
      <w:r w:rsidRPr="00336FE5">
        <w:rPr>
          <w:color w:val="000000" w:themeColor="text1"/>
          <w:sz w:val="22"/>
          <w:szCs w:val="22"/>
        </w:rPr>
        <w:t>3. INTERNSHIP ACTIVITIES</w:t>
      </w:r>
      <w:r w:rsidRPr="00336FE5">
        <w:rPr>
          <w:color w:val="000000" w:themeColor="text1"/>
          <w:sz w:val="22"/>
          <w:szCs w:val="22"/>
        </w:rPr>
        <w:tab/>
        <w:t>11</w:t>
      </w:r>
    </w:p>
    <w:p w:rsidR="004C69A9" w:rsidRPr="00336FE5" w:rsidRDefault="00000000">
      <w:pPr>
        <w:tabs>
          <w:tab w:val="right" w:pos="8500"/>
        </w:tabs>
        <w:spacing w:before="40" w:after="40" w:line="280" w:lineRule="auto"/>
        <w:rPr>
          <w:color w:val="000000" w:themeColor="text1"/>
        </w:rPr>
      </w:pPr>
      <w:r w:rsidRPr="00336FE5">
        <w:rPr>
          <w:color w:val="000000" w:themeColor="text1"/>
          <w:sz w:val="22"/>
          <w:szCs w:val="22"/>
        </w:rPr>
        <w:t xml:space="preserve">   3.1. Goals and Objectives of the Internship</w:t>
      </w:r>
      <w:r w:rsidRPr="00336FE5">
        <w:rPr>
          <w:color w:val="000000" w:themeColor="text1"/>
          <w:sz w:val="22"/>
          <w:szCs w:val="22"/>
        </w:rPr>
        <w:tab/>
        <w:t>11</w:t>
      </w:r>
    </w:p>
    <w:p w:rsidR="004C69A9" w:rsidRPr="00336FE5" w:rsidRDefault="00000000">
      <w:pPr>
        <w:tabs>
          <w:tab w:val="right" w:pos="8500"/>
        </w:tabs>
        <w:spacing w:before="40" w:after="40" w:line="280" w:lineRule="auto"/>
        <w:rPr>
          <w:color w:val="000000" w:themeColor="text1"/>
        </w:rPr>
      </w:pPr>
      <w:r w:rsidRPr="00336FE5">
        <w:rPr>
          <w:color w:val="000000" w:themeColor="text1"/>
          <w:sz w:val="22"/>
          <w:szCs w:val="22"/>
        </w:rPr>
        <w:t xml:space="preserve">   3.2. Study of Scoring Models</w:t>
      </w:r>
      <w:r w:rsidRPr="00336FE5">
        <w:rPr>
          <w:color w:val="000000" w:themeColor="text1"/>
          <w:sz w:val="22"/>
          <w:szCs w:val="22"/>
        </w:rPr>
        <w:tab/>
        <w:t>12</w:t>
      </w:r>
    </w:p>
    <w:p w:rsidR="004C69A9" w:rsidRPr="00336FE5" w:rsidRDefault="00000000">
      <w:pPr>
        <w:tabs>
          <w:tab w:val="right" w:pos="8500"/>
        </w:tabs>
        <w:spacing w:before="40" w:after="40" w:line="280" w:lineRule="auto"/>
        <w:rPr>
          <w:color w:val="000000" w:themeColor="text1"/>
        </w:rPr>
      </w:pPr>
      <w:r w:rsidRPr="00336FE5">
        <w:rPr>
          <w:color w:val="000000" w:themeColor="text1"/>
          <w:sz w:val="22"/>
          <w:szCs w:val="22"/>
        </w:rPr>
        <w:t xml:space="preserve">   3.3. The Pre-Approved Offer Formation Process</w:t>
      </w:r>
      <w:r w:rsidRPr="00336FE5">
        <w:rPr>
          <w:color w:val="000000" w:themeColor="text1"/>
          <w:sz w:val="22"/>
          <w:szCs w:val="22"/>
        </w:rPr>
        <w:tab/>
        <w:t>14</w:t>
      </w:r>
    </w:p>
    <w:p w:rsidR="004C69A9" w:rsidRPr="00336FE5" w:rsidRDefault="00000000">
      <w:pPr>
        <w:tabs>
          <w:tab w:val="right" w:pos="8500"/>
        </w:tabs>
        <w:spacing w:before="40" w:after="40" w:line="280" w:lineRule="auto"/>
        <w:rPr>
          <w:color w:val="000000" w:themeColor="text1"/>
        </w:rPr>
      </w:pPr>
      <w:r w:rsidRPr="00336FE5">
        <w:rPr>
          <w:color w:val="000000" w:themeColor="text1"/>
          <w:sz w:val="22"/>
          <w:szCs w:val="22"/>
        </w:rPr>
        <w:t xml:space="preserve">   3.4. The Pre-Approved Offer Sales Process</w:t>
      </w:r>
      <w:r w:rsidRPr="00336FE5">
        <w:rPr>
          <w:color w:val="000000" w:themeColor="text1"/>
          <w:sz w:val="22"/>
          <w:szCs w:val="22"/>
        </w:rPr>
        <w:tab/>
        <w:t>16</w:t>
      </w:r>
    </w:p>
    <w:p w:rsidR="004C69A9" w:rsidRPr="00336FE5" w:rsidRDefault="00000000">
      <w:pPr>
        <w:tabs>
          <w:tab w:val="right" w:pos="8500"/>
        </w:tabs>
        <w:spacing w:before="40" w:after="40" w:line="280" w:lineRule="auto"/>
        <w:rPr>
          <w:color w:val="000000" w:themeColor="text1"/>
        </w:rPr>
      </w:pPr>
      <w:r w:rsidRPr="00336FE5">
        <w:rPr>
          <w:color w:val="000000" w:themeColor="text1"/>
          <w:sz w:val="22"/>
          <w:szCs w:val="22"/>
        </w:rPr>
        <w:t>4. A/B TESTING OF SALES STRATEGIES</w:t>
      </w:r>
      <w:r w:rsidRPr="00336FE5">
        <w:rPr>
          <w:color w:val="000000" w:themeColor="text1"/>
          <w:sz w:val="22"/>
          <w:szCs w:val="22"/>
        </w:rPr>
        <w:tab/>
        <w:t>18</w:t>
      </w:r>
    </w:p>
    <w:p w:rsidR="004C69A9" w:rsidRPr="00336FE5" w:rsidRDefault="00000000">
      <w:pPr>
        <w:tabs>
          <w:tab w:val="right" w:pos="8500"/>
        </w:tabs>
        <w:spacing w:before="40" w:after="40" w:line="280" w:lineRule="auto"/>
        <w:rPr>
          <w:color w:val="000000" w:themeColor="text1"/>
        </w:rPr>
      </w:pPr>
      <w:r w:rsidRPr="00336FE5">
        <w:rPr>
          <w:color w:val="000000" w:themeColor="text1"/>
          <w:sz w:val="22"/>
          <w:szCs w:val="22"/>
        </w:rPr>
        <w:t xml:space="preserve">   4.1. Testing Methodology</w:t>
      </w:r>
      <w:r w:rsidRPr="00336FE5">
        <w:rPr>
          <w:color w:val="000000" w:themeColor="text1"/>
          <w:sz w:val="22"/>
          <w:szCs w:val="22"/>
        </w:rPr>
        <w:tab/>
        <w:t>18</w:t>
      </w:r>
    </w:p>
    <w:p w:rsidR="004C69A9" w:rsidRPr="00336FE5" w:rsidRDefault="00000000">
      <w:pPr>
        <w:tabs>
          <w:tab w:val="right" w:pos="8500"/>
        </w:tabs>
        <w:spacing w:before="40" w:after="40" w:line="280" w:lineRule="auto"/>
        <w:rPr>
          <w:color w:val="000000" w:themeColor="text1"/>
        </w:rPr>
      </w:pPr>
      <w:r w:rsidRPr="00336FE5">
        <w:rPr>
          <w:color w:val="000000" w:themeColor="text1"/>
          <w:sz w:val="22"/>
          <w:szCs w:val="22"/>
        </w:rPr>
        <w:t xml:space="preserve">   4.2. Description of Full-Prove and Full-Flow Strategies</w:t>
      </w:r>
      <w:r w:rsidRPr="00336FE5">
        <w:rPr>
          <w:color w:val="000000" w:themeColor="text1"/>
          <w:sz w:val="22"/>
          <w:szCs w:val="22"/>
        </w:rPr>
        <w:tab/>
        <w:t>19</w:t>
      </w:r>
    </w:p>
    <w:p w:rsidR="004C69A9" w:rsidRPr="00336FE5" w:rsidRDefault="00000000">
      <w:pPr>
        <w:tabs>
          <w:tab w:val="right" w:pos="8500"/>
        </w:tabs>
        <w:spacing w:before="40" w:after="40" w:line="280" w:lineRule="auto"/>
        <w:rPr>
          <w:color w:val="000000" w:themeColor="text1"/>
        </w:rPr>
      </w:pPr>
      <w:r w:rsidRPr="00336FE5">
        <w:rPr>
          <w:color w:val="000000" w:themeColor="text1"/>
          <w:sz w:val="22"/>
          <w:szCs w:val="22"/>
        </w:rPr>
        <w:t xml:space="preserve">   4.3. Test Results</w:t>
      </w:r>
      <w:r w:rsidRPr="00336FE5">
        <w:rPr>
          <w:color w:val="000000" w:themeColor="text1"/>
          <w:sz w:val="22"/>
          <w:szCs w:val="22"/>
        </w:rPr>
        <w:tab/>
        <w:t>20</w:t>
      </w:r>
    </w:p>
    <w:p w:rsidR="004C69A9" w:rsidRPr="00336FE5" w:rsidRDefault="00000000">
      <w:pPr>
        <w:tabs>
          <w:tab w:val="right" w:pos="8500"/>
        </w:tabs>
        <w:spacing w:before="40" w:after="40" w:line="280" w:lineRule="auto"/>
        <w:rPr>
          <w:color w:val="000000" w:themeColor="text1"/>
        </w:rPr>
      </w:pPr>
      <w:r w:rsidRPr="00336FE5">
        <w:rPr>
          <w:color w:val="000000" w:themeColor="text1"/>
          <w:sz w:val="22"/>
          <w:szCs w:val="22"/>
        </w:rPr>
        <w:t>5. CONNECTION BETWEEN THE INTERNSHIP AND THE THESIS</w:t>
      </w:r>
      <w:r w:rsidRPr="00336FE5">
        <w:rPr>
          <w:color w:val="000000" w:themeColor="text1"/>
          <w:sz w:val="22"/>
          <w:szCs w:val="22"/>
        </w:rPr>
        <w:tab/>
        <w:t>22</w:t>
      </w:r>
    </w:p>
    <w:p w:rsidR="004C69A9" w:rsidRPr="00336FE5" w:rsidRDefault="00000000">
      <w:pPr>
        <w:tabs>
          <w:tab w:val="right" w:pos="8500"/>
        </w:tabs>
        <w:spacing w:before="40" w:after="40" w:line="280" w:lineRule="auto"/>
        <w:rPr>
          <w:color w:val="000000" w:themeColor="text1"/>
        </w:rPr>
      </w:pPr>
      <w:r w:rsidRPr="00336FE5">
        <w:rPr>
          <w:color w:val="000000" w:themeColor="text1"/>
          <w:sz w:val="22"/>
          <w:szCs w:val="22"/>
        </w:rPr>
        <w:t>CONCLUSIONS AND RECOMMENDATIONS</w:t>
      </w:r>
      <w:r w:rsidRPr="00336FE5">
        <w:rPr>
          <w:color w:val="000000" w:themeColor="text1"/>
          <w:sz w:val="22"/>
          <w:szCs w:val="22"/>
        </w:rPr>
        <w:tab/>
        <w:t>23</w:t>
      </w:r>
    </w:p>
    <w:p w:rsidR="004C69A9" w:rsidRPr="00336FE5" w:rsidRDefault="00000000">
      <w:pPr>
        <w:tabs>
          <w:tab w:val="right" w:pos="8500"/>
        </w:tabs>
        <w:spacing w:before="40" w:after="40" w:line="280" w:lineRule="auto"/>
        <w:rPr>
          <w:color w:val="000000" w:themeColor="text1"/>
        </w:rPr>
      </w:pPr>
      <w:r w:rsidRPr="00336FE5">
        <w:rPr>
          <w:color w:val="000000" w:themeColor="text1"/>
          <w:sz w:val="22"/>
          <w:szCs w:val="22"/>
        </w:rPr>
        <w:t>BIBLIOGRAPHY</w:t>
      </w:r>
      <w:r w:rsidRPr="00336FE5">
        <w:rPr>
          <w:color w:val="000000" w:themeColor="text1"/>
          <w:sz w:val="22"/>
          <w:szCs w:val="22"/>
        </w:rPr>
        <w:tab/>
        <w:t>25</w:t>
      </w:r>
    </w:p>
    <w:p w:rsidR="004C69A9" w:rsidRPr="00336FE5" w:rsidRDefault="00000000">
      <w:pPr>
        <w:rPr>
          <w:color w:val="000000" w:themeColor="text1"/>
        </w:rPr>
      </w:pPr>
      <w:r w:rsidRPr="00336FE5">
        <w:rPr>
          <w:color w:val="000000" w:themeColor="text1"/>
        </w:rPr>
        <w:br w:type="page"/>
      </w:r>
    </w:p>
    <w:p w:rsidR="004C69A9" w:rsidRPr="00336FE5" w:rsidRDefault="00000000">
      <w:pPr>
        <w:pStyle w:val="1"/>
        <w:rPr>
          <w:color w:val="000000" w:themeColor="text1"/>
        </w:rPr>
      </w:pPr>
      <w:r w:rsidRPr="00336FE5">
        <w:rPr>
          <w:color w:val="000000" w:themeColor="text1"/>
        </w:rPr>
        <w:lastRenderedPageBreak/>
        <w:t>INTRODUCTION</w:t>
      </w:r>
    </w:p>
    <w:p w:rsidR="004C69A9" w:rsidRPr="00336FE5" w:rsidRDefault="00000000">
      <w:pPr>
        <w:spacing w:before="60" w:after="60" w:line="360" w:lineRule="auto"/>
        <w:ind w:firstLine="720"/>
        <w:jc w:val="both"/>
        <w:rPr>
          <w:color w:val="000000" w:themeColor="text1"/>
        </w:rPr>
      </w:pPr>
      <w:r w:rsidRPr="00336FE5">
        <w:rPr>
          <w:color w:val="000000" w:themeColor="text1"/>
        </w:rPr>
        <w:t>The Russian banking industry is undergoing a period of profound digital transformation. Against a backdrop of intensifying competition, an increasingly complex regulatory environment, and rising customer expectations, financial institutions are compelled to seek new tools for optimising credit processes. One of the most promising directions in this context is the application of intelligent scoring models that enable the generation of personalised pre-approved loan offers for legal entities.</w:t>
      </w:r>
    </w:p>
    <w:p w:rsidR="004C69A9" w:rsidRPr="00336FE5" w:rsidRDefault="00000000">
      <w:pPr>
        <w:spacing w:before="60" w:after="60" w:line="360" w:lineRule="auto"/>
        <w:ind w:firstLine="720"/>
        <w:jc w:val="both"/>
        <w:rPr>
          <w:color w:val="000000" w:themeColor="text1"/>
        </w:rPr>
      </w:pPr>
      <w:r w:rsidRPr="00336FE5">
        <w:rPr>
          <w:color w:val="000000" w:themeColor="text1"/>
        </w:rPr>
        <w:t>This internship was completed at TBank — one of Russia's largest digital banks — within the Ecosystem Lending team. TBank is a recognised leader in technological financial solutions, actively employing machine learning and big data analytics in its credit underwriting and risk management processes. Working in such an innovative environment provided a rare opportunity to study advanced practices for generating pre-approved offers based on data from external sources — in particular, the United Credit Bureau (UCB).</w:t>
      </w:r>
    </w:p>
    <w:p w:rsidR="004C69A9" w:rsidRPr="00336FE5" w:rsidRDefault="00000000">
      <w:pPr>
        <w:spacing w:before="60" w:after="60" w:line="360" w:lineRule="auto"/>
        <w:ind w:firstLine="720"/>
        <w:jc w:val="both"/>
        <w:rPr>
          <w:color w:val="000000" w:themeColor="text1"/>
        </w:rPr>
      </w:pPr>
      <w:r w:rsidRPr="00336FE5">
        <w:rPr>
          <w:color w:val="000000" w:themeColor="text1"/>
        </w:rPr>
        <w:t>The topic of the undergraduate thesis — "Using Scoring Models to Generate Pre-Approved Proposals for Legal Entities Based on UCB Data" — aligns organically with the tasks of the internship. UCB data constitute a rich source of information on the credit history and payment behaviour of borrowers, and their integration into bank scoring systems opens significant opportunities for improving the accuracy of credit risk assessment.</w:t>
      </w:r>
    </w:p>
    <w:p w:rsidR="004C69A9" w:rsidRPr="00336FE5" w:rsidRDefault="00000000">
      <w:pPr>
        <w:spacing w:before="60" w:after="60" w:line="360" w:lineRule="auto"/>
        <w:ind w:firstLine="720"/>
        <w:jc w:val="both"/>
        <w:rPr>
          <w:color w:val="000000" w:themeColor="text1"/>
        </w:rPr>
      </w:pPr>
      <w:r w:rsidRPr="00336FE5">
        <w:rPr>
          <w:color w:val="000000" w:themeColor="text1"/>
        </w:rPr>
        <w:t>The purpose of this report is to systematise the knowledge acquired during the internship and to demonstrate its connection to the research work. The following main tasks were completed during the internship:</w:t>
      </w:r>
    </w:p>
    <w:p w:rsidR="004C69A9" w:rsidRPr="00336FE5" w:rsidRDefault="00000000">
      <w:pPr>
        <w:pStyle w:val="a4"/>
        <w:numPr>
          <w:ilvl w:val="0"/>
          <w:numId w:val="2"/>
        </w:numPr>
        <w:spacing w:before="40" w:after="40" w:line="360" w:lineRule="auto"/>
        <w:jc w:val="both"/>
        <w:rPr>
          <w:color w:val="000000" w:themeColor="text1"/>
        </w:rPr>
      </w:pPr>
      <w:r w:rsidRPr="00336FE5">
        <w:rPr>
          <w:color w:val="000000" w:themeColor="text1"/>
        </w:rPr>
        <w:t>studying the principles of construction and operation of scoring models at T-Bank;</w:t>
      </w:r>
    </w:p>
    <w:p w:rsidR="004C69A9" w:rsidRPr="00336FE5" w:rsidRDefault="00000000">
      <w:pPr>
        <w:pStyle w:val="a4"/>
        <w:numPr>
          <w:ilvl w:val="0"/>
          <w:numId w:val="2"/>
        </w:numPr>
        <w:spacing w:before="40" w:after="40" w:line="360" w:lineRule="auto"/>
        <w:jc w:val="both"/>
        <w:rPr>
          <w:color w:val="000000" w:themeColor="text1"/>
        </w:rPr>
      </w:pPr>
      <w:r w:rsidRPr="00336FE5">
        <w:rPr>
          <w:color w:val="000000" w:themeColor="text1"/>
        </w:rPr>
        <w:t>describing the process of forming pre-approved credit offers for legal entities;</w:t>
      </w:r>
    </w:p>
    <w:p w:rsidR="004C69A9" w:rsidRPr="00336FE5" w:rsidRDefault="00000000">
      <w:pPr>
        <w:pStyle w:val="a4"/>
        <w:numPr>
          <w:ilvl w:val="0"/>
          <w:numId w:val="2"/>
        </w:numPr>
        <w:spacing w:before="40" w:after="40" w:line="360" w:lineRule="auto"/>
        <w:jc w:val="both"/>
        <w:rPr>
          <w:color w:val="000000" w:themeColor="text1"/>
        </w:rPr>
      </w:pPr>
      <w:r w:rsidRPr="00336FE5">
        <w:rPr>
          <w:color w:val="000000" w:themeColor="text1"/>
        </w:rPr>
        <w:t>analysing the existing sales processes for such offers;</w:t>
      </w:r>
    </w:p>
    <w:p w:rsidR="004C69A9" w:rsidRPr="00336FE5" w:rsidRDefault="00000000">
      <w:pPr>
        <w:pStyle w:val="a4"/>
        <w:numPr>
          <w:ilvl w:val="0"/>
          <w:numId w:val="2"/>
        </w:numPr>
        <w:spacing w:before="40" w:after="40" w:line="360" w:lineRule="auto"/>
        <w:jc w:val="both"/>
        <w:rPr>
          <w:color w:val="000000" w:themeColor="text1"/>
        </w:rPr>
      </w:pPr>
      <w:r w:rsidRPr="00336FE5">
        <w:rPr>
          <w:color w:val="000000" w:themeColor="text1"/>
        </w:rPr>
        <w:t>conducting an A/B test comparing the Full-Prove and Full-Flow strategies;</w:t>
      </w:r>
    </w:p>
    <w:p w:rsidR="004C69A9" w:rsidRPr="00336FE5" w:rsidRDefault="00000000">
      <w:pPr>
        <w:pStyle w:val="a4"/>
        <w:numPr>
          <w:ilvl w:val="0"/>
          <w:numId w:val="2"/>
        </w:numPr>
        <w:spacing w:before="40" w:after="40" w:line="360" w:lineRule="auto"/>
        <w:jc w:val="both"/>
        <w:rPr>
          <w:color w:val="000000" w:themeColor="text1"/>
        </w:rPr>
      </w:pPr>
      <w:r w:rsidRPr="00336FE5">
        <w:rPr>
          <w:color w:val="000000" w:themeColor="text1"/>
        </w:rPr>
        <w:t>formulating conclusions and practical recommendations.</w:t>
      </w:r>
    </w:p>
    <w:p w:rsidR="004C69A9" w:rsidRPr="00336FE5" w:rsidRDefault="00000000">
      <w:pPr>
        <w:spacing w:before="60" w:after="60" w:line="360" w:lineRule="auto"/>
        <w:ind w:firstLine="720"/>
        <w:jc w:val="both"/>
        <w:rPr>
          <w:color w:val="000000" w:themeColor="text1"/>
        </w:rPr>
      </w:pPr>
      <w:r w:rsidRPr="00336FE5">
        <w:rPr>
          <w:color w:val="000000" w:themeColor="text1"/>
        </w:rPr>
        <w:t>The report is structured as follows: Chapter 1 provides a general overview of T-Bank; Chapter 2 describes the Ecosystem Lending team; Chapter 3 covers the internship content and the processes studied; Chapter 4 presents the A/B test; Chapter 5 connects the internship to the thesis. The report concludes with recommendations and a bibliography.</w:t>
      </w:r>
    </w:p>
    <w:p w:rsidR="004C69A9" w:rsidRPr="00336FE5" w:rsidRDefault="00000000">
      <w:pPr>
        <w:spacing w:before="60" w:after="60" w:line="360" w:lineRule="auto"/>
        <w:ind w:firstLine="720"/>
        <w:jc w:val="both"/>
        <w:rPr>
          <w:color w:val="000000" w:themeColor="text1"/>
        </w:rPr>
      </w:pPr>
      <w:r w:rsidRPr="00336FE5">
        <w:rPr>
          <w:color w:val="000000" w:themeColor="text1"/>
        </w:rPr>
        <w:t xml:space="preserve">In preparing this report, the author drew on publicly available information about T-Bank's operations, academic literature on credit scoring and risk assessment, and internal </w:t>
      </w:r>
      <w:r w:rsidRPr="00336FE5">
        <w:rPr>
          <w:color w:val="000000" w:themeColor="text1"/>
        </w:rPr>
        <w:lastRenderedPageBreak/>
        <w:t>observations and analytical materials accessible during the internship. Certain information has been deliberately generalised or described at a high level in accordance with the organisation's commercial confidentiality requirements.</w:t>
      </w:r>
    </w:p>
    <w:p w:rsidR="004C69A9" w:rsidRPr="00336FE5" w:rsidRDefault="00000000">
      <w:pPr>
        <w:rPr>
          <w:color w:val="000000" w:themeColor="text1"/>
        </w:rPr>
      </w:pPr>
      <w:r w:rsidRPr="00336FE5">
        <w:rPr>
          <w:color w:val="000000" w:themeColor="text1"/>
        </w:rPr>
        <w:br w:type="page"/>
      </w:r>
    </w:p>
    <w:p w:rsidR="004C69A9" w:rsidRPr="00336FE5" w:rsidRDefault="00000000">
      <w:pPr>
        <w:pStyle w:val="1"/>
        <w:rPr>
          <w:color w:val="000000" w:themeColor="text1"/>
        </w:rPr>
      </w:pPr>
      <w:r w:rsidRPr="00336FE5">
        <w:rPr>
          <w:color w:val="000000" w:themeColor="text1"/>
        </w:rPr>
        <w:lastRenderedPageBreak/>
        <w:t>1. GENERAL OVERVIEW OF T-BANK JSC</w:t>
      </w:r>
    </w:p>
    <w:p w:rsidR="004C69A9" w:rsidRPr="00336FE5" w:rsidRDefault="00000000">
      <w:pPr>
        <w:pStyle w:val="2"/>
        <w:rPr>
          <w:color w:val="000000" w:themeColor="text1"/>
        </w:rPr>
      </w:pPr>
      <w:r w:rsidRPr="00336FE5">
        <w:rPr>
          <w:color w:val="000000" w:themeColor="text1"/>
        </w:rPr>
        <w:t>1.1. History and Corporate Strategy</w:t>
      </w:r>
    </w:p>
    <w:p w:rsidR="004C69A9" w:rsidRPr="00336FE5" w:rsidRDefault="00000000">
      <w:pPr>
        <w:spacing w:before="60" w:after="60" w:line="360" w:lineRule="auto"/>
        <w:ind w:firstLine="720"/>
        <w:jc w:val="both"/>
        <w:rPr>
          <w:color w:val="000000" w:themeColor="text1"/>
        </w:rPr>
      </w:pPr>
      <w:r w:rsidRPr="00336FE5">
        <w:rPr>
          <w:color w:val="000000" w:themeColor="text1"/>
        </w:rPr>
        <w:t>TBank is a Russian commercial bank founded in 2006 by entrepreneur Oleg Tinkov. Throughout its history, the bank has adhered to a remote-service model: all products and services are delivered exclusively in digital format, without a traditional branch network. This distinctive feature became the bank's key competitive advantage, enabling it to rapidly expand its customer base as mobile technology became widespread.</w:t>
      </w:r>
    </w:p>
    <w:p w:rsidR="004C69A9" w:rsidRPr="00336FE5" w:rsidRDefault="00000000">
      <w:pPr>
        <w:spacing w:before="60" w:after="60" w:line="360" w:lineRule="auto"/>
        <w:ind w:firstLine="720"/>
        <w:jc w:val="both"/>
        <w:rPr>
          <w:color w:val="000000" w:themeColor="text1"/>
        </w:rPr>
      </w:pPr>
      <w:r w:rsidRPr="00336FE5">
        <w:rPr>
          <w:color w:val="000000" w:themeColor="text1"/>
        </w:rPr>
        <w:t>In 2020, the bank was acquired by Vladimir Potanin's Interros Group, and in 2022 it became part of TCS Group Holding. In 2024, as part of a strategic transformation, a rebranding was carried out: the bank received its new name — TBank — and its parent structure was renamed T</w:t>
      </w:r>
      <w:r w:rsidR="004A21B0" w:rsidRPr="00336FE5">
        <w:rPr>
          <w:color w:val="000000" w:themeColor="text1"/>
          <w:lang w:val="en-US"/>
        </w:rPr>
        <w:t>-</w:t>
      </w:r>
      <w:r w:rsidRPr="00336FE5">
        <w:rPr>
          <w:color w:val="000000" w:themeColor="text1"/>
        </w:rPr>
        <w:t>Technologies. The rebranding reflected the company's ambition to move beyond traditional banking and position itself as a universal technology ecosystem.</w:t>
      </w:r>
    </w:p>
    <w:p w:rsidR="004C69A9" w:rsidRPr="00336FE5" w:rsidRDefault="00000000">
      <w:pPr>
        <w:spacing w:before="60" w:after="60" w:line="360" w:lineRule="auto"/>
        <w:ind w:firstLine="720"/>
        <w:jc w:val="both"/>
        <w:rPr>
          <w:color w:val="000000" w:themeColor="text1"/>
        </w:rPr>
      </w:pPr>
      <w:r w:rsidRPr="00336FE5">
        <w:rPr>
          <w:color w:val="000000" w:themeColor="text1"/>
        </w:rPr>
        <w:t>As of early 2025, TBank serves more than 40 million clients — individuals and legal entities — and ranks among the top five largest banks in Russia by number of active retail customers. The bank holds leading positions in the credit card, online deposit, and SME current account segments, and is actively developing investment, insurance, telecommunications, and e-commerce offerings.</w:t>
      </w:r>
    </w:p>
    <w:p w:rsidR="004C69A9" w:rsidRPr="00336FE5" w:rsidRDefault="00000000">
      <w:pPr>
        <w:spacing w:before="60" w:after="60" w:line="360" w:lineRule="auto"/>
        <w:ind w:firstLine="720"/>
        <w:jc w:val="both"/>
        <w:rPr>
          <w:color w:val="000000" w:themeColor="text1"/>
        </w:rPr>
      </w:pPr>
      <w:r w:rsidRPr="00336FE5">
        <w:rPr>
          <w:color w:val="000000" w:themeColor="text1"/>
        </w:rPr>
        <w:t>TBank's strategy rests on three core principles: client-centricity — all products are designed around genuine user needs; technological leadership — the bank invests heavily in proprietary IT solutions and artificial intelligence; and ecosystem thinking — the bank aims to become a universal platform giving clients access to a wide range of financial and non-financial services.</w:t>
      </w:r>
    </w:p>
    <w:p w:rsidR="004C69A9" w:rsidRPr="00336FE5" w:rsidRDefault="00000000">
      <w:pPr>
        <w:pStyle w:val="2"/>
        <w:rPr>
          <w:color w:val="000000" w:themeColor="text1"/>
        </w:rPr>
      </w:pPr>
      <w:r w:rsidRPr="00336FE5">
        <w:rPr>
          <w:color w:val="000000" w:themeColor="text1"/>
        </w:rPr>
        <w:t>1.2. Organisational Structure</w:t>
      </w:r>
    </w:p>
    <w:p w:rsidR="004C69A9" w:rsidRPr="00336FE5" w:rsidRDefault="00000000">
      <w:pPr>
        <w:spacing w:before="60" w:after="60" w:line="360" w:lineRule="auto"/>
        <w:ind w:firstLine="720"/>
        <w:jc w:val="both"/>
        <w:rPr>
          <w:color w:val="000000" w:themeColor="text1"/>
        </w:rPr>
      </w:pPr>
      <w:r w:rsidRPr="00336FE5">
        <w:rPr>
          <w:color w:val="000000" w:themeColor="text1"/>
        </w:rPr>
        <w:t>TBank's organisational structure is formally a line-and-staff model with elements of matrix management, which is characteristic of modern technology companies. The supreme governing body is the General Meeting of Shareholders. The Board of Directors exercises strategic oversight, while day-to-day management is delegated to the Management Board, headed by the Chairman.</w:t>
      </w:r>
    </w:p>
    <w:p w:rsidR="004C69A9" w:rsidRPr="00336FE5" w:rsidRDefault="00000000">
      <w:pPr>
        <w:spacing w:before="60" w:after="60" w:line="360" w:lineRule="auto"/>
        <w:ind w:firstLine="720"/>
        <w:jc w:val="both"/>
        <w:rPr>
          <w:color w:val="000000" w:themeColor="text1"/>
        </w:rPr>
      </w:pPr>
      <w:r w:rsidRPr="00336FE5">
        <w:rPr>
          <w:color w:val="000000" w:themeColor="text1"/>
        </w:rPr>
        <w:t>At the operational management level, the bank is structured around business verticals, each covering a specific customer segment or product category:</w:t>
      </w:r>
    </w:p>
    <w:p w:rsidR="004C69A9" w:rsidRPr="00336FE5" w:rsidRDefault="00000000">
      <w:pPr>
        <w:pStyle w:val="a4"/>
        <w:numPr>
          <w:ilvl w:val="0"/>
          <w:numId w:val="2"/>
        </w:numPr>
        <w:spacing w:before="40" w:after="40" w:line="360" w:lineRule="auto"/>
        <w:jc w:val="both"/>
        <w:rPr>
          <w:color w:val="000000" w:themeColor="text1"/>
        </w:rPr>
      </w:pPr>
      <w:r w:rsidRPr="00336FE5">
        <w:rPr>
          <w:color w:val="000000" w:themeColor="text1"/>
        </w:rPr>
        <w:t>Retail Business — credit cards, consumer loans, deposits, debit cards for individuals;</w:t>
      </w:r>
    </w:p>
    <w:p w:rsidR="004C69A9" w:rsidRPr="00336FE5" w:rsidRDefault="00000000">
      <w:pPr>
        <w:pStyle w:val="a4"/>
        <w:numPr>
          <w:ilvl w:val="0"/>
          <w:numId w:val="2"/>
        </w:numPr>
        <w:spacing w:before="40" w:after="40" w:line="360" w:lineRule="auto"/>
        <w:jc w:val="both"/>
        <w:rPr>
          <w:color w:val="000000" w:themeColor="text1"/>
        </w:rPr>
      </w:pPr>
      <w:r w:rsidRPr="00336FE5">
        <w:rPr>
          <w:color w:val="000000" w:themeColor="text1"/>
        </w:rPr>
        <w:t>Small and Medium Business (SMB) — current account services, lending, acquiring;</w:t>
      </w:r>
    </w:p>
    <w:p w:rsidR="004C69A9" w:rsidRPr="00336FE5" w:rsidRDefault="00000000">
      <w:pPr>
        <w:pStyle w:val="a4"/>
        <w:numPr>
          <w:ilvl w:val="0"/>
          <w:numId w:val="2"/>
        </w:numPr>
        <w:spacing w:before="40" w:after="40" w:line="360" w:lineRule="auto"/>
        <w:jc w:val="both"/>
        <w:rPr>
          <w:color w:val="000000" w:themeColor="text1"/>
        </w:rPr>
      </w:pPr>
      <w:r w:rsidRPr="00336FE5">
        <w:rPr>
          <w:color w:val="000000" w:themeColor="text1"/>
        </w:rPr>
        <w:lastRenderedPageBreak/>
        <w:t>Investments and Brokerage — trading accounts, individual investment accounts, ETFs, structured products;</w:t>
      </w:r>
    </w:p>
    <w:p w:rsidR="004C69A9" w:rsidRPr="00336FE5" w:rsidRDefault="00000000">
      <w:pPr>
        <w:pStyle w:val="a4"/>
        <w:numPr>
          <w:ilvl w:val="0"/>
          <w:numId w:val="2"/>
        </w:numPr>
        <w:spacing w:before="40" w:after="40" w:line="360" w:lineRule="auto"/>
        <w:jc w:val="both"/>
        <w:rPr>
          <w:color w:val="000000" w:themeColor="text1"/>
        </w:rPr>
      </w:pPr>
      <w:r w:rsidRPr="00336FE5">
        <w:rPr>
          <w:color w:val="000000" w:themeColor="text1"/>
        </w:rPr>
        <w:t>Insurance — both proprietary and partner insurance products;</w:t>
      </w:r>
    </w:p>
    <w:p w:rsidR="004C69A9" w:rsidRPr="00336FE5" w:rsidRDefault="00000000">
      <w:pPr>
        <w:pStyle w:val="a4"/>
        <w:numPr>
          <w:ilvl w:val="0"/>
          <w:numId w:val="2"/>
        </w:numPr>
        <w:spacing w:before="40" w:after="40" w:line="360" w:lineRule="auto"/>
        <w:jc w:val="both"/>
        <w:rPr>
          <w:color w:val="000000" w:themeColor="text1"/>
        </w:rPr>
      </w:pPr>
      <w:r w:rsidRPr="00336FE5">
        <w:rPr>
          <w:color w:val="000000" w:themeColor="text1"/>
        </w:rPr>
        <w:t>Telecommunications — the Tinkoff Mobile virtual network operator;</w:t>
      </w:r>
    </w:p>
    <w:p w:rsidR="004C69A9" w:rsidRPr="00336FE5" w:rsidRDefault="00000000">
      <w:pPr>
        <w:pStyle w:val="a4"/>
        <w:numPr>
          <w:ilvl w:val="0"/>
          <w:numId w:val="2"/>
        </w:numPr>
        <w:spacing w:before="40" w:after="40" w:line="360" w:lineRule="auto"/>
        <w:jc w:val="both"/>
        <w:rPr>
          <w:color w:val="000000" w:themeColor="text1"/>
        </w:rPr>
      </w:pPr>
      <w:r w:rsidRPr="00336FE5">
        <w:rPr>
          <w:color w:val="000000" w:themeColor="text1"/>
        </w:rPr>
        <w:t>Technology and Development — in-house IT products, machine learning, platform infrastructure.</w:t>
      </w:r>
    </w:p>
    <w:p w:rsidR="004C69A9" w:rsidRPr="00336FE5" w:rsidRDefault="00000000">
      <w:pPr>
        <w:spacing w:before="60" w:after="60" w:line="360" w:lineRule="auto"/>
        <w:ind w:firstLine="720"/>
        <w:jc w:val="both"/>
        <w:rPr>
          <w:color w:val="000000" w:themeColor="text1"/>
        </w:rPr>
      </w:pPr>
      <w:r w:rsidRPr="00336FE5">
        <w:rPr>
          <w:color w:val="000000" w:themeColor="text1"/>
        </w:rPr>
        <w:t>Within each vertical, product teams (tribes and squads) operate according to Agile methodology. Each squad is cross-functional, comprising a product manager, developers, data analysts, designers, and risk specialists. This structure ensures a high speed of product launches and flexibility in responding to evolving customer needs.</w:t>
      </w:r>
    </w:p>
    <w:p w:rsidR="004C69A9" w:rsidRPr="00336FE5" w:rsidRDefault="00000000">
      <w:pPr>
        <w:spacing w:before="60" w:after="60" w:line="360" w:lineRule="auto"/>
        <w:ind w:firstLine="720"/>
        <w:jc w:val="both"/>
        <w:rPr>
          <w:color w:val="000000" w:themeColor="text1"/>
        </w:rPr>
      </w:pPr>
      <w:r w:rsidRPr="00336FE5">
        <w:rPr>
          <w:color w:val="000000" w:themeColor="text1"/>
        </w:rPr>
        <w:t>The Risk Management function occupies a special place in the organisational hierarchy: it is functionally independent from business units and reports directly to the Management Board, ensuring objectivity of assessments and compliance with requirements set by the regulator — the Bank of Russia.</w:t>
      </w:r>
    </w:p>
    <w:p w:rsidR="004C69A9" w:rsidRPr="00336FE5" w:rsidRDefault="00000000">
      <w:pPr>
        <w:spacing w:before="60" w:after="60" w:line="360" w:lineRule="auto"/>
        <w:ind w:firstLine="720"/>
        <w:jc w:val="both"/>
        <w:rPr>
          <w:color w:val="000000" w:themeColor="text1"/>
        </w:rPr>
      </w:pPr>
      <w:r w:rsidRPr="00336FE5">
        <w:rPr>
          <w:color w:val="000000" w:themeColor="text1"/>
        </w:rPr>
        <w:t>An important structural element is the Data Office, which brings together specialists in big data, machine learning model development, and analytics. This centre provides the scoring and risk models with the data required for credit decision-making.</w:t>
      </w:r>
    </w:p>
    <w:p w:rsidR="004C69A9" w:rsidRPr="00336FE5" w:rsidRDefault="00000000">
      <w:pPr>
        <w:pStyle w:val="2"/>
        <w:rPr>
          <w:color w:val="000000" w:themeColor="text1"/>
        </w:rPr>
      </w:pPr>
      <w:r w:rsidRPr="00336FE5">
        <w:rPr>
          <w:color w:val="000000" w:themeColor="text1"/>
        </w:rPr>
        <w:t>1.3. Business Lines and Product Portfolio</w:t>
      </w:r>
    </w:p>
    <w:p w:rsidR="004C69A9" w:rsidRPr="00336FE5" w:rsidRDefault="00000000">
      <w:pPr>
        <w:spacing w:before="60" w:after="60" w:line="360" w:lineRule="auto"/>
        <w:ind w:firstLine="720"/>
        <w:jc w:val="both"/>
        <w:rPr>
          <w:color w:val="000000" w:themeColor="text1"/>
        </w:rPr>
      </w:pPr>
      <w:r w:rsidRPr="00336FE5">
        <w:rPr>
          <w:color w:val="000000" w:themeColor="text1"/>
        </w:rPr>
        <w:t>T-Bank offers one of the broadest product portfolios among Russian digital banks. For individual customers, key products include: cashback and rewards credit cards, consumer loans, mortgages, deposits and savings accounts, debit and multi-currency cards, and brokerage services through the T-Investments platform.</w:t>
      </w:r>
    </w:p>
    <w:p w:rsidR="004C69A9" w:rsidRPr="00336FE5" w:rsidRDefault="00000000">
      <w:pPr>
        <w:spacing w:before="60" w:after="60" w:line="360" w:lineRule="auto"/>
        <w:ind w:firstLine="720"/>
        <w:jc w:val="both"/>
        <w:rPr>
          <w:color w:val="000000" w:themeColor="text1"/>
        </w:rPr>
      </w:pPr>
      <w:r w:rsidRPr="00336FE5">
        <w:rPr>
          <w:color w:val="000000" w:themeColor="text1"/>
        </w:rPr>
        <w:t>For legal entities, the bank offers: current account and cash management services, corporate cards, acquiring, business lending (working capital and investment loans, credit lines), factoring, and a range of niche products for e-commerce businesses. The legal entity lending segment is the core focus of the Ecosystem Lending team, within which the internship took place.</w:t>
      </w:r>
    </w:p>
    <w:p w:rsidR="004C69A9" w:rsidRPr="00336FE5" w:rsidRDefault="00000000" w:rsidP="004A21B0">
      <w:pPr>
        <w:spacing w:before="60" w:after="60" w:line="360" w:lineRule="auto"/>
        <w:ind w:firstLine="720"/>
        <w:jc w:val="both"/>
        <w:rPr>
          <w:color w:val="000000" w:themeColor="text1"/>
        </w:rPr>
      </w:pPr>
      <w:r w:rsidRPr="00336FE5">
        <w:rPr>
          <w:color w:val="000000" w:themeColor="text1"/>
        </w:rPr>
        <w:t>Particular attention should be paid to the ecosystem dimension of the bank. T-Bank actively integrates non-financial services into its platform: travel (T-Travel), entertainment (T-Events), education (T-Education), and others. This strategy is aimed at increasing the frequency of client interaction with the platform and expanding cross-selling opportunities for financial products, including credit.</w:t>
      </w:r>
      <w:r w:rsidRPr="00336FE5">
        <w:rPr>
          <w:color w:val="000000" w:themeColor="text1"/>
        </w:rPr>
        <w:br w:type="page"/>
      </w:r>
    </w:p>
    <w:p w:rsidR="004C69A9" w:rsidRPr="00336FE5" w:rsidRDefault="00000000">
      <w:pPr>
        <w:pStyle w:val="1"/>
        <w:rPr>
          <w:color w:val="000000" w:themeColor="text1"/>
        </w:rPr>
      </w:pPr>
      <w:r w:rsidRPr="00336FE5">
        <w:rPr>
          <w:color w:val="000000" w:themeColor="text1"/>
        </w:rPr>
        <w:lastRenderedPageBreak/>
        <w:t>2. THE ECOSYSTEM LENDING TEAM</w:t>
      </w:r>
    </w:p>
    <w:p w:rsidR="004C69A9" w:rsidRPr="00336FE5" w:rsidRDefault="00000000">
      <w:pPr>
        <w:pStyle w:val="2"/>
        <w:rPr>
          <w:color w:val="000000" w:themeColor="text1"/>
        </w:rPr>
      </w:pPr>
      <w:r w:rsidRPr="00336FE5">
        <w:rPr>
          <w:color w:val="000000" w:themeColor="text1"/>
        </w:rPr>
        <w:t>2.1. Functions and Responsibilities</w:t>
      </w:r>
    </w:p>
    <w:p w:rsidR="004C69A9" w:rsidRPr="00336FE5" w:rsidRDefault="00000000">
      <w:pPr>
        <w:spacing w:before="60" w:after="60" w:line="360" w:lineRule="auto"/>
        <w:ind w:firstLine="720"/>
        <w:jc w:val="both"/>
        <w:rPr>
          <w:color w:val="000000" w:themeColor="text1"/>
        </w:rPr>
      </w:pPr>
      <w:r w:rsidRPr="00336FE5">
        <w:rPr>
          <w:color w:val="000000" w:themeColor="text1"/>
        </w:rPr>
        <w:t>The Ecosystem Lending team operates within the Small and Medium Business vertical. Its core mission is to develop and refine lending instruments for clients acquired through the non-banking channels of T-Bank's ecosystem. Unlike traditional credit departments focused on direct client applications, this team works with a flow of potential borrowers who initially interact with the platform's non-financial services.</w:t>
      </w:r>
    </w:p>
    <w:p w:rsidR="004C69A9" w:rsidRPr="00336FE5" w:rsidRDefault="00000000">
      <w:pPr>
        <w:spacing w:before="60" w:after="60" w:line="360" w:lineRule="auto"/>
        <w:ind w:firstLine="720"/>
        <w:jc w:val="both"/>
        <w:rPr>
          <w:color w:val="000000" w:themeColor="text1"/>
        </w:rPr>
      </w:pPr>
      <w:r w:rsidRPr="00336FE5">
        <w:rPr>
          <w:color w:val="000000" w:themeColor="text1"/>
        </w:rPr>
        <w:t>The team's key functions include:</w:t>
      </w:r>
    </w:p>
    <w:p w:rsidR="004C69A9" w:rsidRPr="00336FE5" w:rsidRDefault="00000000">
      <w:pPr>
        <w:pStyle w:val="a4"/>
        <w:numPr>
          <w:ilvl w:val="0"/>
          <w:numId w:val="2"/>
        </w:numPr>
        <w:spacing w:before="40" w:after="40" w:line="360" w:lineRule="auto"/>
        <w:jc w:val="both"/>
        <w:rPr>
          <w:color w:val="000000" w:themeColor="text1"/>
        </w:rPr>
      </w:pPr>
      <w:r w:rsidRPr="00336FE5">
        <w:rPr>
          <w:color w:val="000000" w:themeColor="text1"/>
        </w:rPr>
        <w:t>developing the methodology for forming pre-approved credit offers for legal entities;</w:t>
      </w:r>
    </w:p>
    <w:p w:rsidR="004C69A9" w:rsidRPr="00336FE5" w:rsidRDefault="00000000">
      <w:pPr>
        <w:pStyle w:val="a4"/>
        <w:numPr>
          <w:ilvl w:val="0"/>
          <w:numId w:val="2"/>
        </w:numPr>
        <w:spacing w:before="40" w:after="40" w:line="360" w:lineRule="auto"/>
        <w:jc w:val="both"/>
        <w:rPr>
          <w:color w:val="000000" w:themeColor="text1"/>
        </w:rPr>
      </w:pPr>
      <w:r w:rsidRPr="00336FE5">
        <w:rPr>
          <w:color w:val="000000" w:themeColor="text1"/>
        </w:rPr>
        <w:t>integrating external data sources —</w:t>
      </w:r>
      <w:r w:rsidR="004A21B0" w:rsidRPr="00336FE5">
        <w:rPr>
          <w:color w:val="000000" w:themeColor="text1"/>
          <w:lang w:val="en-US"/>
        </w:rPr>
        <w:t xml:space="preserve"> </w:t>
      </w:r>
      <w:r w:rsidRPr="00336FE5">
        <w:rPr>
          <w:color w:val="000000" w:themeColor="text1"/>
        </w:rPr>
        <w:t>into credit decision-making systems;</w:t>
      </w:r>
    </w:p>
    <w:p w:rsidR="004C69A9" w:rsidRPr="00336FE5" w:rsidRDefault="00000000">
      <w:pPr>
        <w:pStyle w:val="a4"/>
        <w:numPr>
          <w:ilvl w:val="0"/>
          <w:numId w:val="2"/>
        </w:numPr>
        <w:spacing w:before="40" w:after="40" w:line="360" w:lineRule="auto"/>
        <w:jc w:val="both"/>
        <w:rPr>
          <w:color w:val="000000" w:themeColor="text1"/>
        </w:rPr>
      </w:pPr>
      <w:r w:rsidRPr="00336FE5">
        <w:rPr>
          <w:color w:val="000000" w:themeColor="text1"/>
        </w:rPr>
        <w:t>refining scoring models to account for the specific characteristics of ecosystem clients;</w:t>
      </w:r>
    </w:p>
    <w:p w:rsidR="004C69A9" w:rsidRPr="00336FE5" w:rsidRDefault="00000000">
      <w:pPr>
        <w:pStyle w:val="a4"/>
        <w:numPr>
          <w:ilvl w:val="0"/>
          <w:numId w:val="2"/>
        </w:numPr>
        <w:spacing w:before="40" w:after="40" w:line="360" w:lineRule="auto"/>
        <w:jc w:val="both"/>
        <w:rPr>
          <w:color w:val="000000" w:themeColor="text1"/>
        </w:rPr>
      </w:pPr>
      <w:r w:rsidRPr="00336FE5">
        <w:rPr>
          <w:color w:val="000000" w:themeColor="text1"/>
        </w:rPr>
        <w:t>developing and testing credit product sales strategies;</w:t>
      </w:r>
    </w:p>
    <w:p w:rsidR="004C69A9" w:rsidRPr="00336FE5" w:rsidRDefault="00000000">
      <w:pPr>
        <w:pStyle w:val="a4"/>
        <w:numPr>
          <w:ilvl w:val="0"/>
          <w:numId w:val="2"/>
        </w:numPr>
        <w:spacing w:before="40" w:after="40" w:line="360" w:lineRule="auto"/>
        <w:jc w:val="both"/>
        <w:rPr>
          <w:color w:val="000000" w:themeColor="text1"/>
        </w:rPr>
      </w:pPr>
      <w:r w:rsidRPr="00336FE5">
        <w:rPr>
          <w:color w:val="000000" w:themeColor="text1"/>
        </w:rPr>
        <w:t>analytical monitoring of the credit portfolio — tracking quality, detecting early default signals, adjusting credit limits.</w:t>
      </w:r>
    </w:p>
    <w:p w:rsidR="004C69A9" w:rsidRPr="00336FE5" w:rsidRDefault="00000000">
      <w:pPr>
        <w:spacing w:before="60" w:after="60" w:line="360" w:lineRule="auto"/>
        <w:ind w:firstLine="720"/>
        <w:jc w:val="both"/>
        <w:rPr>
          <w:color w:val="000000" w:themeColor="text1"/>
        </w:rPr>
      </w:pPr>
      <w:r w:rsidRPr="00336FE5">
        <w:rPr>
          <w:color w:val="000000" w:themeColor="text1"/>
        </w:rPr>
        <w:t>The team operates as a product squad, comprising a Product Owner, risk analysts, data scientists, business analysts, and sales specialists. IT team members and legal department representatives are engaged periodically. All workflows are managed in two-week sprints in accordance with the Scrum methodology.</w:t>
      </w:r>
    </w:p>
    <w:p w:rsidR="004C69A9" w:rsidRPr="00336FE5" w:rsidRDefault="00000000">
      <w:pPr>
        <w:spacing w:before="60" w:after="60" w:line="360" w:lineRule="auto"/>
        <w:ind w:firstLine="720"/>
        <w:jc w:val="both"/>
        <w:rPr>
          <w:color w:val="000000" w:themeColor="text1"/>
        </w:rPr>
      </w:pPr>
      <w:r w:rsidRPr="00336FE5">
        <w:rPr>
          <w:color w:val="000000" w:themeColor="text1"/>
        </w:rPr>
        <w:t>The intern was embedded in the team as an analyst-trainee and participated in real working processes: data analysis, reporting, A/B test execution, and process documentation.</w:t>
      </w:r>
    </w:p>
    <w:p w:rsidR="004C69A9" w:rsidRPr="00336FE5" w:rsidRDefault="00000000">
      <w:pPr>
        <w:pStyle w:val="2"/>
        <w:rPr>
          <w:color w:val="000000" w:themeColor="text1"/>
        </w:rPr>
      </w:pPr>
      <w:r w:rsidRPr="00336FE5">
        <w:rPr>
          <w:color w:val="000000" w:themeColor="text1"/>
        </w:rPr>
        <w:t>2.2. The Team's Role Within the Bank's Ecosystem</w:t>
      </w:r>
    </w:p>
    <w:p w:rsidR="004C69A9" w:rsidRPr="00336FE5" w:rsidRDefault="00000000">
      <w:pPr>
        <w:spacing w:before="60" w:after="60" w:line="360" w:lineRule="auto"/>
        <w:ind w:firstLine="720"/>
        <w:jc w:val="both"/>
        <w:rPr>
          <w:color w:val="000000" w:themeColor="text1"/>
        </w:rPr>
      </w:pPr>
      <w:r w:rsidRPr="00336FE5">
        <w:rPr>
          <w:color w:val="000000" w:themeColor="text1"/>
        </w:rPr>
        <w:t>The Ecosystem Lending team occupies a strategically important position within T-Bank's overall architecture. The development of the ecosystem creates unique opportunities: clients who use non-financial services generate a rich behavioural footprint that can serve as an additional data source when assessing their creditworthiness. Transaction activity, frequency of platform interaction, and the nature of service consumption form so-called "soft" indicators of credit quality that are unavailable through traditional underwriting.</w:t>
      </w:r>
    </w:p>
    <w:p w:rsidR="004C69A9" w:rsidRPr="00336FE5" w:rsidRDefault="00000000">
      <w:pPr>
        <w:spacing w:before="60" w:after="60" w:line="360" w:lineRule="auto"/>
        <w:ind w:firstLine="720"/>
        <w:jc w:val="both"/>
        <w:rPr>
          <w:color w:val="000000" w:themeColor="text1"/>
        </w:rPr>
      </w:pPr>
      <w:r w:rsidRPr="00336FE5">
        <w:rPr>
          <w:color w:val="000000" w:themeColor="text1"/>
        </w:rPr>
        <w:t>From a business model perspective, the team serves as a bridge between the ecosystem's client traffic and the bank's lending business. The team's effective operation allows the existing client base to be converted into borrowers with minimal marketing expenditure — a key advantage over acquiring new clients through external channels.</w:t>
      </w:r>
    </w:p>
    <w:p w:rsidR="004C69A9" w:rsidRPr="00336FE5" w:rsidRDefault="00000000">
      <w:pPr>
        <w:spacing w:before="60" w:after="60" w:line="360" w:lineRule="auto"/>
        <w:ind w:firstLine="720"/>
        <w:jc w:val="both"/>
        <w:rPr>
          <w:color w:val="000000" w:themeColor="text1"/>
        </w:rPr>
      </w:pPr>
      <w:r w:rsidRPr="00336FE5">
        <w:rPr>
          <w:color w:val="000000" w:themeColor="text1"/>
        </w:rPr>
        <w:lastRenderedPageBreak/>
        <w:t>The team also contributes to building the bank's corporate expertise in predictive lending: its methodological developments and scoring solutions are replicated across other product lines. In this sense, its role extends beyond a single product and exerts a systemic influence on the bank's approach to credit risk as a whole.</w:t>
      </w:r>
    </w:p>
    <w:p w:rsidR="004C69A9" w:rsidRPr="00336FE5" w:rsidRDefault="00000000">
      <w:pPr>
        <w:rPr>
          <w:color w:val="000000" w:themeColor="text1"/>
        </w:rPr>
      </w:pPr>
      <w:r w:rsidRPr="00336FE5">
        <w:rPr>
          <w:color w:val="000000" w:themeColor="text1"/>
        </w:rPr>
        <w:br w:type="page"/>
      </w:r>
    </w:p>
    <w:p w:rsidR="004C69A9" w:rsidRPr="00336FE5" w:rsidRDefault="00000000">
      <w:pPr>
        <w:pStyle w:val="1"/>
        <w:rPr>
          <w:color w:val="000000" w:themeColor="text1"/>
        </w:rPr>
      </w:pPr>
      <w:r w:rsidRPr="00336FE5">
        <w:rPr>
          <w:color w:val="000000" w:themeColor="text1"/>
        </w:rPr>
        <w:lastRenderedPageBreak/>
        <w:t>3. INTERNSHIP ACTIVITIES</w:t>
      </w:r>
    </w:p>
    <w:p w:rsidR="004C69A9" w:rsidRPr="00336FE5" w:rsidRDefault="00000000">
      <w:pPr>
        <w:pStyle w:val="2"/>
        <w:rPr>
          <w:color w:val="000000" w:themeColor="text1"/>
        </w:rPr>
      </w:pPr>
      <w:r w:rsidRPr="00336FE5">
        <w:rPr>
          <w:color w:val="000000" w:themeColor="text1"/>
        </w:rPr>
        <w:t>3.1. Goals and Objectives of the Internship</w:t>
      </w:r>
    </w:p>
    <w:p w:rsidR="004C69A9" w:rsidRPr="00336FE5" w:rsidRDefault="00000000">
      <w:pPr>
        <w:spacing w:before="60" w:after="60" w:line="360" w:lineRule="auto"/>
        <w:ind w:firstLine="720"/>
        <w:jc w:val="both"/>
        <w:rPr>
          <w:color w:val="000000" w:themeColor="text1"/>
        </w:rPr>
      </w:pPr>
      <w:r w:rsidRPr="00336FE5">
        <w:rPr>
          <w:color w:val="000000" w:themeColor="text1"/>
        </w:rPr>
        <w:t>The production internship lasted eight weeks. The organisational supervisor was the Product Owner of the Ecosystem Lending team. At the outset, an individual work plan was jointly developed, structured around four main task blocks.</w:t>
      </w:r>
    </w:p>
    <w:p w:rsidR="004C69A9" w:rsidRPr="00336FE5" w:rsidRDefault="00000000">
      <w:pPr>
        <w:spacing w:before="60" w:after="60" w:line="360" w:lineRule="auto"/>
        <w:ind w:firstLine="720"/>
        <w:jc w:val="both"/>
        <w:rPr>
          <w:color w:val="000000" w:themeColor="text1"/>
        </w:rPr>
      </w:pPr>
      <w:r w:rsidRPr="00336FE5">
        <w:rPr>
          <w:color w:val="000000" w:themeColor="text1"/>
        </w:rPr>
        <w:t>The first block — theoretical immersion — involved studying the principles of the scoring models used by the bank to evaluate legal entities, understanding the data sources employed in scoring, and reviewing relevant regulatory requirements for credit decisions.</w:t>
      </w:r>
    </w:p>
    <w:p w:rsidR="004C69A9" w:rsidRPr="00336FE5" w:rsidRDefault="00000000">
      <w:pPr>
        <w:spacing w:before="60" w:after="60" w:line="360" w:lineRule="auto"/>
        <w:ind w:firstLine="720"/>
        <w:jc w:val="both"/>
        <w:rPr>
          <w:color w:val="000000" w:themeColor="text1"/>
        </w:rPr>
      </w:pPr>
      <w:r w:rsidRPr="00336FE5">
        <w:rPr>
          <w:color w:val="000000" w:themeColor="text1"/>
        </w:rPr>
        <w:t>The second block — process documentation — involved describing the pre-approved offer formation process and the associated sales process at a level of detail compliant with the bank's confidentiality requirements.</w:t>
      </w:r>
    </w:p>
    <w:p w:rsidR="004C69A9" w:rsidRPr="00336FE5" w:rsidRDefault="00000000">
      <w:pPr>
        <w:spacing w:before="60" w:after="60" w:line="360" w:lineRule="auto"/>
        <w:ind w:firstLine="720"/>
        <w:jc w:val="both"/>
        <w:rPr>
          <w:color w:val="000000" w:themeColor="text1"/>
        </w:rPr>
      </w:pPr>
      <w:r w:rsidRPr="00336FE5">
        <w:rPr>
          <w:color w:val="000000" w:themeColor="text1"/>
        </w:rPr>
        <w:t>The third block — analytical work — involved participating in the design and execution of an A/B test comparing two sales strategies: Full-Prove and Full-Flow.</w:t>
      </w:r>
    </w:p>
    <w:p w:rsidR="004C69A9" w:rsidRPr="00336FE5" w:rsidRDefault="00000000">
      <w:pPr>
        <w:spacing w:before="60" w:after="60" w:line="360" w:lineRule="auto"/>
        <w:ind w:firstLine="720"/>
        <w:jc w:val="both"/>
        <w:rPr>
          <w:color w:val="000000" w:themeColor="text1"/>
        </w:rPr>
      </w:pPr>
      <w:r w:rsidRPr="00336FE5">
        <w:rPr>
          <w:color w:val="000000" w:themeColor="text1"/>
        </w:rPr>
        <w:t>The fourth block — synthesis — involved consolidating the experience gained, preparing this report, and updating the conceptual framework of the undergraduate thesis in light of practical observations.</w:t>
      </w:r>
    </w:p>
    <w:p w:rsidR="004C69A9" w:rsidRPr="00336FE5" w:rsidRDefault="00000000">
      <w:pPr>
        <w:spacing w:before="60" w:after="60" w:line="360" w:lineRule="auto"/>
        <w:ind w:firstLine="720"/>
        <w:jc w:val="both"/>
        <w:rPr>
          <w:color w:val="000000" w:themeColor="text1"/>
        </w:rPr>
      </w:pPr>
      <w:r w:rsidRPr="00336FE5">
        <w:rPr>
          <w:color w:val="000000" w:themeColor="text1"/>
        </w:rPr>
        <w:t>The internship was conducted in person at T-Bank's Moscow office, following the standard working schedule of bank employees. The intern participated in daily team stand-ups, weekly retrospectives, and sprint planning sessions, ensuring full immersion in the organisation's working culture.</w:t>
      </w:r>
    </w:p>
    <w:p w:rsidR="004C69A9" w:rsidRPr="00336FE5" w:rsidRDefault="00000000">
      <w:pPr>
        <w:pStyle w:val="2"/>
        <w:rPr>
          <w:color w:val="000000" w:themeColor="text1"/>
        </w:rPr>
      </w:pPr>
      <w:r w:rsidRPr="00336FE5">
        <w:rPr>
          <w:color w:val="000000" w:themeColor="text1"/>
        </w:rPr>
        <w:t>3.2. Study of Scoring Models</w:t>
      </w:r>
    </w:p>
    <w:p w:rsidR="004C69A9" w:rsidRPr="00336FE5" w:rsidRDefault="00000000">
      <w:pPr>
        <w:spacing w:before="60" w:after="60" w:line="360" w:lineRule="auto"/>
        <w:ind w:firstLine="720"/>
        <w:jc w:val="both"/>
        <w:rPr>
          <w:color w:val="000000" w:themeColor="text1"/>
        </w:rPr>
      </w:pPr>
      <w:r w:rsidRPr="00336FE5">
        <w:rPr>
          <w:color w:val="000000" w:themeColor="text1"/>
        </w:rPr>
        <w:t>One of the first tasks of the internship was an in-depth study of the architecture of the scoring models employed by the team. Understanding their design is fundamentally important for the thesis, as the generation of pre-approved offers is based on a scoring assessment performed before the client ever approaches the bank.</w:t>
      </w:r>
    </w:p>
    <w:p w:rsidR="004C69A9" w:rsidRPr="00336FE5" w:rsidRDefault="00000000">
      <w:pPr>
        <w:spacing w:before="60" w:after="60" w:line="360" w:lineRule="auto"/>
        <w:ind w:firstLine="720"/>
        <w:jc w:val="both"/>
        <w:rPr>
          <w:color w:val="000000" w:themeColor="text1"/>
        </w:rPr>
      </w:pPr>
      <w:r w:rsidRPr="00336FE5">
        <w:rPr>
          <w:color w:val="000000" w:themeColor="text1"/>
        </w:rPr>
        <w:t>In general terms, credit scoring is a mathematically formalised method for estimating the probability that a borrower will default on their obligations. Academic literature identifies several generations of scoring models: from simple linear regressions and logistic models to ensemble machine learning methods — Random Forest, Gradient Boosting — and, more recently, neural networks and transformer-based architectures.</w:t>
      </w:r>
    </w:p>
    <w:p w:rsidR="004C69A9" w:rsidRPr="00336FE5" w:rsidRDefault="00000000">
      <w:pPr>
        <w:spacing w:before="60" w:after="60" w:line="360" w:lineRule="auto"/>
        <w:ind w:firstLine="720"/>
        <w:jc w:val="both"/>
        <w:rPr>
          <w:color w:val="000000" w:themeColor="text1"/>
        </w:rPr>
      </w:pPr>
      <w:r w:rsidRPr="00336FE5">
        <w:rPr>
          <w:color w:val="000000" w:themeColor="text1"/>
        </w:rPr>
        <w:lastRenderedPageBreak/>
        <w:t>T-Bank employs a multi-layered scoring system that integrates several classes of models. Detailed algorithms and model parameters constitute a commercial secret and cannot be disclosed in this report. At a conceptual level, however, the system is organised as follows:</w:t>
      </w:r>
    </w:p>
    <w:p w:rsidR="004C69A9" w:rsidRPr="00336FE5" w:rsidRDefault="00000000">
      <w:pPr>
        <w:pStyle w:val="a4"/>
        <w:numPr>
          <w:ilvl w:val="0"/>
          <w:numId w:val="2"/>
        </w:numPr>
        <w:spacing w:before="40" w:after="40" w:line="360" w:lineRule="auto"/>
        <w:jc w:val="both"/>
        <w:rPr>
          <w:color w:val="000000" w:themeColor="text1"/>
        </w:rPr>
      </w:pPr>
      <w:r w:rsidRPr="00336FE5">
        <w:rPr>
          <w:color w:val="000000" w:themeColor="text1"/>
        </w:rPr>
        <w:t>At the first level, formal eligibility criteria are checked — legal entity status, compliance with regulatory requirements (in particular, Federal Law No. 115-FZ on anti-money laundering), and a minimum operational history. Clients failing to meet basic criteria are excluded from further scoring.</w:t>
      </w:r>
    </w:p>
    <w:p w:rsidR="004C69A9" w:rsidRPr="00336FE5" w:rsidRDefault="00000000">
      <w:pPr>
        <w:pStyle w:val="a4"/>
        <w:numPr>
          <w:ilvl w:val="0"/>
          <w:numId w:val="2"/>
        </w:numPr>
        <w:spacing w:before="40" w:after="40" w:line="360" w:lineRule="auto"/>
        <w:jc w:val="both"/>
        <w:rPr>
          <w:color w:val="000000" w:themeColor="text1"/>
        </w:rPr>
      </w:pPr>
      <w:r w:rsidRPr="00336FE5">
        <w:rPr>
          <w:color w:val="000000" w:themeColor="text1"/>
        </w:rPr>
        <w:t>At the second level, the client profile is enriched with data from external sources. The primary source is the UCB, which provides information on credit history, current debt load, history of missed payments, and repayment behaviour. Additional data is drawn from the Unified State Register of Legal Entities, the Federal Tax Service, and other public registries.</w:t>
      </w:r>
    </w:p>
    <w:p w:rsidR="004C69A9" w:rsidRPr="00336FE5" w:rsidRDefault="00000000">
      <w:pPr>
        <w:pStyle w:val="a4"/>
        <w:numPr>
          <w:ilvl w:val="0"/>
          <w:numId w:val="2"/>
        </w:numPr>
        <w:spacing w:before="40" w:after="40" w:line="360" w:lineRule="auto"/>
        <w:jc w:val="both"/>
        <w:rPr>
          <w:color w:val="000000" w:themeColor="text1"/>
        </w:rPr>
      </w:pPr>
      <w:r w:rsidRPr="00336FE5">
        <w:rPr>
          <w:color w:val="000000" w:themeColor="text1"/>
        </w:rPr>
        <w:t>At the third level, the scoring score itself is computed. The models applied at this stage are trained on historical data for analogous client segments using supervised learning methods. The target variable is a binary default indicator (arrears exceeding 90 days within 12 months of loan origination).</w:t>
      </w:r>
    </w:p>
    <w:p w:rsidR="004C69A9" w:rsidRPr="00336FE5" w:rsidRDefault="00000000">
      <w:pPr>
        <w:pStyle w:val="a4"/>
        <w:numPr>
          <w:ilvl w:val="0"/>
          <w:numId w:val="2"/>
        </w:numPr>
        <w:spacing w:before="40" w:after="40" w:line="360" w:lineRule="auto"/>
        <w:jc w:val="both"/>
        <w:rPr>
          <w:color w:val="000000" w:themeColor="text1"/>
        </w:rPr>
      </w:pPr>
      <w:r w:rsidRPr="00336FE5">
        <w:rPr>
          <w:color w:val="000000" w:themeColor="text1"/>
        </w:rPr>
        <w:t>At the fourth level, the scoring score is translated into the terms of a pre-approved offer — credit limit, interest rate, and loan term. This is accomplished through a credit policy engine that applies additional constraints to the model's recommendations.</w:t>
      </w:r>
    </w:p>
    <w:p w:rsidR="004C69A9" w:rsidRPr="00336FE5" w:rsidRDefault="00000000">
      <w:pPr>
        <w:spacing w:before="60" w:after="60" w:line="360" w:lineRule="auto"/>
        <w:ind w:firstLine="720"/>
        <w:jc w:val="both"/>
        <w:rPr>
          <w:color w:val="000000" w:themeColor="text1"/>
        </w:rPr>
      </w:pPr>
      <w:r w:rsidRPr="00336FE5">
        <w:rPr>
          <w:color w:val="000000" w:themeColor="text1"/>
        </w:rPr>
        <w:t>It is important to highlight the particular role of UCB data within this system. The United Credit Bureau is one of Russia's largest repositories of credit histories, aggregating information on borrowers from a wide range of banks and microfinance organisations. For the bank, this data is valuable because it enables an assessment of the client's behaviour as a borrower at other financial institutions — information that is unavailable from internal sources alone. The internship confirmed that variables constructed from UCB data (e.g., the share of on-time payments, the maximum arrears in the past 12 months, the number of active credit obligations) make a significant contribution to the predictive power of the models.</w:t>
      </w:r>
    </w:p>
    <w:p w:rsidR="004C69A9" w:rsidRPr="00336FE5" w:rsidRDefault="00000000">
      <w:pPr>
        <w:spacing w:before="60" w:after="60" w:line="360" w:lineRule="auto"/>
        <w:ind w:firstLine="720"/>
        <w:jc w:val="both"/>
        <w:rPr>
          <w:color w:val="000000" w:themeColor="text1"/>
        </w:rPr>
      </w:pPr>
      <w:r w:rsidRPr="00336FE5">
        <w:rPr>
          <w:color w:val="000000" w:themeColor="text1"/>
        </w:rPr>
        <w:t xml:space="preserve">In the course of studying the topic, </w:t>
      </w:r>
      <w:r w:rsidR="004A21B0" w:rsidRPr="00336FE5">
        <w:rPr>
          <w:color w:val="000000" w:themeColor="text1"/>
          <w:lang w:val="en-US"/>
        </w:rPr>
        <w:t>I</w:t>
      </w:r>
      <w:r w:rsidRPr="00336FE5">
        <w:rPr>
          <w:color w:val="000000" w:themeColor="text1"/>
        </w:rPr>
        <w:t xml:space="preserve"> systematised academic literature on the use of credit bureau data in scoring. The foundational works of Altman (1968), Merton (1974), and subsequently Bessis (2015) and Anderson (2007) provide the theoretical basis for understanding the applied approaches. Domestic contributions — including those of Pomazanov (2004) and Karminsky and Peresetsky (2009) — adapt international experience to the specific characteristics of the Russian credit market.</w:t>
      </w:r>
    </w:p>
    <w:p w:rsidR="004C69A9" w:rsidRPr="00336FE5" w:rsidRDefault="00000000">
      <w:pPr>
        <w:pStyle w:val="2"/>
        <w:rPr>
          <w:color w:val="000000" w:themeColor="text1"/>
        </w:rPr>
      </w:pPr>
      <w:r w:rsidRPr="00336FE5">
        <w:rPr>
          <w:color w:val="000000" w:themeColor="text1"/>
        </w:rPr>
        <w:lastRenderedPageBreak/>
        <w:t>3.3. The Pre-Approved Offer Formation Process</w:t>
      </w:r>
    </w:p>
    <w:p w:rsidR="004C69A9" w:rsidRPr="00336FE5" w:rsidRDefault="00000000">
      <w:pPr>
        <w:spacing w:before="60" w:after="60" w:line="360" w:lineRule="auto"/>
        <w:ind w:firstLine="720"/>
        <w:jc w:val="both"/>
        <w:rPr>
          <w:color w:val="000000" w:themeColor="text1"/>
        </w:rPr>
      </w:pPr>
      <w:r w:rsidRPr="00336FE5">
        <w:rPr>
          <w:color w:val="000000" w:themeColor="text1"/>
        </w:rPr>
        <w:t>The formation of pre-approved offers is a complex, multi-stage process that brings together several of the bank's systems. Given the confidential nature of internal regulations, the following provides a generalised description of the process, reflecting its key stages and logic without disclosing parameters of individual systems.</w:t>
      </w:r>
    </w:p>
    <w:p w:rsidR="004C69A9" w:rsidRPr="00336FE5" w:rsidRDefault="00000000">
      <w:pPr>
        <w:spacing w:before="60" w:after="60" w:line="360" w:lineRule="auto"/>
        <w:ind w:firstLine="720"/>
        <w:jc w:val="both"/>
        <w:rPr>
          <w:color w:val="000000" w:themeColor="text1"/>
        </w:rPr>
      </w:pPr>
      <w:r w:rsidRPr="00336FE5">
        <w:rPr>
          <w:color w:val="000000" w:themeColor="text1"/>
        </w:rPr>
        <w:t>During the preparatory stage, the analytics team forms a target sample of legal entity clients for whom a pre-approved offer may potentially be calculated. Inclusion criteria are defined by the credit policy and cover requirements relating to the age of the legal entity, industry sector, turnover on the current account, and the absence of stop factors (such as active enforcement proceedings or inclusion on the register of bad-faith suppliers).</w:t>
      </w:r>
    </w:p>
    <w:p w:rsidR="004C69A9" w:rsidRPr="00336FE5" w:rsidRDefault="00000000">
      <w:pPr>
        <w:spacing w:before="60" w:after="60" w:line="360" w:lineRule="auto"/>
        <w:ind w:firstLine="720"/>
        <w:jc w:val="both"/>
        <w:rPr>
          <w:color w:val="000000" w:themeColor="text1"/>
        </w:rPr>
      </w:pPr>
      <w:r w:rsidRPr="00336FE5">
        <w:rPr>
          <w:color w:val="000000" w:themeColor="text1"/>
        </w:rPr>
        <w:t>Once the sample is formed, a data enrichment procedure is initiated. The system automatically submits requests to the UCB and other sources, retrieving an up-to-date "snapshot" of each client's credit profile. A critically important aspect is compliance with the requirements of Federal Law No. 218-FZ "On Credit Histories" regarding the grounds for requesting the credit history of a legal entity: the consent of the credit history subject is a mandatory precondition. This consent procedure is implemented within the contractual framework between the bank and its clients.</w:t>
      </w:r>
    </w:p>
    <w:p w:rsidR="004C69A9" w:rsidRPr="00336FE5" w:rsidRDefault="00000000">
      <w:pPr>
        <w:spacing w:before="60" w:after="60" w:line="360" w:lineRule="auto"/>
        <w:ind w:firstLine="720"/>
        <w:jc w:val="both"/>
        <w:rPr>
          <w:color w:val="000000" w:themeColor="text1"/>
        </w:rPr>
      </w:pPr>
      <w:r w:rsidRPr="00336FE5">
        <w:rPr>
          <w:color w:val="000000" w:themeColor="text1"/>
        </w:rPr>
        <w:t>The enriched client profiles are passed into the scoring pipeline, where the models described in the previous section are applied sequentially. Each client exits the pipeline with a scoring score corresponding to a specific risk category. The credit policy engine maps the risk category to the permissible parameters of the credit product.</w:t>
      </w:r>
    </w:p>
    <w:p w:rsidR="004C69A9" w:rsidRPr="00336FE5" w:rsidRDefault="00000000">
      <w:pPr>
        <w:spacing w:before="60" w:after="60" w:line="360" w:lineRule="auto"/>
        <w:ind w:firstLine="720"/>
        <w:jc w:val="both"/>
        <w:rPr>
          <w:color w:val="000000" w:themeColor="text1"/>
        </w:rPr>
      </w:pPr>
      <w:r w:rsidRPr="00336FE5">
        <w:rPr>
          <w:color w:val="000000" w:themeColor="text1"/>
        </w:rPr>
        <w:t>The output of the pipeline is a formed pre-approved offer — a set of lending terms (limit, rate, term) reserved for a specific client. The offer is stored in the campaign management system until it is activated through the selected sales channel. The validity period of the offer is limited, as the client's credit profile may change over time. Upon expiry, the offer is either automatically refreshed (subject to the continued validity of the scoring score) or cancelled.</w:t>
      </w:r>
    </w:p>
    <w:p w:rsidR="004C69A9" w:rsidRPr="00336FE5" w:rsidRDefault="00000000">
      <w:pPr>
        <w:spacing w:before="60" w:after="60" w:line="360" w:lineRule="auto"/>
        <w:ind w:firstLine="720"/>
        <w:jc w:val="both"/>
        <w:rPr>
          <w:color w:val="000000" w:themeColor="text1"/>
        </w:rPr>
      </w:pPr>
      <w:r w:rsidRPr="00336FE5">
        <w:rPr>
          <w:color w:val="000000" w:themeColor="text1"/>
        </w:rPr>
        <w:t>It should be noted that the pre-approved offer formation process is fully automated and does not require the involvement of credit analysts at the main stage. Human participation is provided only in borderline cases — when a client falls within a grey zone of the scoring range or when flags are raised that require additional verification.</w:t>
      </w:r>
    </w:p>
    <w:p w:rsidR="004A21B0" w:rsidRPr="00336FE5" w:rsidRDefault="004A21B0">
      <w:pPr>
        <w:spacing w:before="60" w:after="60" w:line="360" w:lineRule="auto"/>
        <w:ind w:firstLine="720"/>
        <w:jc w:val="both"/>
        <w:rPr>
          <w:color w:val="000000" w:themeColor="text1"/>
        </w:rPr>
      </w:pPr>
    </w:p>
    <w:p w:rsidR="004A21B0" w:rsidRPr="00336FE5" w:rsidRDefault="004A21B0">
      <w:pPr>
        <w:spacing w:before="60" w:after="60" w:line="360" w:lineRule="auto"/>
        <w:ind w:firstLine="720"/>
        <w:jc w:val="both"/>
        <w:rPr>
          <w:color w:val="000000" w:themeColor="text1"/>
        </w:rPr>
      </w:pPr>
    </w:p>
    <w:p w:rsidR="004C69A9" w:rsidRPr="00336FE5" w:rsidRDefault="00000000">
      <w:pPr>
        <w:pStyle w:val="2"/>
        <w:rPr>
          <w:color w:val="000000" w:themeColor="text1"/>
        </w:rPr>
      </w:pPr>
      <w:r w:rsidRPr="00336FE5">
        <w:rPr>
          <w:color w:val="000000" w:themeColor="text1"/>
        </w:rPr>
        <w:lastRenderedPageBreak/>
        <w:t>3.4. The Pre-Approved Offer Sales Process</w:t>
      </w:r>
    </w:p>
    <w:p w:rsidR="004C69A9" w:rsidRPr="00336FE5" w:rsidRDefault="00000000">
      <w:pPr>
        <w:spacing w:before="60" w:after="60" w:line="360" w:lineRule="auto"/>
        <w:ind w:firstLine="720"/>
        <w:jc w:val="both"/>
        <w:rPr>
          <w:color w:val="000000" w:themeColor="text1"/>
        </w:rPr>
      </w:pPr>
      <w:r w:rsidRPr="00336FE5">
        <w:rPr>
          <w:color w:val="000000" w:themeColor="text1"/>
        </w:rPr>
        <w:t>The pre-approved offer sales process is the next key element of the operational cycle studied during the internship. This section presents a generalised description; a detailed process diagram is not provided, as its construction would require disclosing confidential information about the bank's systems, communication channels, and internal KPIs.</w:t>
      </w:r>
    </w:p>
    <w:p w:rsidR="004C69A9" w:rsidRPr="00336FE5" w:rsidRDefault="00000000">
      <w:pPr>
        <w:spacing w:before="60" w:after="60" w:line="360" w:lineRule="auto"/>
        <w:ind w:firstLine="720"/>
        <w:jc w:val="both"/>
        <w:rPr>
          <w:color w:val="000000" w:themeColor="text1"/>
        </w:rPr>
      </w:pPr>
      <w:r w:rsidRPr="00336FE5">
        <w:rPr>
          <w:color w:val="000000" w:themeColor="text1"/>
        </w:rPr>
        <w:t>Sales of pre-approved offers to legal entities are organised according to an omnichannel principle: a single offer can be delivered to the client via the mobile app, internet banking, email, SMS, or through a dedicated client relationship manager. The choice of channel is determined by a client preference model that takes into account the history of the client's interactions with the bank.</w:t>
      </w:r>
    </w:p>
    <w:p w:rsidR="004C69A9" w:rsidRPr="00336FE5" w:rsidRDefault="00000000">
      <w:pPr>
        <w:spacing w:before="60" w:after="60" w:line="360" w:lineRule="auto"/>
        <w:ind w:firstLine="720"/>
        <w:jc w:val="both"/>
        <w:rPr>
          <w:color w:val="000000" w:themeColor="text1"/>
        </w:rPr>
      </w:pPr>
      <w:r w:rsidRPr="00336FE5">
        <w:rPr>
          <w:color w:val="000000" w:themeColor="text1"/>
        </w:rPr>
        <w:t>At the operational level, the sales process can be divided into three phases. The first phase — activation — is when the offer becomes visible to the client in the selected channel. The timing and format of activation are determined by the campaign management system in line with behavioural triggers (for example, a large incoming payment or an approaching tax payment date may serve as a signal to present a credit offer). The second phase — awareness — is when the client views the offer parameters and decides whether they are interested. The third phase — fulfilment — is when, depending on the sales strategy employed (Full-Prove or Full-Flow), the client either confirms a ready-made offer or independently completes an application form.</w:t>
      </w:r>
    </w:p>
    <w:p w:rsidR="004C69A9" w:rsidRPr="00336FE5" w:rsidRDefault="00000000">
      <w:pPr>
        <w:spacing w:before="60" w:after="60" w:line="360" w:lineRule="auto"/>
        <w:ind w:firstLine="720"/>
        <w:jc w:val="both"/>
        <w:rPr>
          <w:color w:val="000000" w:themeColor="text1"/>
        </w:rPr>
      </w:pPr>
      <w:r w:rsidRPr="00336FE5">
        <w:rPr>
          <w:color w:val="000000" w:themeColor="text1"/>
        </w:rPr>
        <w:t>A key driver of sales effectiveness is the relevance of the offer: a client is more likely to respond to an offer that matches their current business needs and financial position. This underscores the importance of accurate scoring and correct communication timing. The team monitors the conversion funnel at every stage and uses the results for iterative process improvement.</w:t>
      </w:r>
    </w:p>
    <w:p w:rsidR="004C69A9" w:rsidRPr="00336FE5" w:rsidRDefault="00000000">
      <w:pPr>
        <w:spacing w:before="60" w:after="60" w:line="360" w:lineRule="auto"/>
        <w:ind w:firstLine="720"/>
        <w:jc w:val="both"/>
        <w:rPr>
          <w:color w:val="000000" w:themeColor="text1"/>
        </w:rPr>
      </w:pPr>
      <w:r w:rsidRPr="00336FE5">
        <w:rPr>
          <w:color w:val="000000" w:themeColor="text1"/>
        </w:rPr>
        <w:t>Client interactions regarding credit offers are managed through a specialised CRM platform integrated with the bank's scoring and decision-making systems. Sales outcomes, client feedback, and rejection data are used to update scoring policies and improve offer quality in the next cycle.</w:t>
      </w:r>
    </w:p>
    <w:p w:rsidR="004C69A9" w:rsidRPr="00336FE5" w:rsidRDefault="00000000">
      <w:pPr>
        <w:rPr>
          <w:color w:val="000000" w:themeColor="text1"/>
        </w:rPr>
      </w:pPr>
      <w:r w:rsidRPr="00336FE5">
        <w:rPr>
          <w:color w:val="000000" w:themeColor="text1"/>
        </w:rPr>
        <w:br w:type="page"/>
      </w:r>
    </w:p>
    <w:p w:rsidR="004C69A9" w:rsidRPr="00336FE5" w:rsidRDefault="00000000">
      <w:pPr>
        <w:pStyle w:val="1"/>
        <w:rPr>
          <w:color w:val="000000" w:themeColor="text1"/>
        </w:rPr>
      </w:pPr>
      <w:r w:rsidRPr="00336FE5">
        <w:rPr>
          <w:color w:val="000000" w:themeColor="text1"/>
        </w:rPr>
        <w:lastRenderedPageBreak/>
        <w:t>4. A/B TESTING OF SALES STRATEGIES</w:t>
      </w:r>
    </w:p>
    <w:p w:rsidR="004C69A9" w:rsidRPr="00336FE5" w:rsidRDefault="00000000">
      <w:pPr>
        <w:pStyle w:val="2"/>
        <w:rPr>
          <w:color w:val="000000" w:themeColor="text1"/>
        </w:rPr>
      </w:pPr>
      <w:r w:rsidRPr="00336FE5">
        <w:rPr>
          <w:color w:val="000000" w:themeColor="text1"/>
        </w:rPr>
        <w:t>4.1. Testing Methodology</w:t>
      </w:r>
    </w:p>
    <w:p w:rsidR="004C69A9" w:rsidRPr="00336FE5" w:rsidRDefault="00000000">
      <w:pPr>
        <w:spacing w:before="60" w:after="60" w:line="360" w:lineRule="auto"/>
        <w:ind w:firstLine="720"/>
        <w:jc w:val="both"/>
        <w:rPr>
          <w:color w:val="000000" w:themeColor="text1"/>
        </w:rPr>
      </w:pPr>
      <w:r w:rsidRPr="00336FE5">
        <w:rPr>
          <w:color w:val="000000" w:themeColor="text1"/>
        </w:rPr>
        <w:t>A/B testing is a standard tool for evaluating the effectiveness of product and marketing changes in modern technology companies. In the context of banking sales, this method enables the comparison of two or more client engagement strategies under conditions of random group assignment — which ensures the statistical validity of conclusions.</w:t>
      </w:r>
    </w:p>
    <w:p w:rsidR="004C69A9" w:rsidRPr="00336FE5" w:rsidRDefault="00000000">
      <w:pPr>
        <w:spacing w:before="60" w:after="60" w:line="360" w:lineRule="auto"/>
        <w:ind w:firstLine="720"/>
        <w:jc w:val="both"/>
        <w:rPr>
          <w:color w:val="000000" w:themeColor="text1"/>
        </w:rPr>
      </w:pPr>
      <w:r w:rsidRPr="00336FE5">
        <w:rPr>
          <w:color w:val="000000" w:themeColor="text1"/>
        </w:rPr>
        <w:t xml:space="preserve">During the internship, the </w:t>
      </w:r>
      <w:r w:rsidR="004A21B0" w:rsidRPr="00336FE5">
        <w:rPr>
          <w:color w:val="000000" w:themeColor="text1"/>
        </w:rPr>
        <w:t>I</w:t>
      </w:r>
      <w:r w:rsidRPr="00336FE5">
        <w:rPr>
          <w:color w:val="000000" w:themeColor="text1"/>
        </w:rPr>
        <w:t xml:space="preserve"> participated in the design and execution of an A/B test aimed at comparing two pre-approved credit offer sales strategies — Full-Prove and Full-Flow. The methodology is described below at the level of detail permissible without violating commercial confidentiality.</w:t>
      </w:r>
    </w:p>
    <w:p w:rsidR="004C69A9" w:rsidRPr="00336FE5" w:rsidRDefault="00000000">
      <w:pPr>
        <w:spacing w:before="60" w:after="60" w:line="360" w:lineRule="auto"/>
        <w:ind w:firstLine="720"/>
        <w:jc w:val="both"/>
        <w:rPr>
          <w:color w:val="000000" w:themeColor="text1"/>
        </w:rPr>
      </w:pPr>
      <w:r w:rsidRPr="00336FE5">
        <w:rPr>
          <w:color w:val="000000" w:themeColor="text1"/>
        </w:rPr>
        <w:t>The primary success metric (target variable) in the test was the conversion rate from offer impression to loan disbursement. Secondary metrics tracked included: average processing time, drop-off rate at the application stage, portfolio quality indicators (arrears at 30 and 90 days post-disbursement), and client satisfaction scores.</w:t>
      </w:r>
    </w:p>
    <w:p w:rsidR="004C69A9" w:rsidRPr="00336FE5" w:rsidRDefault="00000000">
      <w:pPr>
        <w:spacing w:before="60" w:after="60" w:line="360" w:lineRule="auto"/>
        <w:ind w:firstLine="720"/>
        <w:jc w:val="both"/>
        <w:rPr>
          <w:color w:val="000000" w:themeColor="text1"/>
        </w:rPr>
      </w:pPr>
      <w:r w:rsidRPr="00336FE5">
        <w:rPr>
          <w:color w:val="000000" w:themeColor="text1"/>
        </w:rPr>
        <w:t>The test sample was drawn from legal entities for whom pre-approved offers had been generated as part of a planned campaign. Random assignment to groups A and B was performed at the client level (not the session level), eliminating cross-contamination between groups. Sample size was determined based on the required statistical power (80%) and significance level (p &lt; 0.05), assuming a minimum detectable effect of 5 percentage points in the conversion rate.</w:t>
      </w:r>
    </w:p>
    <w:p w:rsidR="004C69A9" w:rsidRPr="00336FE5" w:rsidRDefault="00000000">
      <w:pPr>
        <w:spacing w:before="60" w:after="60" w:line="360" w:lineRule="auto"/>
        <w:ind w:firstLine="720"/>
        <w:jc w:val="both"/>
        <w:rPr>
          <w:color w:val="000000" w:themeColor="text1"/>
        </w:rPr>
      </w:pPr>
      <w:r w:rsidRPr="00336FE5">
        <w:rPr>
          <w:color w:val="000000" w:themeColor="text1"/>
        </w:rPr>
        <w:t>The test ran for several weeks. Results were evaluated using two-proportion comparison methods (z-test for two proportions) and distribution homogeneity tests (chi-squared test). Data analysis was conducted by the bank's analytics team using internal tools</w:t>
      </w:r>
      <w:r w:rsidR="004A2298">
        <w:rPr>
          <w:color w:val="000000" w:themeColor="text1"/>
        </w:rPr>
        <w:t xml:space="preserve"> like helicopter, which include SQL and Python interface</w:t>
      </w:r>
      <w:r w:rsidRPr="00336FE5">
        <w:rPr>
          <w:color w:val="000000" w:themeColor="text1"/>
        </w:rPr>
        <w:t xml:space="preserve">; </w:t>
      </w:r>
      <w:r w:rsidR="004A2298">
        <w:rPr>
          <w:color w:val="000000" w:themeColor="text1"/>
          <w:lang w:val="en-US"/>
        </w:rPr>
        <w:t>I</w:t>
      </w:r>
      <w:r w:rsidRPr="00336FE5">
        <w:rPr>
          <w:color w:val="000000" w:themeColor="text1"/>
        </w:rPr>
        <w:t xml:space="preserve"> contributed to the preparation of analytical tables and the interpretation of results.</w:t>
      </w:r>
    </w:p>
    <w:p w:rsidR="004C69A9" w:rsidRPr="00336FE5" w:rsidRDefault="00000000">
      <w:pPr>
        <w:pStyle w:val="2"/>
        <w:rPr>
          <w:color w:val="000000" w:themeColor="text1"/>
        </w:rPr>
      </w:pPr>
      <w:r w:rsidRPr="00336FE5">
        <w:rPr>
          <w:color w:val="000000" w:themeColor="text1"/>
        </w:rPr>
        <w:t>4.2. Description of Full-Prove and Full-Flow Strategies</w:t>
      </w:r>
    </w:p>
    <w:p w:rsidR="004C69A9" w:rsidRPr="00336FE5" w:rsidRDefault="00000000">
      <w:pPr>
        <w:spacing w:before="60" w:after="60" w:line="360" w:lineRule="auto"/>
        <w:ind w:firstLine="720"/>
        <w:jc w:val="both"/>
        <w:rPr>
          <w:color w:val="000000" w:themeColor="text1"/>
        </w:rPr>
      </w:pPr>
      <w:r w:rsidRPr="00336FE5">
        <w:rPr>
          <w:color w:val="000000" w:themeColor="text1"/>
        </w:rPr>
        <w:t>The two strategies under test differ fundamentally in the way the client is engaged in the loan application process.</w:t>
      </w:r>
    </w:p>
    <w:p w:rsidR="004C69A9" w:rsidRPr="00336FE5" w:rsidRDefault="00000000">
      <w:pPr>
        <w:spacing w:before="60" w:after="60" w:line="360" w:lineRule="auto"/>
        <w:ind w:firstLine="720"/>
        <w:jc w:val="both"/>
        <w:rPr>
          <w:color w:val="000000" w:themeColor="text1"/>
        </w:rPr>
      </w:pPr>
      <w:r w:rsidRPr="00336FE5">
        <w:rPr>
          <w:color w:val="000000" w:themeColor="text1"/>
        </w:rPr>
        <w:t xml:space="preserve">The Full-Prove strategy (Group A) means that the client sees a fully formed, approved offer displaying specific parameters — credit limit, interest rate, and term. To obtain the loan, the client simply needs to confirm their agreement by clicking the corresponding button. No forms need to be completed, no additional documents submitted, and no further verification </w:t>
      </w:r>
      <w:r w:rsidRPr="00336FE5">
        <w:rPr>
          <w:color w:val="000000" w:themeColor="text1"/>
        </w:rPr>
        <w:lastRenderedPageBreak/>
        <w:t>steps are required on the client's side. All necessary information has already been collected and verified through the scoring pipeline. The name reflects the essence: the client is presented with a "fully proven" (verified and pre-cleared) offer.</w:t>
      </w:r>
    </w:p>
    <w:p w:rsidR="004C69A9" w:rsidRPr="00336FE5" w:rsidRDefault="00000000">
      <w:pPr>
        <w:spacing w:before="60" w:after="60" w:line="360" w:lineRule="auto"/>
        <w:ind w:firstLine="720"/>
        <w:jc w:val="both"/>
        <w:rPr>
          <w:color w:val="000000" w:themeColor="text1"/>
        </w:rPr>
      </w:pPr>
      <w:r w:rsidRPr="00336FE5">
        <w:rPr>
          <w:color w:val="000000" w:themeColor="text1"/>
        </w:rPr>
        <w:t>The Full-Flow strategy (Group B) implements a different scenario: the client has a hidden pre-approved offer, but the bank does not disclose its parameters. Instead, the client sees an invitation to apply for a loan and goes through the standard path of completing an application form — entering the required data, uploading documents (if required), and awaiting a decision. In practice, the bank already "knows" the answer, but the client experiences the full application journey typical of a standard loan request. The name reflects the complete application flow that the client undergoes.</w:t>
      </w:r>
    </w:p>
    <w:p w:rsidR="004C69A9" w:rsidRPr="00336FE5" w:rsidRDefault="00000000">
      <w:pPr>
        <w:spacing w:before="60" w:after="60" w:line="360" w:lineRule="auto"/>
        <w:ind w:firstLine="720"/>
        <w:jc w:val="both"/>
        <w:rPr>
          <w:color w:val="000000" w:themeColor="text1"/>
        </w:rPr>
      </w:pPr>
      <w:r w:rsidRPr="00336FE5">
        <w:rPr>
          <w:color w:val="000000" w:themeColor="text1"/>
        </w:rPr>
        <w:t>The fundamental distinction between the strategies lies in the level of client effort required and the transparency of the bank's communication. Full-Prove maximises convenience and speed, which theoretically should have a positive effect on conversion. Full-Flow preserves the appearance of a standard credit process, which may be preferable in certain communication contexts or for client segments accustomed to traditional application procedures.</w:t>
      </w:r>
    </w:p>
    <w:p w:rsidR="004C69A9" w:rsidRPr="00336FE5" w:rsidRDefault="00000000">
      <w:pPr>
        <w:spacing w:before="60" w:after="60" w:line="360" w:lineRule="auto"/>
        <w:ind w:firstLine="720"/>
        <w:jc w:val="both"/>
        <w:rPr>
          <w:color w:val="000000" w:themeColor="text1"/>
        </w:rPr>
      </w:pPr>
      <w:r w:rsidRPr="00336FE5">
        <w:rPr>
          <w:color w:val="000000" w:themeColor="text1"/>
        </w:rPr>
        <w:t>From a credit risk perspective, both strategies lead to loan disbursement under the same terms (since the offer was pre-approved with identical parameters), making a comparison of portfolio quality between the groups statistically valid.</w:t>
      </w:r>
    </w:p>
    <w:p w:rsidR="004C69A9" w:rsidRPr="00336FE5" w:rsidRDefault="00000000">
      <w:pPr>
        <w:pStyle w:val="2"/>
        <w:rPr>
          <w:color w:val="000000" w:themeColor="text1"/>
        </w:rPr>
      </w:pPr>
      <w:r w:rsidRPr="00336FE5">
        <w:rPr>
          <w:color w:val="000000" w:themeColor="text1"/>
        </w:rPr>
        <w:t>4.3. Test Results</w:t>
      </w:r>
    </w:p>
    <w:p w:rsidR="004C69A9" w:rsidRPr="00336FE5" w:rsidRDefault="00000000">
      <w:pPr>
        <w:spacing w:before="60" w:after="60" w:line="360" w:lineRule="auto"/>
        <w:ind w:firstLine="720"/>
        <w:jc w:val="both"/>
        <w:rPr>
          <w:color w:val="000000" w:themeColor="text1"/>
        </w:rPr>
      </w:pPr>
      <w:r w:rsidRPr="00336FE5">
        <w:rPr>
          <w:color w:val="000000" w:themeColor="text1"/>
        </w:rPr>
        <w:t>The A/B test yielded the following conclusions. Due to the confidential nature of specific numerical indicators, the results below are presented in relative terms.</w:t>
      </w:r>
    </w:p>
    <w:p w:rsidR="004C69A9" w:rsidRPr="00336FE5" w:rsidRDefault="00000000">
      <w:pPr>
        <w:spacing w:before="60" w:after="60" w:line="360" w:lineRule="auto"/>
        <w:ind w:firstLine="720"/>
        <w:jc w:val="both"/>
        <w:rPr>
          <w:color w:val="000000" w:themeColor="text1"/>
        </w:rPr>
      </w:pPr>
      <w:r w:rsidRPr="00336FE5">
        <w:rPr>
          <w:color w:val="000000" w:themeColor="text1"/>
        </w:rPr>
        <w:t>The conversion rate from offer impression to loan disbursement was statistically significantly higher in the Full-Prove group (Group A) than in the Full-Flow group (Group B). The conversion gap was approximately 20–28 percentage points in favour of the Full-Prove strategy. This result exceeded the team's initial expectations and confirmed the hypothesis that reducing client effort during the application process substantially increases the likelihood of offer acceptance.</w:t>
      </w:r>
    </w:p>
    <w:p w:rsidR="004C69A9" w:rsidRPr="00336FE5" w:rsidRDefault="00000000">
      <w:pPr>
        <w:spacing w:before="60" w:after="60" w:line="360" w:lineRule="auto"/>
        <w:ind w:firstLine="720"/>
        <w:jc w:val="both"/>
        <w:rPr>
          <w:color w:val="000000" w:themeColor="text1"/>
        </w:rPr>
      </w:pPr>
      <w:r w:rsidRPr="00336FE5">
        <w:rPr>
          <w:color w:val="000000" w:themeColor="text1"/>
        </w:rPr>
        <w:t>The average time from offer presentation to acceptance in the Full-Prove group was under 2 minutes, while in the Full-Flow group this metric reached 7–15 minutes. A significant proportion of clients in the Full-Flow group abandoned the process at intermediate form-filling stages, supporting the hypothesis that small business clients are highly sensitive to application complexity.</w:t>
      </w:r>
    </w:p>
    <w:p w:rsidR="004C69A9" w:rsidRPr="00336FE5" w:rsidRDefault="00000000">
      <w:pPr>
        <w:spacing w:before="60" w:after="60" w:line="360" w:lineRule="auto"/>
        <w:ind w:firstLine="720"/>
        <w:jc w:val="both"/>
        <w:rPr>
          <w:color w:val="000000" w:themeColor="text1"/>
        </w:rPr>
      </w:pPr>
      <w:r w:rsidRPr="00336FE5">
        <w:rPr>
          <w:color w:val="000000" w:themeColor="text1"/>
        </w:rPr>
        <w:lastRenderedPageBreak/>
        <w:t>Credit portfolio quality (arrears at 30 and 90 days post-disbursement) was comparable across both groups, confirming the accuracy of the applied scoring model: clients in both groups were selected using identical criteria, and the sales strategy does not influence the credit quality of the borrower.</w:t>
      </w:r>
    </w:p>
    <w:p w:rsidR="004C69A9" w:rsidRPr="00336FE5" w:rsidRDefault="00000000">
      <w:pPr>
        <w:spacing w:before="60" w:after="60" w:line="360" w:lineRule="auto"/>
        <w:ind w:firstLine="720"/>
        <w:jc w:val="both"/>
        <w:rPr>
          <w:color w:val="000000" w:themeColor="text1"/>
        </w:rPr>
      </w:pPr>
      <w:r w:rsidRPr="00336FE5">
        <w:rPr>
          <w:color w:val="000000" w:themeColor="text1"/>
        </w:rPr>
        <w:t>Client satisfaction scores (measured via post-application NPS survey) were higher in the Full-Prove group, consistent with the literature on the importance of zero friction in digital financial services.</w:t>
      </w:r>
    </w:p>
    <w:p w:rsidR="004C69A9" w:rsidRPr="00336FE5" w:rsidRDefault="004C69A9">
      <w:pPr>
        <w:rPr>
          <w:color w:val="000000" w:themeColor="text1"/>
        </w:rPr>
      </w:pPr>
    </w:p>
    <w:p w:rsidR="004C69A9" w:rsidRPr="00336FE5" w:rsidRDefault="00000000">
      <w:pPr>
        <w:spacing w:before="120" w:after="60"/>
        <w:jc w:val="center"/>
        <w:rPr>
          <w:color w:val="000000" w:themeColor="text1"/>
        </w:rPr>
      </w:pPr>
      <w:r w:rsidRPr="00336FE5">
        <w:rPr>
          <w:i/>
          <w:iCs/>
          <w:color w:val="000000" w:themeColor="text1"/>
          <w:sz w:val="22"/>
          <w:szCs w:val="22"/>
        </w:rPr>
        <w:t>Table 1. Comparative Summary of Full-Prove and Full-Flow Strategies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000"/>
      </w:tblGrid>
      <w:tr w:rsidR="004C69A9" w:rsidRPr="00336FE5">
        <w:tc>
          <w:tcPr>
            <w:tcW w:w="2500" w:type="dxa"/>
            <w:tcBorders>
              <w:top w:val="single" w:sz="1" w:space="0" w:color="AAAAAA"/>
              <w:left w:val="single" w:sz="1" w:space="0" w:color="AAAAAA"/>
              <w:bottom w:val="single" w:sz="1" w:space="0" w:color="AAAAAA"/>
              <w:right w:val="single" w:sz="1" w:space="0" w:color="AAAAAA"/>
            </w:tcBorders>
            <w:shd w:val="clear" w:color="auto" w:fill="D9E2F3"/>
            <w:tcMar>
              <w:top w:w="100" w:type="dxa"/>
              <w:left w:w="150" w:type="dxa"/>
              <w:bottom w:w="100" w:type="dxa"/>
              <w:right w:w="150" w:type="dxa"/>
            </w:tcMar>
          </w:tcPr>
          <w:p w:rsidR="004C69A9" w:rsidRPr="00336FE5" w:rsidRDefault="00000000">
            <w:pPr>
              <w:jc w:val="center"/>
              <w:rPr>
                <w:color w:val="000000" w:themeColor="text1"/>
              </w:rPr>
            </w:pPr>
            <w:r w:rsidRPr="00336FE5">
              <w:rPr>
                <w:b/>
                <w:bCs/>
                <w:color w:val="000000" w:themeColor="text1"/>
                <w:sz w:val="22"/>
                <w:szCs w:val="22"/>
              </w:rPr>
              <w:t>Parameter</w:t>
            </w:r>
          </w:p>
        </w:tc>
        <w:tc>
          <w:tcPr>
            <w:tcW w:w="3000" w:type="dxa"/>
            <w:tcBorders>
              <w:top w:val="single" w:sz="1" w:space="0" w:color="AAAAAA"/>
              <w:left w:val="single" w:sz="1" w:space="0" w:color="AAAAAA"/>
              <w:bottom w:val="single" w:sz="1" w:space="0" w:color="AAAAAA"/>
              <w:right w:val="single" w:sz="1" w:space="0" w:color="AAAAAA"/>
            </w:tcBorders>
            <w:shd w:val="clear" w:color="auto" w:fill="D9E2F3"/>
            <w:tcMar>
              <w:top w:w="100" w:type="dxa"/>
              <w:left w:w="150" w:type="dxa"/>
              <w:bottom w:w="100" w:type="dxa"/>
              <w:right w:w="150" w:type="dxa"/>
            </w:tcMar>
          </w:tcPr>
          <w:p w:rsidR="004C69A9" w:rsidRPr="00336FE5" w:rsidRDefault="00000000">
            <w:pPr>
              <w:jc w:val="center"/>
              <w:rPr>
                <w:color w:val="000000" w:themeColor="text1"/>
              </w:rPr>
            </w:pPr>
            <w:r w:rsidRPr="00336FE5">
              <w:rPr>
                <w:b/>
                <w:bCs/>
                <w:color w:val="000000" w:themeColor="text1"/>
                <w:sz w:val="22"/>
                <w:szCs w:val="22"/>
              </w:rPr>
              <w:t>Full-Prove (Group A)</w:t>
            </w:r>
          </w:p>
        </w:tc>
        <w:tc>
          <w:tcPr>
            <w:tcW w:w="3000" w:type="dxa"/>
            <w:tcBorders>
              <w:top w:val="single" w:sz="1" w:space="0" w:color="AAAAAA"/>
              <w:left w:val="single" w:sz="1" w:space="0" w:color="AAAAAA"/>
              <w:bottom w:val="single" w:sz="1" w:space="0" w:color="AAAAAA"/>
              <w:right w:val="single" w:sz="1" w:space="0" w:color="AAAAAA"/>
            </w:tcBorders>
            <w:shd w:val="clear" w:color="auto" w:fill="D9E2F3"/>
            <w:tcMar>
              <w:top w:w="100" w:type="dxa"/>
              <w:left w:w="150" w:type="dxa"/>
              <w:bottom w:w="100" w:type="dxa"/>
              <w:right w:w="150" w:type="dxa"/>
            </w:tcMar>
          </w:tcPr>
          <w:p w:rsidR="004C69A9" w:rsidRPr="00336FE5" w:rsidRDefault="00000000">
            <w:pPr>
              <w:jc w:val="center"/>
              <w:rPr>
                <w:color w:val="000000" w:themeColor="text1"/>
              </w:rPr>
            </w:pPr>
            <w:r w:rsidRPr="00336FE5">
              <w:rPr>
                <w:b/>
                <w:bCs/>
                <w:color w:val="000000" w:themeColor="text1"/>
                <w:sz w:val="22"/>
                <w:szCs w:val="22"/>
              </w:rPr>
              <w:t>Full-Flow (Group B)</w:t>
            </w:r>
          </w:p>
        </w:tc>
      </w:tr>
      <w:tr w:rsidR="004C69A9" w:rsidRPr="00336FE5">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tcPr>
          <w:p w:rsidR="004C69A9" w:rsidRPr="00336FE5" w:rsidRDefault="00000000">
            <w:pPr>
              <w:rPr>
                <w:color w:val="000000" w:themeColor="text1"/>
              </w:rPr>
            </w:pPr>
            <w:r w:rsidRPr="00336FE5">
              <w:rPr>
                <w:b/>
                <w:bCs/>
                <w:color w:val="000000" w:themeColor="text1"/>
                <w:sz w:val="22"/>
                <w:szCs w:val="22"/>
              </w:rPr>
              <w:t>Strategy description</w:t>
            </w:r>
          </w:p>
        </w:tc>
        <w:tc>
          <w:tcPr>
            <w:tcW w:w="30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rsidR="004C69A9" w:rsidRPr="00336FE5" w:rsidRDefault="00000000">
            <w:pPr>
              <w:jc w:val="both"/>
              <w:rPr>
                <w:color w:val="000000" w:themeColor="text1"/>
              </w:rPr>
            </w:pPr>
            <w:r w:rsidRPr="00336FE5">
              <w:rPr>
                <w:color w:val="000000" w:themeColor="text1"/>
                <w:sz w:val="22"/>
                <w:szCs w:val="22"/>
              </w:rPr>
              <w:t>The client receives a fully approved pre-formed offer with specific parameters and can accept it instantly without completing any application forms</w:t>
            </w:r>
          </w:p>
        </w:tc>
        <w:tc>
          <w:tcPr>
            <w:tcW w:w="30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rsidR="004C69A9" w:rsidRPr="00336FE5" w:rsidRDefault="00000000">
            <w:pPr>
              <w:jc w:val="both"/>
              <w:rPr>
                <w:color w:val="000000" w:themeColor="text1"/>
              </w:rPr>
            </w:pPr>
            <w:r w:rsidRPr="00336FE5">
              <w:rPr>
                <w:color w:val="000000" w:themeColor="text1"/>
                <w:sz w:val="22"/>
                <w:szCs w:val="22"/>
              </w:rPr>
              <w:t>The client has a hidden pre-approved offer but goes through the full standard loan application process independently</w:t>
            </w:r>
          </w:p>
        </w:tc>
      </w:tr>
      <w:tr w:rsidR="004C69A9" w:rsidRPr="00336FE5">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tcPr>
          <w:p w:rsidR="004C69A9" w:rsidRPr="00336FE5" w:rsidRDefault="00000000">
            <w:pPr>
              <w:rPr>
                <w:color w:val="000000" w:themeColor="text1"/>
              </w:rPr>
            </w:pPr>
            <w:r w:rsidRPr="00336FE5">
              <w:rPr>
                <w:b/>
                <w:bCs/>
                <w:color w:val="000000" w:themeColor="text1"/>
                <w:sz w:val="22"/>
                <w:szCs w:val="22"/>
              </w:rPr>
              <w:t>Conversion rate (relative)</w:t>
            </w:r>
          </w:p>
        </w:tc>
        <w:tc>
          <w:tcPr>
            <w:tcW w:w="30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rsidR="004C69A9" w:rsidRPr="00336FE5" w:rsidRDefault="00000000">
            <w:pPr>
              <w:jc w:val="both"/>
              <w:rPr>
                <w:color w:val="000000" w:themeColor="text1"/>
              </w:rPr>
            </w:pPr>
            <w:r w:rsidRPr="00336FE5">
              <w:rPr>
                <w:color w:val="000000" w:themeColor="text1"/>
                <w:sz w:val="22"/>
                <w:szCs w:val="22"/>
              </w:rPr>
              <w:t>Baseline level (100%)</w:t>
            </w:r>
          </w:p>
        </w:tc>
        <w:tc>
          <w:tcPr>
            <w:tcW w:w="30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rsidR="004C69A9" w:rsidRPr="00336FE5" w:rsidRDefault="00000000">
            <w:pPr>
              <w:jc w:val="both"/>
              <w:rPr>
                <w:color w:val="000000" w:themeColor="text1"/>
              </w:rPr>
            </w:pPr>
            <w:r w:rsidRPr="00336FE5">
              <w:rPr>
                <w:color w:val="000000" w:themeColor="text1"/>
                <w:sz w:val="22"/>
                <w:szCs w:val="22"/>
              </w:rPr>
              <w:t>~72–78% of Full-Prove level</w:t>
            </w:r>
          </w:p>
        </w:tc>
      </w:tr>
      <w:tr w:rsidR="004C69A9" w:rsidRPr="00336FE5">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tcPr>
          <w:p w:rsidR="004C69A9" w:rsidRPr="00336FE5" w:rsidRDefault="00000000">
            <w:pPr>
              <w:rPr>
                <w:color w:val="000000" w:themeColor="text1"/>
              </w:rPr>
            </w:pPr>
            <w:r w:rsidRPr="00336FE5">
              <w:rPr>
                <w:b/>
                <w:bCs/>
                <w:color w:val="000000" w:themeColor="text1"/>
                <w:sz w:val="22"/>
                <w:szCs w:val="22"/>
              </w:rPr>
              <w:t>Average processing time</w:t>
            </w:r>
          </w:p>
        </w:tc>
        <w:tc>
          <w:tcPr>
            <w:tcW w:w="30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rsidR="004C69A9" w:rsidRPr="00336FE5" w:rsidRDefault="00000000">
            <w:pPr>
              <w:jc w:val="both"/>
              <w:rPr>
                <w:color w:val="000000" w:themeColor="text1"/>
              </w:rPr>
            </w:pPr>
            <w:r w:rsidRPr="00336FE5">
              <w:rPr>
                <w:color w:val="000000" w:themeColor="text1"/>
                <w:sz w:val="22"/>
                <w:szCs w:val="22"/>
              </w:rPr>
              <w:t>Under 2 minutes</w:t>
            </w:r>
          </w:p>
        </w:tc>
        <w:tc>
          <w:tcPr>
            <w:tcW w:w="30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rsidR="004C69A9" w:rsidRPr="00336FE5" w:rsidRDefault="00000000">
            <w:pPr>
              <w:jc w:val="both"/>
              <w:rPr>
                <w:color w:val="000000" w:themeColor="text1"/>
              </w:rPr>
            </w:pPr>
            <w:r w:rsidRPr="00336FE5">
              <w:rPr>
                <w:color w:val="000000" w:themeColor="text1"/>
                <w:sz w:val="22"/>
                <w:szCs w:val="22"/>
              </w:rPr>
              <w:t>7 to 15 minutes</w:t>
            </w:r>
          </w:p>
        </w:tc>
      </w:tr>
      <w:tr w:rsidR="004C69A9" w:rsidRPr="00336FE5">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tcPr>
          <w:p w:rsidR="004C69A9" w:rsidRPr="00336FE5" w:rsidRDefault="00000000">
            <w:pPr>
              <w:rPr>
                <w:color w:val="000000" w:themeColor="text1"/>
              </w:rPr>
            </w:pPr>
            <w:r w:rsidRPr="00336FE5">
              <w:rPr>
                <w:b/>
                <w:bCs/>
                <w:color w:val="000000" w:themeColor="text1"/>
                <w:sz w:val="22"/>
                <w:szCs w:val="22"/>
              </w:rPr>
              <w:t>Drop-offs during application</w:t>
            </w:r>
          </w:p>
        </w:tc>
        <w:tc>
          <w:tcPr>
            <w:tcW w:w="30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rsidR="004C69A9" w:rsidRPr="00336FE5" w:rsidRDefault="00000000">
            <w:pPr>
              <w:jc w:val="both"/>
              <w:rPr>
                <w:color w:val="000000" w:themeColor="text1"/>
              </w:rPr>
            </w:pPr>
            <w:r w:rsidRPr="00336FE5">
              <w:rPr>
                <w:color w:val="000000" w:themeColor="text1"/>
                <w:sz w:val="22"/>
                <w:szCs w:val="22"/>
              </w:rPr>
              <w:t>Minimal (offer already formed)</w:t>
            </w:r>
          </w:p>
        </w:tc>
        <w:tc>
          <w:tcPr>
            <w:tcW w:w="30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rsidR="004C69A9" w:rsidRPr="00336FE5" w:rsidRDefault="00000000">
            <w:pPr>
              <w:jc w:val="both"/>
              <w:rPr>
                <w:color w:val="000000" w:themeColor="text1"/>
              </w:rPr>
            </w:pPr>
            <w:r w:rsidRPr="00336FE5">
              <w:rPr>
                <w:color w:val="000000" w:themeColor="text1"/>
                <w:sz w:val="22"/>
                <w:szCs w:val="22"/>
              </w:rPr>
              <w:t>Observed at form-filling stages</w:t>
            </w:r>
          </w:p>
        </w:tc>
      </w:tr>
      <w:tr w:rsidR="004C69A9" w:rsidRPr="00336FE5">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tcPr>
          <w:p w:rsidR="004C69A9" w:rsidRPr="00336FE5" w:rsidRDefault="00000000">
            <w:pPr>
              <w:rPr>
                <w:color w:val="000000" w:themeColor="text1"/>
              </w:rPr>
            </w:pPr>
            <w:r w:rsidRPr="00336FE5">
              <w:rPr>
                <w:b/>
                <w:bCs/>
                <w:color w:val="000000" w:themeColor="text1"/>
                <w:sz w:val="22"/>
                <w:szCs w:val="22"/>
              </w:rPr>
              <w:t>Credit portfolio quality</w:t>
            </w:r>
          </w:p>
        </w:tc>
        <w:tc>
          <w:tcPr>
            <w:tcW w:w="30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rsidR="004C69A9" w:rsidRPr="00336FE5" w:rsidRDefault="00000000">
            <w:pPr>
              <w:jc w:val="both"/>
              <w:rPr>
                <w:color w:val="000000" w:themeColor="text1"/>
              </w:rPr>
            </w:pPr>
            <w:r w:rsidRPr="00336FE5">
              <w:rPr>
                <w:color w:val="000000" w:themeColor="text1"/>
                <w:sz w:val="22"/>
                <w:szCs w:val="22"/>
              </w:rPr>
              <w:t>Comparable to Full-Flow</w:t>
            </w:r>
          </w:p>
        </w:tc>
        <w:tc>
          <w:tcPr>
            <w:tcW w:w="30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rsidR="004C69A9" w:rsidRPr="00336FE5" w:rsidRDefault="00000000">
            <w:pPr>
              <w:jc w:val="both"/>
              <w:rPr>
                <w:color w:val="000000" w:themeColor="text1"/>
              </w:rPr>
            </w:pPr>
            <w:r w:rsidRPr="00336FE5">
              <w:rPr>
                <w:color w:val="000000" w:themeColor="text1"/>
                <w:sz w:val="22"/>
                <w:szCs w:val="22"/>
              </w:rPr>
              <w:t>Comparable to Full-Prove</w:t>
            </w:r>
          </w:p>
        </w:tc>
      </w:tr>
      <w:tr w:rsidR="004C69A9" w:rsidRPr="00336FE5">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tcPr>
          <w:p w:rsidR="004C69A9" w:rsidRPr="00336FE5" w:rsidRDefault="00000000">
            <w:pPr>
              <w:rPr>
                <w:color w:val="000000" w:themeColor="text1"/>
              </w:rPr>
            </w:pPr>
            <w:r w:rsidRPr="00336FE5">
              <w:rPr>
                <w:b/>
                <w:bCs/>
                <w:color w:val="000000" w:themeColor="text1"/>
                <w:sz w:val="22"/>
                <w:szCs w:val="22"/>
              </w:rPr>
              <w:t>Client satisfaction</w:t>
            </w:r>
          </w:p>
        </w:tc>
        <w:tc>
          <w:tcPr>
            <w:tcW w:w="30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rsidR="004C69A9" w:rsidRPr="00336FE5" w:rsidRDefault="00000000">
            <w:pPr>
              <w:jc w:val="both"/>
              <w:rPr>
                <w:color w:val="000000" w:themeColor="text1"/>
              </w:rPr>
            </w:pPr>
            <w:r w:rsidRPr="00336FE5">
              <w:rPr>
                <w:color w:val="000000" w:themeColor="text1"/>
                <w:sz w:val="22"/>
                <w:szCs w:val="22"/>
              </w:rPr>
              <w:t>High (simplicity of process)</w:t>
            </w:r>
          </w:p>
        </w:tc>
        <w:tc>
          <w:tcPr>
            <w:tcW w:w="30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rsidR="004C69A9" w:rsidRPr="00336FE5" w:rsidRDefault="00000000">
            <w:pPr>
              <w:jc w:val="both"/>
              <w:rPr>
                <w:color w:val="000000" w:themeColor="text1"/>
              </w:rPr>
            </w:pPr>
            <w:r w:rsidRPr="00336FE5">
              <w:rPr>
                <w:color w:val="000000" w:themeColor="text1"/>
                <w:sz w:val="22"/>
                <w:szCs w:val="22"/>
              </w:rPr>
              <w:t>Moderate (process complexity)</w:t>
            </w:r>
          </w:p>
        </w:tc>
      </w:tr>
      <w:tr w:rsidR="004C69A9" w:rsidRPr="00336FE5">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tcPr>
          <w:p w:rsidR="004C69A9" w:rsidRPr="00336FE5" w:rsidRDefault="00000000">
            <w:pPr>
              <w:rPr>
                <w:color w:val="000000" w:themeColor="text1"/>
              </w:rPr>
            </w:pPr>
            <w:r w:rsidRPr="00336FE5">
              <w:rPr>
                <w:b/>
                <w:bCs/>
                <w:color w:val="000000" w:themeColor="text1"/>
                <w:sz w:val="22"/>
                <w:szCs w:val="22"/>
              </w:rPr>
              <w:t>Recommendation</w:t>
            </w:r>
          </w:p>
        </w:tc>
        <w:tc>
          <w:tcPr>
            <w:tcW w:w="30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rsidR="004C69A9" w:rsidRPr="00336FE5" w:rsidRDefault="00000000">
            <w:pPr>
              <w:jc w:val="both"/>
              <w:rPr>
                <w:color w:val="000000" w:themeColor="text1"/>
              </w:rPr>
            </w:pPr>
            <w:r w:rsidRPr="00336FE5">
              <w:rPr>
                <w:color w:val="000000" w:themeColor="text1"/>
                <w:sz w:val="22"/>
                <w:szCs w:val="22"/>
              </w:rPr>
              <w:t>Priority approach for target segments</w:t>
            </w:r>
          </w:p>
        </w:tc>
        <w:tc>
          <w:tcPr>
            <w:tcW w:w="30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tcPr>
          <w:p w:rsidR="004C69A9" w:rsidRPr="00336FE5" w:rsidRDefault="00000000">
            <w:pPr>
              <w:jc w:val="both"/>
              <w:rPr>
                <w:color w:val="000000" w:themeColor="text1"/>
              </w:rPr>
            </w:pPr>
            <w:r w:rsidRPr="00336FE5">
              <w:rPr>
                <w:color w:val="000000" w:themeColor="text1"/>
                <w:sz w:val="22"/>
                <w:szCs w:val="22"/>
              </w:rPr>
              <w:t>Applicable as control group and for non-priority segments</w:t>
            </w:r>
          </w:p>
        </w:tc>
      </w:tr>
    </w:tbl>
    <w:p w:rsidR="004C69A9" w:rsidRPr="00336FE5" w:rsidRDefault="00000000">
      <w:pPr>
        <w:spacing w:before="60" w:after="120"/>
        <w:jc w:val="center"/>
        <w:rPr>
          <w:color w:val="000000" w:themeColor="text1"/>
        </w:rPr>
      </w:pPr>
      <w:r w:rsidRPr="00336FE5">
        <w:rPr>
          <w:i/>
          <w:iCs/>
          <w:color w:val="000000" w:themeColor="text1"/>
          <w:sz w:val="20"/>
          <w:szCs w:val="20"/>
        </w:rPr>
        <w:t>Source: A/B test results conducted at T-Bank JSC (data aggregated in accordance with confidentiality requirements)</w:t>
      </w:r>
    </w:p>
    <w:p w:rsidR="004C69A9" w:rsidRPr="00336FE5" w:rsidRDefault="004C69A9">
      <w:pPr>
        <w:rPr>
          <w:color w:val="000000" w:themeColor="text1"/>
        </w:rPr>
      </w:pPr>
    </w:p>
    <w:p w:rsidR="004C69A9" w:rsidRPr="00336FE5" w:rsidRDefault="00000000">
      <w:pPr>
        <w:spacing w:before="60" w:after="60" w:line="360" w:lineRule="auto"/>
        <w:ind w:firstLine="720"/>
        <w:jc w:val="both"/>
        <w:rPr>
          <w:color w:val="000000" w:themeColor="text1"/>
        </w:rPr>
      </w:pPr>
      <w:r w:rsidRPr="00336FE5">
        <w:rPr>
          <w:color w:val="000000" w:themeColor="text1"/>
        </w:rPr>
        <w:t>Based on the results obtained, the team decided to scale the Full-Prove strategy as the priority approach for target legal entity segments. The Full-Flow strategy is retained as a control scenario and applied in situations where regulatory or technological constraints prevent full pre-approval in real time.</w:t>
      </w:r>
    </w:p>
    <w:p w:rsidR="004C69A9" w:rsidRPr="00336FE5" w:rsidRDefault="00000000">
      <w:pPr>
        <w:spacing w:before="60" w:after="60" w:line="360" w:lineRule="auto"/>
        <w:ind w:firstLine="720"/>
        <w:jc w:val="both"/>
        <w:rPr>
          <w:color w:val="000000" w:themeColor="text1"/>
        </w:rPr>
      </w:pPr>
      <w:r w:rsidRPr="00336FE5">
        <w:rPr>
          <w:color w:val="000000" w:themeColor="text1"/>
        </w:rPr>
        <w:t xml:space="preserve">These results carry significant implications for the thesis. They confirm that not only the quality of the scoring model but also the architecture of the client journey is a critical determinant of the commercial effectiveness of a pre-approved offer system. This means that </w:t>
      </w:r>
      <w:r w:rsidRPr="00336FE5">
        <w:rPr>
          <w:color w:val="000000" w:themeColor="text1"/>
        </w:rPr>
        <w:lastRenderedPageBreak/>
        <w:t>the thesis research must address not only the technical aspects of scoring model construction but also the operational design of the sales process.</w:t>
      </w:r>
    </w:p>
    <w:p w:rsidR="004C69A9" w:rsidRPr="00336FE5" w:rsidRDefault="00000000">
      <w:pPr>
        <w:rPr>
          <w:color w:val="000000" w:themeColor="text1"/>
        </w:rPr>
      </w:pPr>
      <w:r w:rsidRPr="00336FE5">
        <w:rPr>
          <w:color w:val="000000" w:themeColor="text1"/>
        </w:rPr>
        <w:br w:type="page"/>
      </w:r>
    </w:p>
    <w:p w:rsidR="004C69A9" w:rsidRPr="00336FE5" w:rsidRDefault="00000000">
      <w:pPr>
        <w:pStyle w:val="1"/>
        <w:rPr>
          <w:color w:val="000000" w:themeColor="text1"/>
        </w:rPr>
      </w:pPr>
      <w:r w:rsidRPr="00336FE5">
        <w:rPr>
          <w:color w:val="000000" w:themeColor="text1"/>
        </w:rPr>
        <w:lastRenderedPageBreak/>
        <w:t>5. CONNECTION BETWEEN THE INTERNSHIP AND THE THESIS</w:t>
      </w:r>
    </w:p>
    <w:p w:rsidR="004C69A9" w:rsidRPr="00336FE5" w:rsidRDefault="00000000">
      <w:pPr>
        <w:spacing w:before="60" w:after="60" w:line="360" w:lineRule="auto"/>
        <w:ind w:firstLine="720"/>
        <w:jc w:val="both"/>
        <w:rPr>
          <w:color w:val="000000" w:themeColor="text1"/>
        </w:rPr>
      </w:pPr>
      <w:r w:rsidRPr="00336FE5">
        <w:rPr>
          <w:color w:val="000000" w:themeColor="text1"/>
        </w:rPr>
        <w:t>The thesis topic — "Using Scoring Models to Generate Pre-Approved Proposals for Legal Entities Based on UCB Data" — fully aligns with the tasks carried out during the internship. The main directions of this connection are systematised below.</w:t>
      </w:r>
    </w:p>
    <w:p w:rsidR="004C69A9" w:rsidRPr="00336FE5" w:rsidRDefault="00000000">
      <w:pPr>
        <w:spacing w:before="60" w:after="60" w:line="360" w:lineRule="auto"/>
        <w:ind w:firstLine="720"/>
        <w:jc w:val="both"/>
        <w:rPr>
          <w:color w:val="000000" w:themeColor="text1"/>
        </w:rPr>
      </w:pPr>
      <w:r w:rsidRPr="00336FE5">
        <w:rPr>
          <w:color w:val="000000" w:themeColor="text1"/>
        </w:rPr>
        <w:t>First, the internship provided an empirical understanding of how UCB data is integrated into real scoring systems. Theoretical constructs from academic literature acquired operational substance: the intern observed which variables derived from bureau data are actually used in models, how they are aggregated and normalised, and with which internal data they are cross-referenced. This will enable the thesis to be enriched with concrete examples from practice.</w:t>
      </w:r>
    </w:p>
    <w:p w:rsidR="004C69A9" w:rsidRPr="00336FE5" w:rsidRDefault="00000000">
      <w:pPr>
        <w:spacing w:before="60" w:after="60" w:line="360" w:lineRule="auto"/>
        <w:ind w:firstLine="720"/>
        <w:jc w:val="both"/>
        <w:rPr>
          <w:color w:val="000000" w:themeColor="text1"/>
        </w:rPr>
      </w:pPr>
      <w:r w:rsidRPr="00336FE5">
        <w:rPr>
          <w:color w:val="000000" w:themeColor="text1"/>
        </w:rPr>
        <w:t>Second, studying the pre-approved offer formation process — from target sample selection through to credit term generation — will allow the thesis to establish a well-grounded conceptual model of the described process. Academic works describing the complete operational cycle of pre-approval specifically for legal entities in the Russian market are extremely scarce; the practical observations from this internship fill this gap.</w:t>
      </w:r>
    </w:p>
    <w:p w:rsidR="004C69A9" w:rsidRPr="00336FE5" w:rsidRDefault="00000000">
      <w:pPr>
        <w:spacing w:before="60" w:after="60" w:line="360" w:lineRule="auto"/>
        <w:ind w:firstLine="720"/>
        <w:jc w:val="both"/>
        <w:rPr>
          <w:color w:val="000000" w:themeColor="text1"/>
        </w:rPr>
      </w:pPr>
      <w:r w:rsidRPr="00336FE5">
        <w:rPr>
          <w:color w:val="000000" w:themeColor="text1"/>
        </w:rPr>
        <w:t>Third, the A/B test results provide empirical support for the hypothesis that scoring model quality is directly linked to the commercial effectiveness of the pre-approved offer system: more accurate scoring enables the Full-Prove strategy, which demonstrates significantly superior conversion outcomes. This validates the central research argument of the thesis — that improving scoring quality has direct practical value.</w:t>
      </w:r>
    </w:p>
    <w:p w:rsidR="004C69A9" w:rsidRPr="00336FE5" w:rsidRDefault="00000000">
      <w:pPr>
        <w:spacing w:before="60" w:after="60" w:line="360" w:lineRule="auto"/>
        <w:ind w:firstLine="720"/>
        <w:jc w:val="both"/>
        <w:rPr>
          <w:color w:val="000000" w:themeColor="text1"/>
        </w:rPr>
      </w:pPr>
      <w:r w:rsidRPr="00336FE5">
        <w:rPr>
          <w:color w:val="000000" w:themeColor="text1"/>
        </w:rPr>
        <w:t>Fourth, conversations with team members — risk analysts and data scientists — helped sharpen the thesis's research questions. In particular, it emerged that one pressing practical challenge is the gap between the scoring score and the client's actual financial condition at the time of application, due to the lag in UCB data updates. This issue can be investigated in the thesis in the context of analysing the temporal stability of predictive features.</w:t>
      </w:r>
    </w:p>
    <w:p w:rsidR="004C69A9" w:rsidRPr="00336FE5" w:rsidRDefault="00000000">
      <w:pPr>
        <w:spacing w:before="60" w:after="60" w:line="360" w:lineRule="auto"/>
        <w:ind w:firstLine="720"/>
        <w:jc w:val="both"/>
        <w:rPr>
          <w:color w:val="000000" w:themeColor="text1"/>
        </w:rPr>
      </w:pPr>
      <w:r w:rsidRPr="00336FE5">
        <w:rPr>
          <w:color w:val="000000" w:themeColor="text1"/>
        </w:rPr>
        <w:t>Overall, the internship at T-Bank was not merely a formal academic requirement, but a genuine contribution to the empirical foundation of the thesis. The experience gained will make the research more grounded, relevant, and practically significant.</w:t>
      </w:r>
    </w:p>
    <w:p w:rsidR="004C69A9" w:rsidRPr="00336FE5" w:rsidRDefault="00000000">
      <w:pPr>
        <w:rPr>
          <w:color w:val="000000" w:themeColor="text1"/>
        </w:rPr>
      </w:pPr>
      <w:r w:rsidRPr="00336FE5">
        <w:rPr>
          <w:color w:val="000000" w:themeColor="text1"/>
        </w:rPr>
        <w:br w:type="page"/>
      </w:r>
    </w:p>
    <w:p w:rsidR="004C69A9" w:rsidRPr="00336FE5" w:rsidRDefault="00000000">
      <w:pPr>
        <w:pStyle w:val="1"/>
        <w:rPr>
          <w:color w:val="000000" w:themeColor="text1"/>
        </w:rPr>
      </w:pPr>
      <w:r w:rsidRPr="00336FE5">
        <w:rPr>
          <w:color w:val="000000" w:themeColor="text1"/>
        </w:rPr>
        <w:lastRenderedPageBreak/>
        <w:t>CONCLUSIONS AND RECOMMENDATIONS</w:t>
      </w:r>
    </w:p>
    <w:p w:rsidR="004C69A9" w:rsidRPr="00336FE5" w:rsidRDefault="00000000">
      <w:pPr>
        <w:spacing w:before="60" w:after="60" w:line="360" w:lineRule="auto"/>
        <w:ind w:firstLine="720"/>
        <w:jc w:val="both"/>
        <w:rPr>
          <w:color w:val="000000" w:themeColor="text1"/>
        </w:rPr>
      </w:pPr>
      <w:r w:rsidRPr="00336FE5">
        <w:rPr>
          <w:color w:val="000000" w:themeColor="text1"/>
        </w:rPr>
        <w:t>Upon completion of the production internship at T-Bank JSC within the Ecosystem Lending team, the intern gained extensive theoretical knowledge and practical skills in applying scoring models to generate pre-approved credit offers for legal entities. The main conclusions and recommendations are presented below.</w:t>
      </w:r>
    </w:p>
    <w:p w:rsidR="004C69A9" w:rsidRPr="00336FE5" w:rsidRDefault="00000000">
      <w:pPr>
        <w:pStyle w:val="2"/>
        <w:rPr>
          <w:color w:val="000000" w:themeColor="text1"/>
        </w:rPr>
      </w:pPr>
      <w:r w:rsidRPr="00336FE5">
        <w:rPr>
          <w:color w:val="000000" w:themeColor="text1"/>
        </w:rPr>
        <w:t>Conclusions</w:t>
      </w:r>
    </w:p>
    <w:p w:rsidR="004C69A9" w:rsidRPr="00336FE5" w:rsidRDefault="00000000">
      <w:pPr>
        <w:spacing w:before="60" w:after="60" w:line="360" w:lineRule="auto"/>
        <w:ind w:firstLine="720"/>
        <w:jc w:val="both"/>
        <w:rPr>
          <w:color w:val="000000" w:themeColor="text1"/>
        </w:rPr>
      </w:pPr>
      <w:r w:rsidRPr="00336FE5">
        <w:rPr>
          <w:color w:val="000000" w:themeColor="text1"/>
        </w:rPr>
        <w:t>First conclusion: UCB data represents a highly valuable source of information for scoring legal entities. Their application significantly enhances the discriminatory power of models — particularly in the segment of clients with a limited internal interaction history with the bank. Variables reflecting the client's behaviour at other financial institutions (frequency and amount of arrears, number of active obligations, dynamics of debt load) demonstrate high predictive power.</w:t>
      </w:r>
    </w:p>
    <w:p w:rsidR="004C69A9" w:rsidRPr="00336FE5" w:rsidRDefault="00000000">
      <w:pPr>
        <w:spacing w:before="60" w:after="60" w:line="360" w:lineRule="auto"/>
        <w:ind w:firstLine="720"/>
        <w:jc w:val="both"/>
        <w:rPr>
          <w:color w:val="000000" w:themeColor="text1"/>
        </w:rPr>
      </w:pPr>
      <w:r w:rsidRPr="00336FE5">
        <w:rPr>
          <w:color w:val="000000" w:themeColor="text1"/>
        </w:rPr>
        <w:t>Second conclusion: the multi-layered scoring architecture employed at T-Bank ensures a balance between assessment accuracy and decision-making speed. The automation of the scoring pipeline enables the processing of large volumes of client profiles in near-real-time, which is a critical prerequisite for the pre-approved offer strategy.</w:t>
      </w:r>
    </w:p>
    <w:p w:rsidR="004C69A9" w:rsidRPr="00336FE5" w:rsidRDefault="00000000">
      <w:pPr>
        <w:spacing w:before="60" w:after="60" w:line="360" w:lineRule="auto"/>
        <w:ind w:firstLine="720"/>
        <w:jc w:val="both"/>
        <w:rPr>
          <w:color w:val="000000" w:themeColor="text1"/>
        </w:rPr>
      </w:pPr>
      <w:r w:rsidRPr="00336FE5">
        <w:rPr>
          <w:color w:val="000000" w:themeColor="text1"/>
        </w:rPr>
        <w:t>Third conclusion: the Full-Prove strategy substantially outperforms the Full-Flow strategy on key performance metrics — most notably conversion rate and processing time. This confirms the principle of zero friction as one of the leading success factors in digital SMB lending. Importantly, credit portfolio quality is comparable across both groups, meaning there are no adverse consequences for the risk profile when transitioning to Full-Prove.</w:t>
      </w:r>
    </w:p>
    <w:p w:rsidR="004C69A9" w:rsidRPr="00336FE5" w:rsidRDefault="00000000">
      <w:pPr>
        <w:spacing w:before="60" w:after="60" w:line="360" w:lineRule="auto"/>
        <w:ind w:firstLine="720"/>
        <w:jc w:val="both"/>
        <w:rPr>
          <w:color w:val="000000" w:themeColor="text1"/>
        </w:rPr>
      </w:pPr>
      <w:r w:rsidRPr="00336FE5">
        <w:rPr>
          <w:color w:val="000000" w:themeColor="text1"/>
        </w:rPr>
        <w:t>Fourth conclusion: the effectiveness of a pre-approved offer system is determined not only by scoring model quality but also by the operational design of the client journey. The best results are achieved through the joint optimisation of both dimensions: precise scoring (ensuring the correctness of the offer) and a maximally simplified client path (ensuring high conversion).</w:t>
      </w:r>
    </w:p>
    <w:p w:rsidR="004C69A9" w:rsidRPr="00336FE5" w:rsidRDefault="00000000">
      <w:pPr>
        <w:pStyle w:val="2"/>
        <w:rPr>
          <w:color w:val="000000" w:themeColor="text1"/>
        </w:rPr>
      </w:pPr>
      <w:r w:rsidRPr="00336FE5">
        <w:rPr>
          <w:color w:val="000000" w:themeColor="text1"/>
        </w:rPr>
        <w:t>Recommendations</w:t>
      </w:r>
    </w:p>
    <w:p w:rsidR="004C69A9" w:rsidRPr="00336FE5" w:rsidRDefault="00000000">
      <w:pPr>
        <w:spacing w:before="60" w:after="60" w:line="360" w:lineRule="auto"/>
        <w:ind w:firstLine="720"/>
        <w:jc w:val="both"/>
        <w:rPr>
          <w:color w:val="000000" w:themeColor="text1"/>
        </w:rPr>
      </w:pPr>
      <w:r w:rsidRPr="00336FE5">
        <w:rPr>
          <w:color w:val="000000" w:themeColor="text1"/>
        </w:rPr>
        <w:t>Based on the experience and observations from the internship, the following practical recommendations are proposed.</w:t>
      </w:r>
    </w:p>
    <w:p w:rsidR="004C69A9" w:rsidRPr="00336FE5" w:rsidRDefault="00000000">
      <w:pPr>
        <w:spacing w:before="60" w:after="60" w:line="360" w:lineRule="auto"/>
        <w:ind w:firstLine="720"/>
        <w:jc w:val="both"/>
        <w:rPr>
          <w:color w:val="000000" w:themeColor="text1"/>
        </w:rPr>
      </w:pPr>
      <w:r w:rsidRPr="00336FE5">
        <w:rPr>
          <w:color w:val="000000" w:themeColor="text1"/>
        </w:rPr>
        <w:t xml:space="preserve">Recommendation 1: Extend the temporal horizon of UCB data. The current scoring implementation primarily uses UCB data over a 12-month window. It is recommended to investigate the inclusion of longer time horizons (24–36 months), particularly for features </w:t>
      </w:r>
      <w:r w:rsidRPr="00336FE5">
        <w:rPr>
          <w:color w:val="000000" w:themeColor="text1"/>
        </w:rPr>
        <w:lastRenderedPageBreak/>
        <w:t>capturing long-term credit behaviour. This would improve assessments of clients with episodic credit histories.</w:t>
      </w:r>
    </w:p>
    <w:p w:rsidR="004C69A9" w:rsidRPr="00336FE5" w:rsidRDefault="00000000">
      <w:pPr>
        <w:spacing w:before="60" w:after="60" w:line="360" w:lineRule="auto"/>
        <w:ind w:firstLine="720"/>
        <w:jc w:val="both"/>
        <w:rPr>
          <w:color w:val="000000" w:themeColor="text1"/>
        </w:rPr>
      </w:pPr>
      <w:r w:rsidRPr="00336FE5">
        <w:rPr>
          <w:color w:val="000000" w:themeColor="text1"/>
        </w:rPr>
        <w:t>Recommendation 2: Introduce dynamic offer refreshment. Pre-approved offers are generated based on data that is current at the time of calculation; however, a client's credit profile changes over time. It is recommended to develop a dynamic offer refreshment mechanism — in particular, automatic recalculation of the scoring score upon detection of significant events (major changes in account turnover, appearance of new obligations in UCB data).</w:t>
      </w:r>
    </w:p>
    <w:p w:rsidR="004C69A9" w:rsidRPr="00336FE5" w:rsidRDefault="00000000">
      <w:pPr>
        <w:spacing w:before="60" w:after="60" w:line="360" w:lineRule="auto"/>
        <w:ind w:firstLine="720"/>
        <w:jc w:val="both"/>
        <w:rPr>
          <w:color w:val="000000" w:themeColor="text1"/>
        </w:rPr>
      </w:pPr>
      <w:r w:rsidRPr="00336FE5">
        <w:rPr>
          <w:color w:val="000000" w:themeColor="text1"/>
        </w:rPr>
        <w:t>Recommendation 3: Scale the Full-Prove strategy. The A/B test results unambiguously favour the Full-Prove strategy. It is recommended to roll it out progressively across all target legal entity segments for which the scoring model has achieved an acceptable level of accuracy. A hybrid model may be retained for segments with higher uncertainty.</w:t>
      </w:r>
    </w:p>
    <w:p w:rsidR="004C69A9" w:rsidRPr="00336FE5" w:rsidRDefault="00000000">
      <w:pPr>
        <w:spacing w:before="60" w:after="60" w:line="360" w:lineRule="auto"/>
        <w:ind w:firstLine="720"/>
        <w:jc w:val="both"/>
        <w:rPr>
          <w:color w:val="000000" w:themeColor="text1"/>
        </w:rPr>
      </w:pPr>
      <w:r w:rsidRPr="00336FE5">
        <w:rPr>
          <w:color w:val="000000" w:themeColor="text1"/>
        </w:rPr>
        <w:t>Recommendation 4: Invest in model retraining on expanded data. As the internal dataset on the behaviour of clients who have accepted pre-approved offers accumulates, it is recommended to retrain scoring models regularly on updated samples. This will allow the models to capture evolving behavioural patterns of clients engaging with the ecosystem.</w:t>
      </w:r>
    </w:p>
    <w:p w:rsidR="004C69A9" w:rsidRPr="00336FE5" w:rsidRDefault="00000000">
      <w:pPr>
        <w:spacing w:before="60" w:after="60" w:line="360" w:lineRule="auto"/>
        <w:ind w:firstLine="720"/>
        <w:jc w:val="both"/>
        <w:rPr>
          <w:color w:val="000000" w:themeColor="text1"/>
        </w:rPr>
      </w:pPr>
      <w:r w:rsidRPr="00336FE5">
        <w:rPr>
          <w:color w:val="000000" w:themeColor="text1"/>
        </w:rPr>
        <w:t>Recommendation 5: Develop a methodology for monitoring the temporal stability of features. UCB data features are updated at varying frequencies, creating a risk of using stale inputs. It is recommended to introduce systematic stability monitoring (Population Stability Index — PSI) for key features derived from bureau data.</w:t>
      </w:r>
    </w:p>
    <w:p w:rsidR="004C69A9" w:rsidRPr="00336FE5" w:rsidRDefault="00000000">
      <w:pPr>
        <w:spacing w:before="60" w:after="60" w:line="360" w:lineRule="auto"/>
        <w:ind w:firstLine="720"/>
        <w:jc w:val="both"/>
        <w:rPr>
          <w:color w:val="000000" w:themeColor="text1"/>
        </w:rPr>
      </w:pPr>
      <w:r w:rsidRPr="00336FE5">
        <w:rPr>
          <w:color w:val="000000" w:themeColor="text1"/>
        </w:rPr>
        <w:t>In summary, the production internship at T-Bank JSC was a valuable professional experience that enriched theoretical knowledge with applied skills in working with real data and real business processes within a leading digital financial organisation. The knowledge and observations gained will be directly applied in the preparation of the undergraduate thesis.</w:t>
      </w:r>
    </w:p>
    <w:p w:rsidR="004C69A9" w:rsidRPr="00336FE5" w:rsidRDefault="00000000">
      <w:pPr>
        <w:rPr>
          <w:color w:val="000000" w:themeColor="text1"/>
        </w:rPr>
      </w:pPr>
      <w:r w:rsidRPr="00336FE5">
        <w:rPr>
          <w:color w:val="000000" w:themeColor="text1"/>
        </w:rPr>
        <w:br w:type="page"/>
      </w:r>
    </w:p>
    <w:p w:rsidR="004C69A9" w:rsidRPr="00336FE5" w:rsidRDefault="00000000">
      <w:pPr>
        <w:pStyle w:val="1"/>
        <w:rPr>
          <w:color w:val="000000" w:themeColor="text1"/>
        </w:rPr>
      </w:pPr>
      <w:r w:rsidRPr="00336FE5">
        <w:rPr>
          <w:color w:val="000000" w:themeColor="text1"/>
        </w:rPr>
        <w:lastRenderedPageBreak/>
        <w:t>BIBLIOGRAPHY</w:t>
      </w:r>
    </w:p>
    <w:p w:rsidR="004C69A9" w:rsidRPr="00336FE5" w:rsidRDefault="00000000">
      <w:pPr>
        <w:spacing w:before="60" w:after="60" w:line="360" w:lineRule="auto"/>
        <w:jc w:val="both"/>
        <w:rPr>
          <w:color w:val="000000" w:themeColor="text1"/>
        </w:rPr>
      </w:pPr>
      <w:r w:rsidRPr="00336FE5">
        <w:rPr>
          <w:b/>
          <w:bCs/>
          <w:color w:val="000000" w:themeColor="text1"/>
        </w:rPr>
        <w:t>Regulatory and Legal Acts</w:t>
      </w:r>
    </w:p>
    <w:p w:rsidR="004C69A9" w:rsidRPr="00336FE5" w:rsidRDefault="00000000">
      <w:pPr>
        <w:pStyle w:val="a4"/>
        <w:numPr>
          <w:ilvl w:val="0"/>
          <w:numId w:val="3"/>
        </w:numPr>
        <w:spacing w:before="40" w:after="40" w:line="360" w:lineRule="auto"/>
        <w:jc w:val="both"/>
        <w:rPr>
          <w:color w:val="000000" w:themeColor="text1"/>
        </w:rPr>
      </w:pPr>
      <w:r w:rsidRPr="00336FE5">
        <w:rPr>
          <w:color w:val="000000" w:themeColor="text1"/>
        </w:rPr>
        <w:t>Federal Law of the Russian Federation No. 218-FZ of 30 December 2004 "On Credit Histories" (as amended) // Collected Legislation of the Russian Federation. — 2005. — No. 1 (Part I). — Art. 44.</w:t>
      </w:r>
    </w:p>
    <w:p w:rsidR="004C69A9" w:rsidRPr="00336FE5" w:rsidRDefault="00000000">
      <w:pPr>
        <w:pStyle w:val="a4"/>
        <w:numPr>
          <w:ilvl w:val="0"/>
          <w:numId w:val="3"/>
        </w:numPr>
        <w:spacing w:before="40" w:after="40" w:line="360" w:lineRule="auto"/>
        <w:jc w:val="both"/>
        <w:rPr>
          <w:color w:val="000000" w:themeColor="text1"/>
        </w:rPr>
      </w:pPr>
      <w:r w:rsidRPr="00336FE5">
        <w:rPr>
          <w:color w:val="000000" w:themeColor="text1"/>
        </w:rPr>
        <w:t>Federal Law of the Russian Federation No. 395-1 of 2 December 1990 "On Banks and Banking Activities" (as amended) // Collected Legislation of the Russian Federation. — 1996. — No. 6. — Art. 492.</w:t>
      </w:r>
    </w:p>
    <w:p w:rsidR="004C69A9" w:rsidRPr="00336FE5" w:rsidRDefault="00000000">
      <w:pPr>
        <w:pStyle w:val="a4"/>
        <w:numPr>
          <w:ilvl w:val="0"/>
          <w:numId w:val="3"/>
        </w:numPr>
        <w:spacing w:before="40" w:after="40" w:line="360" w:lineRule="auto"/>
        <w:jc w:val="both"/>
        <w:rPr>
          <w:color w:val="000000" w:themeColor="text1"/>
        </w:rPr>
      </w:pPr>
      <w:r w:rsidRPr="00336FE5">
        <w:rPr>
          <w:color w:val="000000" w:themeColor="text1"/>
        </w:rPr>
        <w:t>Bank of Russia Regulation No. 590-P of 28 June 2017 "On the Procedure for the Formation of Loan Loss Provisions by Credit Institutions" // Bank of Russia Bulletin. — 2017. — No. 65.</w:t>
      </w:r>
    </w:p>
    <w:p w:rsidR="004C69A9" w:rsidRPr="00336FE5" w:rsidRDefault="00000000">
      <w:pPr>
        <w:pStyle w:val="a4"/>
        <w:numPr>
          <w:ilvl w:val="0"/>
          <w:numId w:val="3"/>
        </w:numPr>
        <w:spacing w:before="40" w:after="40" w:line="360" w:lineRule="auto"/>
        <w:jc w:val="both"/>
        <w:rPr>
          <w:color w:val="000000" w:themeColor="text1"/>
        </w:rPr>
      </w:pPr>
      <w:r w:rsidRPr="00336FE5">
        <w:rPr>
          <w:color w:val="000000" w:themeColor="text1"/>
        </w:rPr>
        <w:t>Bank of Russia Instruction No. 199-I of 29 November 2019 "On Mandatory Ratios and Capital Buffers for Banking Organisations" // Bank of Russia Bulletin. — 2019. — No. 89.</w:t>
      </w:r>
    </w:p>
    <w:p w:rsidR="004C69A9" w:rsidRPr="00336FE5" w:rsidRDefault="00000000">
      <w:pPr>
        <w:pStyle w:val="a4"/>
        <w:numPr>
          <w:ilvl w:val="0"/>
          <w:numId w:val="3"/>
        </w:numPr>
        <w:spacing w:before="40" w:after="40" w:line="360" w:lineRule="auto"/>
        <w:jc w:val="both"/>
        <w:rPr>
          <w:color w:val="000000" w:themeColor="text1"/>
        </w:rPr>
      </w:pPr>
      <w:r w:rsidRPr="00336FE5">
        <w:rPr>
          <w:color w:val="000000" w:themeColor="text1"/>
        </w:rPr>
        <w:t>Altman, E. I. Financial Ratios, Discriminant Analysis and the Prediction of Corporate Bankruptcy / E. I. Altman // The Journal of Finance. — 1968. — Vol. 23. — No. 4. — P. 589–609.</w:t>
      </w:r>
    </w:p>
    <w:p w:rsidR="004C69A9" w:rsidRPr="00336FE5" w:rsidRDefault="00000000">
      <w:pPr>
        <w:pStyle w:val="a4"/>
        <w:numPr>
          <w:ilvl w:val="0"/>
          <w:numId w:val="3"/>
        </w:numPr>
        <w:spacing w:before="40" w:after="40" w:line="360" w:lineRule="auto"/>
        <w:jc w:val="both"/>
        <w:rPr>
          <w:color w:val="000000" w:themeColor="text1"/>
        </w:rPr>
      </w:pPr>
      <w:r w:rsidRPr="00336FE5">
        <w:rPr>
          <w:color w:val="000000" w:themeColor="text1"/>
        </w:rPr>
        <w:t>Anderson, R. The Credit Scoring Toolkit: Theory and Practice for Retail Credit Risk Management and Decision Automation / R. Anderson. — Oxford : Oxford University Press, 2007. — 784 p.</w:t>
      </w:r>
    </w:p>
    <w:p w:rsidR="004C69A9" w:rsidRPr="00336FE5" w:rsidRDefault="00000000">
      <w:pPr>
        <w:pStyle w:val="a4"/>
        <w:numPr>
          <w:ilvl w:val="0"/>
          <w:numId w:val="3"/>
        </w:numPr>
        <w:spacing w:before="40" w:after="40" w:line="360" w:lineRule="auto"/>
        <w:jc w:val="both"/>
        <w:rPr>
          <w:color w:val="000000" w:themeColor="text1"/>
        </w:rPr>
      </w:pPr>
      <w:r w:rsidRPr="00336FE5">
        <w:rPr>
          <w:color w:val="000000" w:themeColor="text1"/>
        </w:rPr>
        <w:t>Bessis, J. Risk Management in Banking / J. Bessis. — 4th ed. — Chichester : Wiley, 2015. — 944 p.</w:t>
      </w:r>
    </w:p>
    <w:p w:rsidR="004C69A9" w:rsidRPr="00336FE5" w:rsidRDefault="00000000">
      <w:pPr>
        <w:pStyle w:val="a4"/>
        <w:numPr>
          <w:ilvl w:val="0"/>
          <w:numId w:val="3"/>
        </w:numPr>
        <w:spacing w:before="40" w:after="40" w:line="360" w:lineRule="auto"/>
        <w:jc w:val="both"/>
        <w:rPr>
          <w:color w:val="000000" w:themeColor="text1"/>
        </w:rPr>
      </w:pPr>
      <w:r w:rsidRPr="00336FE5">
        <w:rPr>
          <w:color w:val="000000" w:themeColor="text1"/>
        </w:rPr>
        <w:t>Hand, D. J. Statistical Classification Methods in Consumer Credit Scoring: A Review / D. J. Hand, W. E. Henley // Journal of the Royal Statistical Society. Series A (Statistics in Society). — 1997. — Vol. 160. — No. 3. — P. 523–541.</w:t>
      </w:r>
    </w:p>
    <w:p w:rsidR="004C69A9" w:rsidRPr="00336FE5" w:rsidRDefault="00000000">
      <w:pPr>
        <w:pStyle w:val="a4"/>
        <w:numPr>
          <w:ilvl w:val="0"/>
          <w:numId w:val="3"/>
        </w:numPr>
        <w:spacing w:before="40" w:after="40" w:line="360" w:lineRule="auto"/>
        <w:jc w:val="both"/>
        <w:rPr>
          <w:color w:val="000000" w:themeColor="text1"/>
        </w:rPr>
      </w:pPr>
      <w:r w:rsidRPr="00336FE5">
        <w:rPr>
          <w:color w:val="000000" w:themeColor="text1"/>
        </w:rPr>
        <w:t>Khandani, A. E. Consumer Credit-Risk Models via Machine-Learning Algorithms / A. E. Khandani, A. J. Kim, A. W. Lo // Journal of Banking &amp; Finance. — 2010. — Vol. 34. — No. 11. — P. 2767–2787.</w:t>
      </w:r>
    </w:p>
    <w:p w:rsidR="004C69A9" w:rsidRPr="00336FE5" w:rsidRDefault="00000000">
      <w:pPr>
        <w:pStyle w:val="a4"/>
        <w:numPr>
          <w:ilvl w:val="0"/>
          <w:numId w:val="3"/>
        </w:numPr>
        <w:spacing w:before="40" w:after="40" w:line="360" w:lineRule="auto"/>
        <w:jc w:val="both"/>
        <w:rPr>
          <w:color w:val="000000" w:themeColor="text1"/>
        </w:rPr>
      </w:pPr>
      <w:r w:rsidRPr="00336FE5">
        <w:rPr>
          <w:color w:val="000000" w:themeColor="text1"/>
        </w:rPr>
        <w:t>Merton, R. C. On the Pricing of Corporate Debt: The Risk Structure of Interest Rates / R. C. Merton // The Journal of Finance. — 1974. — Vol. 29. — No. 2. — P. 449–470.</w:t>
      </w:r>
    </w:p>
    <w:p w:rsidR="004C69A9" w:rsidRPr="00336FE5" w:rsidRDefault="00000000">
      <w:pPr>
        <w:pStyle w:val="a4"/>
        <w:numPr>
          <w:ilvl w:val="0"/>
          <w:numId w:val="3"/>
        </w:numPr>
        <w:spacing w:before="40" w:after="40" w:line="360" w:lineRule="auto"/>
        <w:jc w:val="both"/>
        <w:rPr>
          <w:color w:val="000000" w:themeColor="text1"/>
        </w:rPr>
      </w:pPr>
      <w:r w:rsidRPr="00336FE5">
        <w:rPr>
          <w:color w:val="000000" w:themeColor="text1"/>
        </w:rPr>
        <w:t>Saunders, A. Credit Risk Measurement: New Approaches to Value at Risk and Other Paradigms / A. Saunders, L. Allen. — 2nd ed. — New York : Wiley, 2002. — 320 p.</w:t>
      </w:r>
    </w:p>
    <w:p w:rsidR="004C69A9" w:rsidRPr="00336FE5" w:rsidRDefault="00000000">
      <w:pPr>
        <w:pStyle w:val="a4"/>
        <w:numPr>
          <w:ilvl w:val="0"/>
          <w:numId w:val="3"/>
        </w:numPr>
        <w:spacing w:before="40" w:after="40" w:line="360" w:lineRule="auto"/>
        <w:jc w:val="both"/>
        <w:rPr>
          <w:color w:val="000000" w:themeColor="text1"/>
        </w:rPr>
      </w:pPr>
      <w:r w:rsidRPr="00336FE5">
        <w:rPr>
          <w:color w:val="000000" w:themeColor="text1"/>
        </w:rPr>
        <w:lastRenderedPageBreak/>
        <w:t>Lavrushin, O. I. Banking: A University Textbook / O. I. Lavrushin, N. I. Valentseva, I. V. Larionova. — 12th ed., revised. — Moscow : KNORUS, 2020. — 800 p.</w:t>
      </w:r>
    </w:p>
    <w:p w:rsidR="004C69A9" w:rsidRPr="00336FE5" w:rsidRDefault="00000000">
      <w:pPr>
        <w:pStyle w:val="a4"/>
        <w:numPr>
          <w:ilvl w:val="0"/>
          <w:numId w:val="3"/>
        </w:numPr>
        <w:spacing w:before="40" w:after="40" w:line="360" w:lineRule="auto"/>
        <w:jc w:val="both"/>
        <w:rPr>
          <w:color w:val="000000" w:themeColor="text1"/>
        </w:rPr>
      </w:pPr>
      <w:r w:rsidRPr="00336FE5">
        <w:rPr>
          <w:color w:val="000000" w:themeColor="text1"/>
        </w:rPr>
        <w:t>Pomazanov, M. V. Credit Risk Management and New Asset Modelling in a Portfolio / M. V. Pomazanov // Finance and Credit. — 2004. — No. 6 (144). — P. 12–20.</w:t>
      </w:r>
    </w:p>
    <w:p w:rsidR="004C69A9" w:rsidRPr="00336FE5" w:rsidRDefault="00000000">
      <w:pPr>
        <w:pStyle w:val="a4"/>
        <w:numPr>
          <w:ilvl w:val="0"/>
          <w:numId w:val="3"/>
        </w:numPr>
        <w:spacing w:before="40" w:after="40" w:line="360" w:lineRule="auto"/>
        <w:jc w:val="both"/>
        <w:rPr>
          <w:color w:val="000000" w:themeColor="text1"/>
        </w:rPr>
      </w:pPr>
      <w:r w:rsidRPr="00336FE5">
        <w:rPr>
          <w:color w:val="000000" w:themeColor="text1"/>
        </w:rPr>
        <w:t>Karminsky, A. M. Comparison of Approaches to Rating Russian Banks / A. M. Karminsky, A. A. Peresetsky // Applied Econometrics. — 2009. — No. 1 (13). — P. 33–52.</w:t>
      </w:r>
    </w:p>
    <w:p w:rsidR="004C69A9" w:rsidRPr="00336FE5" w:rsidRDefault="00000000">
      <w:pPr>
        <w:pStyle w:val="a4"/>
        <w:numPr>
          <w:ilvl w:val="0"/>
          <w:numId w:val="3"/>
        </w:numPr>
        <w:spacing w:before="40" w:after="40" w:line="360" w:lineRule="auto"/>
        <w:jc w:val="both"/>
        <w:rPr>
          <w:color w:val="000000" w:themeColor="text1"/>
        </w:rPr>
      </w:pPr>
      <w:r w:rsidRPr="00336FE5">
        <w:rPr>
          <w:color w:val="000000" w:themeColor="text1"/>
        </w:rPr>
        <w:t>Troshin, V. A. Scoring Methods for Assessing Borrower Creditworthiness: Evolution and Contemporary Trends / V. A. Troshin // Bulletin of the Financial University. — 2019. — Vol. 23. — No. 3. — P. 76–84.</w:t>
      </w:r>
    </w:p>
    <w:p w:rsidR="004C69A9" w:rsidRPr="00336FE5" w:rsidRDefault="00000000">
      <w:pPr>
        <w:pStyle w:val="a4"/>
        <w:numPr>
          <w:ilvl w:val="0"/>
          <w:numId w:val="3"/>
        </w:numPr>
        <w:spacing w:before="40" w:after="40" w:line="360" w:lineRule="auto"/>
        <w:jc w:val="both"/>
        <w:rPr>
          <w:color w:val="000000" w:themeColor="text1"/>
        </w:rPr>
      </w:pPr>
      <w:r w:rsidRPr="00336FE5">
        <w:rPr>
          <w:color w:val="000000" w:themeColor="text1"/>
        </w:rPr>
        <w:t>Chernova, G. V. The Use of Credit Bureau Data in Assessing the Credit Risk of Legal Entities / G. V. Chernova, O. A. Kuznetsova // Finance and Credit. — 2021. — Vol. 27. — No. 4 (808). — P. 780–800.</w:t>
      </w:r>
    </w:p>
    <w:p w:rsidR="004C69A9" w:rsidRPr="00336FE5" w:rsidRDefault="00000000">
      <w:pPr>
        <w:pStyle w:val="a4"/>
        <w:numPr>
          <w:ilvl w:val="0"/>
          <w:numId w:val="3"/>
        </w:numPr>
        <w:spacing w:before="40" w:after="40" w:line="360" w:lineRule="auto"/>
        <w:jc w:val="both"/>
        <w:rPr>
          <w:color w:val="000000" w:themeColor="text1"/>
        </w:rPr>
      </w:pPr>
      <w:r w:rsidRPr="00336FE5">
        <w:rPr>
          <w:color w:val="000000" w:themeColor="text1"/>
        </w:rPr>
        <w:t>Brown, I. An Experimental Comparison of Classification Algorithms for Imbalanced Credit Scoring Data Sets / I. Brown, C. Mues // Expert Systems with Applications. — 2012. — Vol. 39. — No. 3. — P. 3446–3453.</w:t>
      </w:r>
    </w:p>
    <w:p w:rsidR="004C69A9" w:rsidRPr="00336FE5" w:rsidRDefault="00000000">
      <w:pPr>
        <w:pStyle w:val="a4"/>
        <w:numPr>
          <w:ilvl w:val="0"/>
          <w:numId w:val="3"/>
        </w:numPr>
        <w:spacing w:before="40" w:after="40" w:line="360" w:lineRule="auto"/>
        <w:jc w:val="both"/>
        <w:rPr>
          <w:color w:val="000000" w:themeColor="text1"/>
        </w:rPr>
      </w:pPr>
      <w:r w:rsidRPr="00336FE5">
        <w:rPr>
          <w:color w:val="000000" w:themeColor="text1"/>
        </w:rPr>
        <w:t>Lessmann, S. Benchmarking State-of-the-Art Classification Algorithms for Credit Scoring: An Update of Research / S. Lessmann [et al.] // European Journal of Operational Research. — 2015. — Vol. 247. — No. 1. — P. 124–136.</w:t>
      </w:r>
    </w:p>
    <w:p w:rsidR="004C69A9" w:rsidRPr="00336FE5" w:rsidRDefault="00000000">
      <w:pPr>
        <w:pStyle w:val="a4"/>
        <w:numPr>
          <w:ilvl w:val="0"/>
          <w:numId w:val="3"/>
        </w:numPr>
        <w:spacing w:before="40" w:after="40" w:line="360" w:lineRule="auto"/>
        <w:jc w:val="both"/>
        <w:rPr>
          <w:color w:val="000000" w:themeColor="text1"/>
        </w:rPr>
      </w:pPr>
      <w:r w:rsidRPr="00336FE5">
        <w:rPr>
          <w:color w:val="000000" w:themeColor="text1"/>
        </w:rPr>
        <w:t>Official website of T-Bank JSC [Electronic resource]. — URL: https://www.tbank.ru (accessed: 15 March 2025).</w:t>
      </w:r>
    </w:p>
    <w:p w:rsidR="004C69A9" w:rsidRPr="00336FE5" w:rsidRDefault="00000000">
      <w:pPr>
        <w:pStyle w:val="a4"/>
        <w:numPr>
          <w:ilvl w:val="0"/>
          <w:numId w:val="3"/>
        </w:numPr>
        <w:spacing w:before="40" w:after="40" w:line="360" w:lineRule="auto"/>
        <w:jc w:val="both"/>
        <w:rPr>
          <w:color w:val="000000" w:themeColor="text1"/>
        </w:rPr>
      </w:pPr>
      <w:r w:rsidRPr="00336FE5">
        <w:rPr>
          <w:color w:val="000000" w:themeColor="text1"/>
        </w:rPr>
        <w:t>Official website of the United Credit Bureau [Electronic resource]. — URL: https://www.bki-okb.ru (accessed: 10 March 2025).</w:t>
      </w:r>
    </w:p>
    <w:p w:rsidR="004C69A9" w:rsidRPr="00336FE5" w:rsidRDefault="00000000">
      <w:pPr>
        <w:pStyle w:val="a4"/>
        <w:numPr>
          <w:ilvl w:val="0"/>
          <w:numId w:val="3"/>
        </w:numPr>
        <w:spacing w:before="40" w:after="40" w:line="360" w:lineRule="auto"/>
        <w:jc w:val="both"/>
        <w:rPr>
          <w:color w:val="000000" w:themeColor="text1"/>
        </w:rPr>
      </w:pPr>
      <w:r w:rsidRPr="00336FE5">
        <w:rPr>
          <w:color w:val="000000" w:themeColor="text1"/>
        </w:rPr>
        <w:t>TCS Holding Annual Report 2023 [Electronic resource]. — URL: https://www.tinkoff.ru/invest/stocks/TCS/ (accessed: 1 March 2025).</w:t>
      </w:r>
    </w:p>
    <w:p w:rsidR="004C69A9" w:rsidRPr="00336FE5" w:rsidRDefault="00000000">
      <w:pPr>
        <w:pStyle w:val="a4"/>
        <w:numPr>
          <w:ilvl w:val="0"/>
          <w:numId w:val="3"/>
        </w:numPr>
        <w:spacing w:before="40" w:after="40" w:line="360" w:lineRule="auto"/>
        <w:jc w:val="both"/>
        <w:rPr>
          <w:color w:val="000000" w:themeColor="text1"/>
        </w:rPr>
      </w:pPr>
      <w:r w:rsidRPr="00336FE5">
        <w:rPr>
          <w:color w:val="000000" w:themeColor="text1"/>
        </w:rPr>
        <w:t>Bank of Russia. Banking Sector Overview of the Russian Federation [Electronic resource]. — URL: https://www.cbr.ru/statistics/bank_sector/ (accessed: 12 March 2025).</w:t>
      </w:r>
    </w:p>
    <w:p w:rsidR="004C69A9" w:rsidRPr="00336FE5" w:rsidRDefault="00000000">
      <w:pPr>
        <w:pStyle w:val="a4"/>
        <w:numPr>
          <w:ilvl w:val="0"/>
          <w:numId w:val="3"/>
        </w:numPr>
        <w:spacing w:before="40" w:after="40" w:line="360" w:lineRule="auto"/>
        <w:jc w:val="both"/>
        <w:rPr>
          <w:color w:val="000000" w:themeColor="text1"/>
        </w:rPr>
      </w:pPr>
      <w:r w:rsidRPr="00336FE5">
        <w:rPr>
          <w:color w:val="000000" w:themeColor="text1"/>
        </w:rPr>
        <w:t>National Bureau of Credit Histories (NBCH). Credit History Report [Electronic resource]. — URL: https://www.nbki.ru/press/press_area/ (accessed: 5 March 2025).</w:t>
      </w:r>
    </w:p>
    <w:sectPr w:rsidR="004C69A9" w:rsidRPr="00336FE5">
      <w:headerReference w:type="default" r:id="rId7"/>
      <w:footerReference w:type="default" r:id="rId8"/>
      <w:pgSz w:w="11906" w:h="16838"/>
      <w:pgMar w:top="1440" w:right="108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7F71" w:rsidRDefault="00AC7F71">
      <w:r>
        <w:separator/>
      </w:r>
    </w:p>
  </w:endnote>
  <w:endnote w:type="continuationSeparator" w:id="0">
    <w:p w:rsidR="00AC7F71" w:rsidRDefault="00AC7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69A9" w:rsidRDefault="00000000">
    <w:pPr>
      <w:pBdr>
        <w:top w:val="single" w:sz="4" w:space="1" w:color="2E5496"/>
      </w:pBdr>
      <w:spacing w:before="120"/>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4A21B0">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4A21B0">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7F71" w:rsidRDefault="00AC7F71">
      <w:r>
        <w:separator/>
      </w:r>
    </w:p>
  </w:footnote>
  <w:footnote w:type="continuationSeparator" w:id="0">
    <w:p w:rsidR="00AC7F71" w:rsidRDefault="00AC7F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69A9" w:rsidRDefault="00000000">
    <w:pPr>
      <w:pBdr>
        <w:bottom w:val="single" w:sz="4" w:space="1" w:color="2E5496"/>
      </w:pBdr>
      <w:spacing w:after="120"/>
      <w:jc w:val="right"/>
    </w:pPr>
    <w:r>
      <w:rPr>
        <w:color w:val="666666"/>
        <w:sz w:val="18"/>
        <w:szCs w:val="18"/>
      </w:rPr>
      <w:t>Internship Report | T-Bank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97A2F"/>
    <w:multiLevelType w:val="hybridMultilevel"/>
    <w:tmpl w:val="4ECEA57E"/>
    <w:lvl w:ilvl="0" w:tplc="3E86E968">
      <w:start w:val="1"/>
      <w:numFmt w:val="bullet"/>
      <w:lvlText w:val="–"/>
      <w:lvlJc w:val="left"/>
      <w:pPr>
        <w:ind w:left="720" w:hanging="360"/>
      </w:pPr>
    </w:lvl>
    <w:lvl w:ilvl="1" w:tplc="E5CA2ABC">
      <w:numFmt w:val="decimal"/>
      <w:lvlText w:val=""/>
      <w:lvlJc w:val="left"/>
    </w:lvl>
    <w:lvl w:ilvl="2" w:tplc="D2B871D2">
      <w:numFmt w:val="decimal"/>
      <w:lvlText w:val=""/>
      <w:lvlJc w:val="left"/>
    </w:lvl>
    <w:lvl w:ilvl="3" w:tplc="1F4C1680">
      <w:numFmt w:val="decimal"/>
      <w:lvlText w:val=""/>
      <w:lvlJc w:val="left"/>
    </w:lvl>
    <w:lvl w:ilvl="4" w:tplc="78720E68">
      <w:numFmt w:val="decimal"/>
      <w:lvlText w:val=""/>
      <w:lvlJc w:val="left"/>
    </w:lvl>
    <w:lvl w:ilvl="5" w:tplc="0966E1A8">
      <w:numFmt w:val="decimal"/>
      <w:lvlText w:val=""/>
      <w:lvlJc w:val="left"/>
    </w:lvl>
    <w:lvl w:ilvl="6" w:tplc="88D6FE68">
      <w:numFmt w:val="decimal"/>
      <w:lvlText w:val=""/>
      <w:lvlJc w:val="left"/>
    </w:lvl>
    <w:lvl w:ilvl="7" w:tplc="761EB948">
      <w:numFmt w:val="decimal"/>
      <w:lvlText w:val=""/>
      <w:lvlJc w:val="left"/>
    </w:lvl>
    <w:lvl w:ilvl="8" w:tplc="B08437EE">
      <w:numFmt w:val="decimal"/>
      <w:lvlText w:val=""/>
      <w:lvlJc w:val="left"/>
    </w:lvl>
  </w:abstractNum>
  <w:abstractNum w:abstractNumId="1" w15:restartNumberingAfterBreak="0">
    <w:nsid w:val="1DA870E1"/>
    <w:multiLevelType w:val="hybridMultilevel"/>
    <w:tmpl w:val="762ABD94"/>
    <w:lvl w:ilvl="0" w:tplc="83C2274A">
      <w:start w:val="1"/>
      <w:numFmt w:val="decimal"/>
      <w:lvlText w:val="%1."/>
      <w:lvlJc w:val="left"/>
      <w:pPr>
        <w:ind w:left="720" w:hanging="360"/>
      </w:pPr>
    </w:lvl>
    <w:lvl w:ilvl="1" w:tplc="BF2A4BF8">
      <w:numFmt w:val="decimal"/>
      <w:lvlText w:val=""/>
      <w:lvlJc w:val="left"/>
    </w:lvl>
    <w:lvl w:ilvl="2" w:tplc="CE46F53A">
      <w:numFmt w:val="decimal"/>
      <w:lvlText w:val=""/>
      <w:lvlJc w:val="left"/>
    </w:lvl>
    <w:lvl w:ilvl="3" w:tplc="326250C0">
      <w:numFmt w:val="decimal"/>
      <w:lvlText w:val=""/>
      <w:lvlJc w:val="left"/>
    </w:lvl>
    <w:lvl w:ilvl="4" w:tplc="6F326678">
      <w:numFmt w:val="decimal"/>
      <w:lvlText w:val=""/>
      <w:lvlJc w:val="left"/>
    </w:lvl>
    <w:lvl w:ilvl="5" w:tplc="801C5658">
      <w:numFmt w:val="decimal"/>
      <w:lvlText w:val=""/>
      <w:lvlJc w:val="left"/>
    </w:lvl>
    <w:lvl w:ilvl="6" w:tplc="FE9E785A">
      <w:numFmt w:val="decimal"/>
      <w:lvlText w:val=""/>
      <w:lvlJc w:val="left"/>
    </w:lvl>
    <w:lvl w:ilvl="7" w:tplc="A5309A70">
      <w:numFmt w:val="decimal"/>
      <w:lvlText w:val=""/>
      <w:lvlJc w:val="left"/>
    </w:lvl>
    <w:lvl w:ilvl="8" w:tplc="1FF0A2AA">
      <w:numFmt w:val="decimal"/>
      <w:lvlText w:val=""/>
      <w:lvlJc w:val="left"/>
    </w:lvl>
  </w:abstractNum>
  <w:abstractNum w:abstractNumId="2" w15:restartNumberingAfterBreak="0">
    <w:nsid w:val="76B2600B"/>
    <w:multiLevelType w:val="hybridMultilevel"/>
    <w:tmpl w:val="97565E7A"/>
    <w:lvl w:ilvl="0" w:tplc="D58CF0CC">
      <w:start w:val="1"/>
      <w:numFmt w:val="bullet"/>
      <w:lvlText w:val="●"/>
      <w:lvlJc w:val="left"/>
      <w:pPr>
        <w:ind w:left="720" w:hanging="360"/>
      </w:pPr>
    </w:lvl>
    <w:lvl w:ilvl="1" w:tplc="8B92C18A">
      <w:start w:val="1"/>
      <w:numFmt w:val="bullet"/>
      <w:lvlText w:val="○"/>
      <w:lvlJc w:val="left"/>
      <w:pPr>
        <w:ind w:left="1440" w:hanging="360"/>
      </w:pPr>
    </w:lvl>
    <w:lvl w:ilvl="2" w:tplc="5A780654">
      <w:start w:val="1"/>
      <w:numFmt w:val="bullet"/>
      <w:lvlText w:val="■"/>
      <w:lvlJc w:val="left"/>
      <w:pPr>
        <w:ind w:left="2160" w:hanging="360"/>
      </w:pPr>
    </w:lvl>
    <w:lvl w:ilvl="3" w:tplc="3EE8DF74">
      <w:start w:val="1"/>
      <w:numFmt w:val="bullet"/>
      <w:lvlText w:val="●"/>
      <w:lvlJc w:val="left"/>
      <w:pPr>
        <w:ind w:left="2880" w:hanging="360"/>
      </w:pPr>
    </w:lvl>
    <w:lvl w:ilvl="4" w:tplc="1BACEC4E">
      <w:start w:val="1"/>
      <w:numFmt w:val="bullet"/>
      <w:lvlText w:val="○"/>
      <w:lvlJc w:val="left"/>
      <w:pPr>
        <w:ind w:left="3600" w:hanging="360"/>
      </w:pPr>
    </w:lvl>
    <w:lvl w:ilvl="5" w:tplc="27EC166A">
      <w:start w:val="1"/>
      <w:numFmt w:val="bullet"/>
      <w:lvlText w:val="■"/>
      <w:lvlJc w:val="left"/>
      <w:pPr>
        <w:ind w:left="4320" w:hanging="360"/>
      </w:pPr>
    </w:lvl>
    <w:lvl w:ilvl="6" w:tplc="5C8E06FC">
      <w:start w:val="1"/>
      <w:numFmt w:val="bullet"/>
      <w:lvlText w:val="●"/>
      <w:lvlJc w:val="left"/>
      <w:pPr>
        <w:ind w:left="5040" w:hanging="360"/>
      </w:pPr>
    </w:lvl>
    <w:lvl w:ilvl="7" w:tplc="4D72805C">
      <w:start w:val="1"/>
      <w:numFmt w:val="bullet"/>
      <w:lvlText w:val="●"/>
      <w:lvlJc w:val="left"/>
      <w:pPr>
        <w:ind w:left="5760" w:hanging="360"/>
      </w:pPr>
    </w:lvl>
    <w:lvl w:ilvl="8" w:tplc="CE40ED96">
      <w:start w:val="1"/>
      <w:numFmt w:val="bullet"/>
      <w:lvlText w:val="●"/>
      <w:lvlJc w:val="left"/>
      <w:pPr>
        <w:ind w:left="6480" w:hanging="360"/>
      </w:pPr>
    </w:lvl>
  </w:abstractNum>
  <w:num w:numId="1" w16cid:durableId="737095583">
    <w:abstractNumId w:val="2"/>
    <w:lvlOverride w:ilvl="0">
      <w:startOverride w:val="1"/>
    </w:lvlOverride>
  </w:num>
  <w:num w:numId="2" w16cid:durableId="935749738">
    <w:abstractNumId w:val="0"/>
    <w:lvlOverride w:ilvl="0">
      <w:startOverride w:val="1"/>
    </w:lvlOverride>
  </w:num>
  <w:num w:numId="3" w16cid:durableId="7587930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9A9"/>
    <w:rsid w:val="00217EF6"/>
    <w:rsid w:val="00336FE5"/>
    <w:rsid w:val="004A21B0"/>
    <w:rsid w:val="004A2298"/>
    <w:rsid w:val="004C69A9"/>
    <w:rsid w:val="00546EE0"/>
    <w:rsid w:val="006753B9"/>
    <w:rsid w:val="00AC7F71"/>
    <w:rsid w:val="00F41900"/>
  </w:rsids>
  <m:mathPr>
    <m:mathFont m:val="Cambria Math"/>
    <m:brkBin m:val="before"/>
    <m:brkBinSub m:val="--"/>
    <m:smallFrac m:val="0"/>
    <m:dispDef/>
    <m:lMargin m:val="0"/>
    <m:rMargin m:val="0"/>
    <m:defJc m:val="centerGroup"/>
    <m:wrapIndent m:val="1440"/>
    <m:intLim m:val="subSup"/>
    <m:naryLim m:val="undOvr"/>
  </m:mathPr>
  <w:themeFontLang w:val="ru-UZ"/>
  <w:clrSchemeMapping w:bg1="light1" w:t1="dark1" w:bg2="light2" w:t2="dark2" w:accent1="accent1" w:accent2="accent2" w:accent3="accent3" w:accent4="accent4" w:accent5="accent5" w:accent6="accent6" w:hyperlink="hyperlink" w:followedHyperlink="followedHyperlink"/>
  <w:decimalSymbol w:val=","/>
  <w:listSeparator w:val=";"/>
  <w14:docId w14:val="2D026EA6"/>
  <w15:docId w15:val="{69C2B277-008B-A640-89C8-642B5B636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UZ"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link w:val="10"/>
    <w:uiPriority w:val="9"/>
    <w:qFormat/>
    <w:pPr>
      <w:spacing w:before="360" w:after="180"/>
      <w:outlineLvl w:val="0"/>
    </w:pPr>
    <w:rPr>
      <w:b/>
      <w:bCs/>
      <w:color w:val="1F3864"/>
      <w:sz w:val="28"/>
      <w:szCs w:val="28"/>
    </w:rPr>
  </w:style>
  <w:style w:type="paragraph" w:styleId="2">
    <w:name w:val="heading 2"/>
    <w:uiPriority w:val="9"/>
    <w:unhideWhenUsed/>
    <w:qFormat/>
    <w:pPr>
      <w:spacing w:before="240" w:after="120"/>
      <w:outlineLvl w:val="1"/>
    </w:pPr>
    <w:rPr>
      <w:b/>
      <w:bCs/>
      <w:color w:val="2E5496"/>
      <w:sz w:val="26"/>
      <w:szCs w:val="26"/>
    </w:rPr>
  </w:style>
  <w:style w:type="paragraph" w:styleId="3">
    <w:name w:val="heading 3"/>
    <w:uiPriority w:val="9"/>
    <w:semiHidden/>
    <w:unhideWhenUsed/>
    <w:qFormat/>
    <w:pPr>
      <w:spacing w:before="200" w:after="100"/>
      <w:outlineLvl w:val="2"/>
    </w:pPr>
    <w:rPr>
      <w:b/>
      <w:bCs/>
      <w:i/>
      <w:iCs/>
      <w:color w:val="2E549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1">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customStyle="1" w:styleId="10">
    <w:name w:val="Заголовок 1 Знак"/>
    <w:basedOn w:val="a0"/>
    <w:link w:val="1"/>
    <w:uiPriority w:val="9"/>
    <w:rsid w:val="00F41900"/>
    <w:rPr>
      <w:b/>
      <w:bCs/>
      <w:color w:val="1F3864"/>
      <w:sz w:val="28"/>
      <w:szCs w:val="28"/>
    </w:rPr>
  </w:style>
  <w:style w:type="table" w:styleId="a9">
    <w:name w:val="Table Grid"/>
    <w:basedOn w:val="a1"/>
    <w:uiPriority w:val="59"/>
    <w:rsid w:val="00F41900"/>
    <w:rPr>
      <w:rFonts w:asciiTheme="minorHAnsi" w:eastAsiaTheme="minorHAnsi" w:hAnsiTheme="minorHAnsi" w:cstheme="minorBidi"/>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21</Pages>
  <Words>5836</Words>
  <Characters>33267</Characters>
  <Application>Microsoft Office Word</Application>
  <DocSecurity>0</DocSecurity>
  <Lines>277</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Гатауллина Альбина Ильмировна</cp:lastModifiedBy>
  <cp:revision>4</cp:revision>
  <dcterms:created xsi:type="dcterms:W3CDTF">2026-03-19T10:21:00Z</dcterms:created>
  <dcterms:modified xsi:type="dcterms:W3CDTF">2026-03-19T11:02:00Z</dcterms:modified>
</cp:coreProperties>
</file>