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Self-Evolving</w:t>
      </w:r>
      <w:r>
        <w:t xml:space="preserve"> </w:t>
      </w:r>
      <w:r>
        <w:t xml:space="preserve">LLM</w:t>
      </w:r>
      <w:r>
        <w:t xml:space="preserve"> </w:t>
      </w:r>
      <w:r>
        <w:t xml:space="preserve">Agents</w:t>
      </w:r>
      <w:r>
        <w:t xml:space="preserve"> </w:t>
      </w:r>
      <w:r>
        <w:t xml:space="preserve">via</w:t>
      </w:r>
      <w:r>
        <w:t xml:space="preserve"> </w:t>
      </w:r>
      <w:r>
        <w:t xml:space="preserve">Reflective</w:t>
      </w:r>
      <w:r>
        <w:t xml:space="preserve"> </w:t>
      </w:r>
      <w:r>
        <w:t xml:space="preserve">Prompt</w:t>
      </w:r>
      <w:r>
        <w:t xml:space="preserve"> </w:t>
      </w:r>
      <w:r>
        <w:t xml:space="preserve">and</w:t>
      </w:r>
      <w:r>
        <w:t xml:space="preserve"> </w:t>
      </w:r>
      <w:r>
        <w:t xml:space="preserve">Tool-Schema</w:t>
      </w:r>
      <w:r>
        <w:t xml:space="preserve"> </w:t>
      </w:r>
      <w:r>
        <w:t xml:space="preserve">Patching</w:t>
      </w:r>
    </w:p>
    <w:p>
      <w:pPr>
        <w:pStyle w:val="Author"/>
      </w:pPr>
      <w:r>
        <w:t xml:space="preserve">Gleb</w:t>
      </w:r>
      <w:r>
        <w:t xml:space="preserve"> </w:t>
      </w:r>
      <w:r>
        <w:t xml:space="preserve">Dementev</w:t>
      </w:r>
    </w:p>
    <w:bookmarkStart w:id="20" w:name="introduction"/>
    <w:p>
      <w:pPr>
        <w:pStyle w:val="Heading1"/>
      </w:pPr>
      <w:r>
        <w:t xml:space="preserve">1. Introduction</w:t>
      </w:r>
    </w:p>
    <w:bookmarkEnd w:id="20"/>
    <w:bookmarkStart w:id="27" w:name="literature-review"/>
    <w:p>
      <w:pPr>
        <w:pStyle w:val="Heading1"/>
      </w:pPr>
      <w:r>
        <w:t xml:space="preserve">2. Literature Review</w:t>
      </w:r>
    </w:p>
    <w:p>
      <w:pPr>
        <w:pStyle w:val="FirstParagraph"/>
      </w:pPr>
      <w:r>
        <w:t xml:space="preserve">This chapter surveys the literature across three areas that converge on the research gap this thesis addresses: agentic benchmarking, automated prompt optimization, and teacher–student knowledge transfer. The argument proceeds in six steps. Tool-using LLM agents are unreliable at enterprise scale. Static prompting helps but hits a ceiling. Fine-tuning and RLHF work but are impractical for rapid domain adaptation. Automated prompt optimization is effective yet untested on structured tool-calling benchmarks. Teacher–student distillation is mature at the weight level and growing at the output level. The combination of teacher-driven prompt evolution validated on agentic benchmarks has not been attempted. Section 2.6 synthesizes these observations into the specific gap this thesis fills.</w:t>
      </w:r>
    </w:p>
    <w:bookmarkStart w:id="21" w:name="Xa06227460ef88bd61f0e52c8f8b2053376ea71c"/>
    <w:p>
      <w:pPr>
        <w:pStyle w:val="Heading2"/>
      </w:pPr>
      <w:r>
        <w:t xml:space="preserve">2.1 The Enterprise Reliability Gap in Tool-Using Agents</w:t>
      </w:r>
    </w:p>
    <w:p>
      <w:pPr>
        <w:pStyle w:val="FirstParagraph"/>
      </w:pPr>
      <w:r>
        <w:t xml:space="preserve">Recent benchmarks evaluate LLMs not just as text generators but as autonomous agents that hold multi-turn conversations, call tools, and follow domain policies. The τ-bench family is central to this thesis.</w:t>
      </w:r>
      <w:r>
        <w:t xml:space="preserve"> </w:t>
      </w:r>
      <w:r>
        <w:t xml:space="preserve">Yao et al. (2024)</w:t>
      </w:r>
      <w:r>
        <w:t xml:space="preserve"> </w:t>
      </w:r>
      <w:r>
        <w:t xml:space="preserve">introduced τ-bench, which measures tool–agent–user interaction across retail and airline customer-service domains. Even GPT-4o succeeded on fewer than half of all tasks, and the pass</w:t>
      </w:r>
      <w:r>
        <w:rPr>
          <w:vertAlign w:val="superscript"/>
        </w:rPr>
        <w:t xml:space="preserve">k</w:t>
      </w:r>
      <w:r>
        <w:t xml:space="preserve"> </w:t>
      </w:r>
      <w:r>
        <w:t xml:space="preserve">reliability metric—which measures the probability of solving the same task</w:t>
      </w:r>
      <w:r>
        <w:t xml:space="preserve"> </w:t>
      </w:r>
      <w:r>
        <w:rPr>
          <w:iCs/>
          <w:i/>
        </w:rPr>
        <w:t xml:space="preserve">k</w:t>
      </w:r>
      <w:r>
        <w:t xml:space="preserve"> </w:t>
      </w:r>
      <w:r>
        <w:t xml:space="preserve">consecutive times—showed that pass</w:t>
      </w:r>
      <w:r>
        <w:rPr>
          <w:vertAlign w:val="superscript"/>
        </w:rPr>
        <w:t xml:space="preserve">8</w:t>
      </w:r>
      <w:r>
        <w:t xml:space="preserve"> </w:t>
      </w:r>
      <w:r>
        <w:t xml:space="preserve">dropped below 25% in the retail domain.</w:t>
      </w:r>
      <w:r>
        <w:t xml:space="preserve"> </w:t>
      </w:r>
      <w:r>
        <w:t xml:space="preserve">Barres et al. (2025)</w:t>
      </w:r>
      <w:r>
        <w:t xml:space="preserve"> </w:t>
      </w:r>
      <w:r>
        <w:t xml:space="preserve">extended this work with τ²-bench, introducing a dual-control environment where both the agent and a simulated user have access to tools and databases, and adding a telecom domain. The expanded setup exposed further failure modes, particularly in scenarios requiring the user to perform physical actions such as troubleshooting network equipment, and confirmed that frontier models remain far from reliable even in the enriched evaluation setting.</w:t>
      </w:r>
    </w:p>
    <w:p>
      <w:pPr>
        <w:pStyle w:val="BodyText"/>
      </w:pPr>
      <w:r>
        <w:t xml:space="preserve">Other benchmarks tell the same story.</w:t>
      </w:r>
      <w:r>
        <w:t xml:space="preserve"> </w:t>
      </w:r>
      <w:r>
        <w:t xml:space="preserve">Liu et al. (2023)</w:t>
      </w:r>
      <w:r>
        <w:t xml:space="preserve"> </w:t>
      </w:r>
      <w:r>
        <w:t xml:space="preserve">tested twenty-nine models on AgentBench across eight interactive environments (OS interaction, databases, web browsing) and found a large gap between commercial and open-source models, with long-term reasoning, decision-making, and instruction following as the main bottlenecks.</w:t>
      </w:r>
      <w:r>
        <w:t xml:space="preserve"> </w:t>
      </w:r>
      <w:r>
        <w:t xml:space="preserve">Jimenez et al. (2024)</w:t>
      </w:r>
      <w:r>
        <w:t xml:space="preserve"> </w:t>
      </w:r>
      <w:r>
        <w:t xml:space="preserve">introduced SWE-bench, 2,294 real-world software engineering tasks from GitHub issues. The best model at publication solved 1.96% of them. Autonomous multi-step tool use remains unreliable even in code, the domain where LLMs are supposed to be strongest.</w:t>
      </w:r>
    </w:p>
    <w:p>
      <w:pPr>
        <w:pStyle w:val="BodyText"/>
      </w:pPr>
      <w:r>
        <w:t xml:space="preserve">Tool-use-specific benchmarks confirm this.</w:t>
      </w:r>
      <w:r>
        <w:t xml:space="preserve"> </w:t>
      </w:r>
      <w:r>
        <w:t xml:space="preserve">Qin et al. (2023)</w:t>
      </w:r>
      <w:r>
        <w:t xml:space="preserve"> </w:t>
      </w:r>
      <w:r>
        <w:t xml:space="preserve">introduced ToolBench with over 16,000 real-world RESTful APIs; open-source instruction-tuned models scored zero percent, and even ChatGPT needed a novel depth-first search decision tree to perform reasonably.</w:t>
      </w:r>
      <w:r>
        <w:t xml:space="preserve"> </w:t>
      </w:r>
      <w:r>
        <w:t xml:space="preserve">Li et al. (2023)</w:t>
      </w:r>
      <w:r>
        <w:t xml:space="preserve"> </w:t>
      </w:r>
      <w:r>
        <w:t xml:space="preserve">built API-Bank with 73 tools across 314 dialogues and found that GPT-4 still failed at parameter extraction, API selection, and sequential planning.</w:t>
      </w:r>
      <w:r>
        <w:t xml:space="preserve"> </w:t>
      </w:r>
      <w:r>
        <w:t xml:space="preserve">Mialon et al. (2023)</w:t>
      </w:r>
      <w:r>
        <w:t xml:space="preserve"> </w:t>
      </w:r>
      <w:r>
        <w:t xml:space="preserve">presented GAIA, 466 real-world questions requiring reasoning, browsing, and tool use. Humans scored 92%; GPT-4 with plugins scored 15%. That 77-point gap runs opposite to the usual story of LLMs matching or beating human performance on standard benchmarks.</w:t>
      </w:r>
    </w:p>
    <w:p>
      <w:pPr>
        <w:pStyle w:val="BodyText"/>
      </w:pPr>
      <w:r>
        <w:t xml:space="preserve">Two meta-analyses frame these results.</w:t>
      </w:r>
      <w:r>
        <w:t xml:space="preserve"> </w:t>
      </w:r>
      <w:r>
        <w:t xml:space="preserve">Kapoor et al. (2024)</w:t>
      </w:r>
      <w:r>
        <w:t xml:space="preserve"> </w:t>
      </w:r>
      <w:r>
        <w:t xml:space="preserve">analyzed agent benchmarking practices and found fifty-fold cost variation for similar accuracy levels; complex agent architectures buy marginal accuracy gains at exponential cost. This supports the argument that prompt-level optimization is a more efficient improvement path than architectural scaling.</w:t>
      </w:r>
      <w:r>
        <w:t xml:space="preserve"> </w:t>
      </w:r>
      <w:r>
        <w:t xml:space="preserve">Rabanser et al. (2025)</w:t>
      </w:r>
      <w:r>
        <w:t xml:space="preserve"> </w:t>
      </w:r>
      <w:r>
        <w:t xml:space="preserve">proposed twelve metrics decomposing agent reliability across consistency, robustness, predictability, and safety. Testing fourteen models over eighteen months on GAIA and τ-bench, they identified a persistent</w:t>
      </w:r>
      <w:r>
        <w:t xml:space="preserve"> </w:t>
      </w:r>
      <w:r>
        <w:rPr>
          <w:iCs/>
          <w:i/>
        </w:rPr>
        <w:t xml:space="preserve">capability–reliability gap</w:t>
      </w:r>
      <w:r>
        <w:t xml:space="preserve">: accuracy improves faster than reliability. They argue that enterprise autonomous operation requires three to five nines (99.9%-99.999%) and that current LLM agents are not on track to reach this threshold through scaling alone.</w:t>
      </w:r>
    </w:p>
    <w:bookmarkEnd w:id="21"/>
    <w:bookmarkStart w:id="22" w:name="Xbcc0c6bafb5ff07451bf715b4167e9eb669fb24"/>
    <w:p>
      <w:pPr>
        <w:pStyle w:val="Heading2"/>
      </w:pPr>
      <w:r>
        <w:t xml:space="preserve">2.2 The Ceiling of Static Prompting and Scaffolding</w:t>
      </w:r>
    </w:p>
    <w:p>
      <w:pPr>
        <w:pStyle w:val="FirstParagraph"/>
      </w:pPr>
      <w:r>
        <w:t xml:space="preserve">Researchers have tried to improve agent performance through better prompt design and execution scaffolding. Chain-of-thought prompting</w:t>
      </w:r>
      <w:r>
        <w:t xml:space="preserve"> </w:t>
      </w:r>
      <w:r>
        <w:t xml:space="preserve">(Wei et al., 2022)</w:t>
      </w:r>
      <w:r>
        <w:t xml:space="preserve"> </w:t>
      </w:r>
      <w:r>
        <w:t xml:space="preserve">showed that a few hand-crafted reasoning exemplars can substantially improve arithmetic, commonsense, and symbolic reasoning, with PaLM-540B reaching state-of-the-art on GSM8K. The ReAct framework</w:t>
      </w:r>
      <w:r>
        <w:t xml:space="preserve"> </w:t>
      </w:r>
      <w:r>
        <w:t xml:space="preserve">(Yao, Zhao, et al., 2023)</w:t>
      </w:r>
      <w:r>
        <w:t xml:space="preserve"> </w:t>
      </w:r>
      <w:r>
        <w:t xml:space="preserve">interleaved reasoning traces with task-specific actions, letting models call external tools while maintaining reasoning chains. ReAct outperformed both pure chain-of-thought and pure action-generation baselines on question answering, fact verification, and interactive decision-making.</w:t>
      </w:r>
      <w:r>
        <w:t xml:space="preserve"> </w:t>
      </w:r>
      <w:r>
        <w:t xml:space="preserve">Yao, Yu, et al. (2023)</w:t>
      </w:r>
      <w:r>
        <w:t xml:space="preserve"> </w:t>
      </w:r>
      <w:r>
        <w:t xml:space="preserve">generalized this with Tree of Thoughts, where LMs explore multiple reasoning paths via tree search with self-evaluation, reaching 74% on Game of 24 compared to chain-of-thought’s 4%.</w:t>
      </w:r>
    </w:p>
    <w:p>
      <w:pPr>
        <w:pStyle w:val="BodyText"/>
      </w:pPr>
      <w:r>
        <w:t xml:space="preserve">On the tool-use front,</w:t>
      </w:r>
      <w:r>
        <w:t xml:space="preserve"> </w:t>
      </w:r>
      <w:r>
        <w:t xml:space="preserve">OpenAI (2023)</w:t>
      </w:r>
      <w:r>
        <w:t xml:space="preserve"> </w:t>
      </w:r>
      <w:r>
        <w:t xml:space="preserve">introduced function calling, moving interaction from free-form text generation to schema-driven structured output and implicitly conceding that pure natural-language prompting is not enough for reliable tool invocation.</w:t>
      </w:r>
      <w:r>
        <w:t xml:space="preserve"> </w:t>
      </w:r>
      <w:r>
        <w:t xml:space="preserve">Schick et al. (2023)</w:t>
      </w:r>
      <w:r>
        <w:t xml:space="preserve"> </w:t>
      </w:r>
      <w:r>
        <w:t xml:space="preserve">trained Toolformer in a self-supervised manner to invoke external tools autonomously, matching much larger models at zero-shot performance.</w:t>
      </w:r>
      <w:r>
        <w:t xml:space="preserve"> </w:t>
      </w:r>
      <w:r>
        <w:t xml:space="preserve">Patil et al. (2023)</w:t>
      </w:r>
      <w:r>
        <w:t xml:space="preserve"> </w:t>
      </w:r>
      <w:r>
        <w:t xml:space="preserve">fine-tuned LLaMA through Gorilla to surpass GPT-4 on API call generation, while also showing that GPT-4 frequently hallucinates incorrect API usage under prompting alone.</w:t>
      </w:r>
      <w:r>
        <w:t xml:space="preserve"> </w:t>
      </w:r>
      <w:r>
        <w:t xml:space="preserve">Willard &amp; Louf (2023)</w:t>
      </w:r>
      <w:r>
        <w:t xml:space="preserve"> </w:t>
      </w:r>
      <w:r>
        <w:t xml:space="preserve">tackled the format reliability problem with constrained decoding via finite-state machines, guaranteeing valid structured output but only addressing format, not reasoning or planning.</w:t>
      </w:r>
    </w:p>
    <w:p>
      <w:pPr>
        <w:pStyle w:val="BodyText"/>
      </w:pPr>
      <w:r>
        <w:t xml:space="preserve">For all these advances, static approaches share a basic limitation: they fix the agent’s behavioral repertoire at design time. ReAct exemplars are hand-crafted and task-specific. Function schemas consume tokens and need careful engineering. Chain-of-thought reasoning only emerges at roughly 100 billion parameters</w:t>
      </w:r>
      <w:r>
        <w:t xml:space="preserve"> </w:t>
      </w:r>
      <w:r>
        <w:t xml:space="preserve">(Wei et al., 2022)</w:t>
      </w:r>
      <w:r>
        <w:t xml:space="preserve">.</w:t>
      </w:r>
      <w:r>
        <w:t xml:space="preserve"> </w:t>
      </w:r>
      <w:r>
        <w:t xml:space="preserve">Brown et al. (2020)</w:t>
      </w:r>
      <w:r>
        <w:t xml:space="preserve"> </w:t>
      </w:r>
      <w:r>
        <w:t xml:space="preserve">showed that in-context few-shot learning has task-dependent ceilings, with GPT-3 failing on ANLI and QuAC.</w:t>
      </w:r>
      <w:r>
        <w:t xml:space="preserve"> </w:t>
      </w:r>
      <w:r>
        <w:t xml:space="preserve">Y. Zhou et al. (2022)</w:t>
      </w:r>
      <w:r>
        <w:t xml:space="preserve"> </w:t>
      </w:r>
      <w:r>
        <w:t xml:space="preserve">found through Automatic Prompt Engineer (APE) that optimal prompts are fragile: small wording changes alter effectiveness, making prompt engineering look more like program synthesis over a brittle search space.</w:t>
      </w:r>
    </w:p>
    <w:p>
      <w:pPr>
        <w:pStyle w:val="BodyText"/>
      </w:pPr>
      <w:r>
        <w:t xml:space="preserve">Sclar et al. (2023)</w:t>
      </w:r>
      <w:r>
        <w:t xml:space="preserve"> </w:t>
      </w:r>
      <w:r>
        <w:t xml:space="preserve">provide the sharpest evidence for this ceiling. They showed that meaning-preserving formatting changes in few-shot prompts produce up to 76 accuracy points of variation on LLaMA-2-13B, from changes as trivial as spacing and delimiter choice. Larger models, more examples, and instruction tuning did not eliminate this sensitivity. For agent deployment, the consequence is that static prompt scaffolds, no matter how carefully designed, cannot guarantee consistent behavior. Performance depends on design-time decisions that may be suboptimal or brittle under distribution shift, and there is no built-in mechanism for the agent to adapt when it hits new failure modes in production.</w:t>
      </w:r>
    </w:p>
    <w:bookmarkEnd w:id="22"/>
    <w:bookmarkStart w:id="23" w:name="X3fdb5ef500e438854f36a188d24c9028d685fc8"/>
    <w:p>
      <w:pPr>
        <w:pStyle w:val="Heading2"/>
      </w:pPr>
      <w:r>
        <w:t xml:space="preserve">2.3 The Impracticality of Fine-Tuning for Rapid Enterprise Adaptation</w:t>
      </w:r>
    </w:p>
    <w:p>
      <w:pPr>
        <w:pStyle w:val="FirstParagraph"/>
      </w:pPr>
      <w:r>
        <w:t xml:space="preserve">RLHF has been the main approach for aligning language models with human intent.</w:t>
      </w:r>
      <w:r>
        <w:t xml:space="preserve"> </w:t>
      </w:r>
      <w:r>
        <w:t xml:space="preserve">Ouyang et al. (2022)</w:t>
      </w:r>
      <w:r>
        <w:t xml:space="preserve"> </w:t>
      </w:r>
      <w:r>
        <w:t xml:space="preserve">showed with InstructGPT that a 1.3-billion-parameter model trained with human feedback is preferred over 175-billion-parameter GPT-3. But the infrastructure cost is high: labeler-written demonstrations, multi-stage reward modeling, and iterative RL optimization, all requiring extensive human annotation. The authors noted an</w:t>
      </w:r>
      <w:r>
        <w:t xml:space="preserve"> </w:t>
      </w:r>
      <w:r>
        <w:t xml:space="preserve">“</w:t>
      </w:r>
      <w:r>
        <w:t xml:space="preserve">alignment tax</w:t>
      </w:r>
      <w:r>
        <w:t xml:space="preserve">”</w:t>
      </w:r>
      <w:r>
        <w:t xml:space="preserve"> </w:t>
      </w:r>
      <w:r>
        <w:t xml:space="preserve">where alignment degrades performance on public NLP benchmarks.</w:t>
      </w:r>
      <w:r>
        <w:t xml:space="preserve"> </w:t>
      </w:r>
      <w:r>
        <w:t xml:space="preserve">Bai et al. (2022)</w:t>
      </w:r>
      <w:r>
        <w:t xml:space="preserve"> </w:t>
      </w:r>
      <w:r>
        <w:t xml:space="preserve">proposed Constitutional AI (CAI) to reduce the human feedback burden, replacing human harmlessness labels with model-generated critiques guided by constitutional principles. CAI still needs a complex multi-phase pipeline of supervised self-critique followed by reinforcement learning.</w:t>
      </w:r>
    </w:p>
    <w:p>
      <w:pPr>
        <w:pStyle w:val="BodyText"/>
      </w:pPr>
      <w:r>
        <w:t xml:space="preserve">Later work simplified the pipeline without removing the core constraints.</w:t>
      </w:r>
      <w:r>
        <w:t xml:space="preserve"> </w:t>
      </w:r>
      <w:r>
        <w:t xml:space="preserve">Rafailov et al. (2023)</w:t>
      </w:r>
      <w:r>
        <w:t xml:space="preserve"> </w:t>
      </w:r>
      <w:r>
        <w:t xml:space="preserve">introduced Direct Preference Optimization (DPO), which eliminates the separate reward model and RL stage by directly optimizing the language model on preference data with a classification loss. DPO matches or exceeds PPO-based RLHF with much less complexity, but the bottleneck remains: collecting or generating domain-specific preference data. Every new company policy or workflow change would require new preference pairs, making DPO no more practical than RLHF for rapid enterprise adaptation.</w:t>
      </w:r>
      <w:r>
        <w:t xml:space="preserve"> </w:t>
      </w:r>
      <w:r>
        <w:t xml:space="preserve">E. J. Hu et al. (2022)</w:t>
      </w:r>
      <w:r>
        <w:t xml:space="preserve"> </w:t>
      </w:r>
      <w:r>
        <w:t xml:space="preserve">reduced fine-tuning costs through LoRA, which injects trainable low-rank matrices while freezing pretrained weights, cutting trainable parameters by up to 10,000x. LoRA makes fine-tuning cheaper but does not eliminate the need for task-specific training data or the risk of catastrophic forgetting.</w:t>
      </w:r>
    </w:p>
    <w:p>
      <w:pPr>
        <w:pStyle w:val="BodyText"/>
      </w:pPr>
      <w:r>
        <w:t xml:space="preserve">The limitations are well-documented.</w:t>
      </w:r>
      <w:r>
        <w:t xml:space="preserve"> </w:t>
      </w:r>
      <w:r>
        <w:t xml:space="preserve">Casper et al. (2023)</w:t>
      </w:r>
      <w:r>
        <w:t xml:space="preserve"> </w:t>
      </w:r>
      <w:r>
        <w:t xml:space="preserve">surveyed RLHF challenges, including noisy and biased human feedback, reward hacking, distributional shift, instability, and sycophancy, arguing that RLHF is not a complete alignment framework and that human evaluators miss over half of critical errors.</w:t>
      </w:r>
      <w:r>
        <w:t xml:space="preserve"> </w:t>
      </w:r>
      <w:r>
        <w:t xml:space="preserve">Lin et al. (2024)</w:t>
      </w:r>
      <w:r>
        <w:t xml:space="preserve"> </w:t>
      </w:r>
      <w:r>
        <w:t xml:space="preserve">quantified the alignment tax directly: RLHF degrades pretrained abilities in translation, reading comprehension, and common-sense reasoning, and existing mitigations (LoRA, regularization) do not fully compensate.</w:t>
      </w:r>
      <w:r>
        <w:t xml:space="preserve"> </w:t>
      </w:r>
      <w:r>
        <w:t xml:space="preserve">Luo et al. (2023)</w:t>
      </w:r>
      <w:r>
        <w:t xml:space="preserve"> </w:t>
      </w:r>
      <w:r>
        <w:t xml:space="preserve">confirmed that catastrophic forgetting during continual fine-tuning affects all model sizes and, counterintuitively, that larger models forget more. Fine-tuning for one enterprise task (say, compliance checking) risks degrading performance on another (say, customer support).</w:t>
      </w:r>
    </w:p>
    <w:p>
      <w:pPr>
        <w:pStyle w:val="BodyText"/>
      </w:pPr>
      <w:r>
        <w:t xml:space="preserve">C. Zhou et al. (2023)</w:t>
      </w:r>
      <w:r>
        <w:t xml:space="preserve"> </w:t>
      </w:r>
      <w:r>
        <w:t xml:space="preserve">offered a different angle with LIMA, showing that fine-tuning on just 1,000 carefully curated examples can produce strong alignment. Their</w:t>
      </w:r>
      <w:r>
        <w:t xml:space="preserve"> </w:t>
      </w:r>
      <w:r>
        <w:t xml:space="preserve">“</w:t>
      </w:r>
      <w:r>
        <w:t xml:space="preserve">Superficial Alignment Hypothesis</w:t>
      </w:r>
      <w:r>
        <w:t xml:space="preserve">”</w:t>
      </w:r>
      <w:r>
        <w:t xml:space="preserve"> </w:t>
      </w:r>
      <w:r>
        <w:t xml:space="preserve">holds that alignment primarily teaches style and format rather than injecting knowledge, which aligns with this thesis’s premise that prompt-level interventions can produce real behavioral changes. But LIMA depends on painstaking manual curation, and each new enterprise domain would need its own expert-curated dataset. Across the board, fine-tuning approaches impose costs in data collection, compute, and maintenance that make them unsuitable for the rapid, reversible, domain-specific agent improvement that enterprises need.</w:t>
      </w:r>
    </w:p>
    <w:bookmarkEnd w:id="23"/>
    <w:bookmarkStart w:id="24" w:name="X6229e13216c0d0196539b751aeffd623d724fc4"/>
    <w:p>
      <w:pPr>
        <w:pStyle w:val="Heading2"/>
      </w:pPr>
      <w:r>
        <w:t xml:space="preserve">2.4 Automated Prompt Optimization: Power Without Agentic Validation</w:t>
      </w:r>
    </w:p>
    <w:p>
      <w:pPr>
        <w:pStyle w:val="FirstParagraph"/>
      </w:pPr>
      <w:r>
        <w:t xml:space="preserve">Prompts can be optimized automatically, without updating model weights. This section reviews the main approaches and identifies a blind spot they all share: none have been validated on structured tool-agent-user benchmarks.</w:t>
      </w:r>
    </w:p>
    <w:p>
      <w:pPr>
        <w:pStyle w:val="BodyText"/>
      </w:pPr>
      <w:r>
        <w:t xml:space="preserve">Khattab et al. (2023)</w:t>
      </w:r>
      <w:r>
        <w:t xml:space="preserve"> </w:t>
      </w:r>
      <w:r>
        <w:t xml:space="preserve">introduced DSPy, a framework that abstracts language model pipelines as declarative modules with learnable parameters—prompts and demonstrations—and provides a compiler that automatically optimizes pipelines against a target metric. GPT-3.5 and Llama2-13b self-bootstrap pipelines that outperform expert-created demonstrations by 5–46% on multi-hop QA and math reasoning.</w:t>
      </w:r>
      <w:r>
        <w:t xml:space="preserve"> </w:t>
      </w:r>
      <w:r>
        <w:t xml:space="preserve">Yuksekgonul et al. (2024)</w:t>
      </w:r>
      <w:r>
        <w:t xml:space="preserve"> </w:t>
      </w:r>
      <w:r>
        <w:t xml:space="preserve">proposed TextGrad, which performs automatic</w:t>
      </w:r>
      <w:r>
        <w:t xml:space="preserve"> </w:t>
      </w:r>
      <w:r>
        <w:t xml:space="preserve">“</w:t>
      </w:r>
      <w:r>
        <w:t xml:space="preserve">differentiation</w:t>
      </w:r>
      <w:r>
        <w:t xml:space="preserve">”</w:t>
      </w:r>
      <w:r>
        <w:t xml:space="preserve"> </w:t>
      </w:r>
      <w:r>
        <w:t xml:space="preserve">via text by backpropagating LLM-generated textual feedback through computation graphs to optimize compound AI system components, improving GPT-4o zero-shot accuracy on GPQA and achieving substantial gains on LeetCode-Hard.</w:t>
      </w:r>
      <w:r>
        <w:t xml:space="preserve"> </w:t>
      </w:r>
      <w:r>
        <w:t xml:space="preserve">Yang et al. (2023)</w:t>
      </w:r>
      <w:r>
        <w:t xml:space="preserve"> </w:t>
      </w:r>
      <w:r>
        <w:t xml:space="preserve">developed OPRO, which uses LLMs as black-box optimizers by describing optimization tasks in natural language, with the LLM iteratively generating new prompt candidates from a meta-prompt containing previous solutions with scores, outperforming human-designed prompts by up to 8% on GSM8K and 50% on Big-Bench Hard.</w:t>
      </w:r>
    </w:p>
    <w:p>
      <w:pPr>
        <w:pStyle w:val="BodyText"/>
      </w:pPr>
      <w:r>
        <w:t xml:space="preserve">Evolutionary approaches have done well here.</w:t>
      </w:r>
      <w:r>
        <w:t xml:space="preserve"> </w:t>
      </w:r>
      <w:r>
        <w:t xml:space="preserve">Q. Guo et al. (2023)</w:t>
      </w:r>
      <w:r>
        <w:t xml:space="preserve"> </w:t>
      </w:r>
      <w:r>
        <w:t xml:space="preserve">combined LLMs with evolutionary algorithms in EvoPrompt, outperforming human-engineered prompts across 31 datasets in language understanding, generation, and reasoning.</w:t>
      </w:r>
      <w:r>
        <w:t xml:space="preserve"> </w:t>
      </w:r>
      <w:r>
        <w:t xml:space="preserve">Fernando et al. (2023)</w:t>
      </w:r>
      <w:r>
        <w:t xml:space="preserve"> </w:t>
      </w:r>
      <w:r>
        <w:t xml:space="preserve">introduced PromptBreeder, which evolves both task-prompts and the mutation-prompts that generate them in a self-referential loop.</w:t>
      </w:r>
      <w:r>
        <w:t xml:space="preserve"> </w:t>
      </w:r>
      <w:r>
        <w:t xml:space="preserve">Pryzant et al. (2023)</w:t>
      </w:r>
      <w:r>
        <w:t xml:space="preserve"> </w:t>
      </w:r>
      <w:r>
        <w:t xml:space="preserve">proposed ProTeGi, which uses LLM-generated natural language</w:t>
      </w:r>
      <w:r>
        <w:t xml:space="preserve"> </w:t>
      </w:r>
      <w:r>
        <w:t xml:space="preserve">“</w:t>
      </w:r>
      <w:r>
        <w:t xml:space="preserve">gradients</w:t>
      </w:r>
      <w:r>
        <w:t xml:space="preserve">”</w:t>
      </w:r>
      <w:r>
        <w:t xml:space="preserve"> </w:t>
      </w:r>
      <w:r>
        <w:t xml:space="preserve">(criticisms of current prompt performance) to iteratively edit prompts, reaching up to 31% improvement on classification tasks.</w:t>
      </w:r>
    </w:p>
    <w:p>
      <w:pPr>
        <w:pStyle w:val="BodyText"/>
      </w:pPr>
      <w:r>
        <w:t xml:space="preserve">More recent work targets agentic systems directly.</w:t>
      </w:r>
      <w:r>
        <w:t xml:space="preserve"> </w:t>
      </w:r>
      <w:r>
        <w:t xml:space="preserve">Shinn et al. (2023)</w:t>
      </w:r>
      <w:r>
        <w:t xml:space="preserve"> </w:t>
      </w:r>
      <w:r>
        <w:t xml:space="preserve">introduced Reflexion, where agents verbally reflect on task feedback and store reflections in episodic memory, producing gains on AlfWorld, HotPotQA, and HumanEval.</w:t>
      </w:r>
      <w:r>
        <w:t xml:space="preserve"> </w:t>
      </w:r>
      <w:r>
        <w:t xml:space="preserve">S. Hu et al. (2024)</w:t>
      </w:r>
      <w:r>
        <w:t xml:space="preserve"> </w:t>
      </w:r>
      <w:r>
        <w:t xml:space="preserve">proposed ADAS (Automated Design of Agentic Systems), defining agents in code and using a meta-agent to iteratively program new designs from an ever-growing archive, outperforming hand-designed agents on several benchmarks.</w:t>
      </w:r>
      <w:r>
        <w:t xml:space="preserve"> </w:t>
      </w:r>
      <w:r>
        <w:t xml:space="preserve">Cheng et al. (2024)</w:t>
      </w:r>
      <w:r>
        <w:t xml:space="preserve"> </w:t>
      </w:r>
      <w:r>
        <w:t xml:space="preserve">developed Trace and OptoPrime, framing workflow optimization over execution traces with rich feedback and beating DSPy’s COPRO by roughly 10% on Big-Bench Hard.</w:t>
      </w:r>
      <w:r>
        <w:t xml:space="preserve"> </w:t>
      </w:r>
      <w:r>
        <w:t xml:space="preserve">Zhang et al. (2024)</w:t>
      </w:r>
      <w:r>
        <w:t xml:space="preserve"> </w:t>
      </w:r>
      <w:r>
        <w:t xml:space="preserve">introduced AgentOptimizer, treating an agent’s tools as learnable parameters that an LLM-based optimizer can add, revise, or remove.</w:t>
      </w:r>
      <w:r>
        <w:t xml:space="preserve"> </w:t>
      </w:r>
      <w:r>
        <w:t xml:space="preserve">Wu et al. (2024)</w:t>
      </w:r>
      <w:r>
        <w:t xml:space="preserve"> </w:t>
      </w:r>
      <w:r>
        <w:t xml:space="preserve">proposed AvaTaR, using contrastive reasoning to generate prompts for tool-assisted knowledge retrieval.</w:t>
      </w:r>
    </w:p>
    <w:p>
      <w:pPr>
        <w:pStyle w:val="BodyText"/>
      </w:pPr>
      <w:r>
        <w:t xml:space="preserve">Across all of this work, evaluations stay within question answering, classification, mathematical reasoning, coding, and simplified interactive environments. DSPy’s optimizers are validated on GSM8K and HotPotQA; TextGrad on GPQA and LeetCode; OPRO on GSM8K and Big-Bench Hard; Reflexion on AlfWorld and HumanEval; ADAS on ARC and DROP; AvaTaR on STaRK. None of these are structured multi-turn tool-calling benchmarks with realistic user simulation, domain-specific policies, and enterprise-grade success criteria. The τ-bench family, which tests exactly these conditions, has not been used as an optimization target for any automated prompt evolution method. The optimization tools exist. The benchmarks exist. But nobody has connected them.</w:t>
      </w:r>
    </w:p>
    <w:bookmarkEnd w:id="24"/>
    <w:bookmarkStart w:id="25" w:name="X39ad54dc6beb85e7ce1b6ae01c06c178b7bb6e9"/>
    <w:p>
      <w:pPr>
        <w:pStyle w:val="Heading2"/>
      </w:pPr>
      <w:r>
        <w:t xml:space="preserve">2.5 From Weight-Level Distillation to Prompt-Level Knowledge Transfer</w:t>
      </w:r>
    </w:p>
    <w:p>
      <w:pPr>
        <w:pStyle w:val="FirstParagraph"/>
      </w:pPr>
      <w:r>
        <w:t xml:space="preserve">Knowledge distillation, where a strong model transfers knowledge to a weaker one, has a long history in machine learning.</w:t>
      </w:r>
      <w:r>
        <w:t xml:space="preserve"> </w:t>
      </w:r>
      <w:r>
        <w:t xml:space="preserve">Hinton et al. (2015)</w:t>
      </w:r>
      <w:r>
        <w:t xml:space="preserve"> </w:t>
      </w:r>
      <w:r>
        <w:t xml:space="preserve">trained a smaller</w:t>
      </w:r>
      <w:r>
        <w:t xml:space="preserve"> </w:t>
      </w:r>
      <w:r>
        <w:t xml:space="preserve">“</w:t>
      </w:r>
      <w:r>
        <w:t xml:space="preserve">student</w:t>
      </w:r>
      <w:r>
        <w:t xml:space="preserve">”</w:t>
      </w:r>
      <w:r>
        <w:t xml:space="preserve"> </w:t>
      </w:r>
      <w:r>
        <w:t xml:space="preserve">to replicate the soft probability distributions of a larger</w:t>
      </w:r>
      <w:r>
        <w:t xml:space="preserve"> </w:t>
      </w:r>
      <w:r>
        <w:t xml:space="preserve">“</w:t>
      </w:r>
      <w:r>
        <w:t xml:space="preserve">teacher</w:t>
      </w:r>
      <w:r>
        <w:t xml:space="preserve">”</w:t>
      </w:r>
      <w:r>
        <w:t xml:space="preserve"> </w:t>
      </w:r>
      <w:r>
        <w:t xml:space="preserve">via temperature-scaled softmax, showing that knowledge can be compressed into smaller, deployable models with most performance retained. In NLP,</w:t>
      </w:r>
      <w:r>
        <w:t xml:space="preserve"> </w:t>
      </w:r>
      <w:r>
        <w:t xml:space="preserve">Sanh et al. (2019)</w:t>
      </w:r>
      <w:r>
        <w:t xml:space="preserve"> </w:t>
      </w:r>
      <w:r>
        <w:t xml:space="preserve">applied distillation during pre-training to produce DistilBERT, 40% smaller than BERT while retaining 97% of its language understanding.</w:t>
      </w:r>
      <w:r>
        <w:t xml:space="preserve"> </w:t>
      </w:r>
      <w:r>
        <w:t xml:space="preserve">Jiao et al. (2020)</w:t>
      </w:r>
      <w:r>
        <w:t xml:space="preserve"> </w:t>
      </w:r>
      <w:r>
        <w:t xml:space="preserve">pushed further with TinyBERT, distilling at multiple Transformer layers to produce a model 7.5x smaller and 9.4x faster than BERT-Base at 96.8% of its performance.</w:t>
      </w:r>
    </w:p>
    <w:p>
      <w:pPr>
        <w:pStyle w:val="BodyText"/>
      </w:pPr>
      <w:r>
        <w:t xml:space="preserve">Large language models shifted distillation from soft probability matching to output-level transfer.</w:t>
      </w:r>
      <w:r>
        <w:t xml:space="preserve"> </w:t>
      </w:r>
      <w:r>
        <w:t xml:space="preserve">Taori et al. (2023)</w:t>
      </w:r>
      <w:r>
        <w:t xml:space="preserve"> </w:t>
      </w:r>
      <w:r>
        <w:t xml:space="preserve">fine-tuned LLaMA-7B on 52,000 instruction-following examples generated by text-davinci-003 to create Stanford Alpaca, which behaves similarly to GPT-3.5 for under 600 US dollars.</w:t>
      </w:r>
      <w:r>
        <w:t xml:space="preserve"> </w:t>
      </w:r>
      <w:r>
        <w:t xml:space="preserve">Chiang et al. (2023)</w:t>
      </w:r>
      <w:r>
        <w:t xml:space="preserve"> </w:t>
      </w:r>
      <w:r>
        <w:t xml:space="preserve">fine-tuned LLaMA-13B on roughly 70,000 user-shared ChatGPT conversations to create Vicuna, reaching about 90% of ChatGPT quality.</w:t>
      </w:r>
      <w:r>
        <w:t xml:space="preserve"> </w:t>
      </w:r>
      <w:r>
        <w:t xml:space="preserve">Wang et al. (2023)</w:t>
      </w:r>
      <w:r>
        <w:t xml:space="preserve"> </w:t>
      </w:r>
      <w:r>
        <w:t xml:space="preserve">formalized this with Self-Instruct, where a model generates its own instruction-following training data through a bootstrapping pipeline starting from 175 seed tasks. The teacher’s knowledge here is no longer transferred as probability distributions but as behavioral outputs used to train the student’s weights.</w:t>
      </w:r>
    </w:p>
    <w:p>
      <w:pPr>
        <w:pStyle w:val="BodyText"/>
      </w:pPr>
      <w:r>
        <w:t xml:space="preserve">More recent work adds iterative, failure-driven knowledge transfer that resembles the approach taken here.</w:t>
      </w:r>
      <w:r>
        <w:t xml:space="preserve"> </w:t>
      </w:r>
      <w:r>
        <w:t xml:space="preserve">Jiang et al. (2023)</w:t>
      </w:r>
      <w:r>
        <w:t xml:space="preserve"> </w:t>
      </w:r>
      <w:r>
        <w:t xml:space="preserve">proposed Lion, an adversarial distillation loop where the teacher finds instructions the student fails on and generates harder examples, transferring knowledge from ChatGPT to a smaller model that beats Vicuna on Big-Bench Hard.</w:t>
      </w:r>
      <w:r>
        <w:t xml:space="preserve"> </w:t>
      </w:r>
      <w:r>
        <w:t xml:space="preserve">C. Xu et al. (2023)</w:t>
      </w:r>
      <w:r>
        <w:t xml:space="preserve"> </w:t>
      </w:r>
      <w:r>
        <w:t xml:space="preserve">introduced Evol-Instruct through WizardLM, where a strong LLM progressively rewrites simple instructions into more complex ones through in-depth and in-breadth evolution. Of existing methods, this comes closest to prompt-level distillation, though the final step still involves fine-tuning weights.</w:t>
      </w:r>
      <w:r>
        <w:t xml:space="preserve"> </w:t>
      </w:r>
      <w:r>
        <w:t xml:space="preserve">Zheng et al. (2023)</w:t>
      </w:r>
      <w:r>
        <w:t xml:space="preserve"> </w:t>
      </w:r>
      <w:r>
        <w:t xml:space="preserve">studied the LLM-as-judge paradigm systematically and showed that GPT-4 agrees with human preferences over 80% of the time, validating the idea that a strong model can serve as a diagnostic supervisor.</w:t>
      </w:r>
    </w:p>
    <w:p>
      <w:pPr>
        <w:pStyle w:val="BodyText"/>
      </w:pPr>
      <w:r>
        <w:t xml:space="preserve">An important precedent for prompt-level transfer is SPoT</w:t>
      </w:r>
      <w:r>
        <w:t xml:space="preserve"> </w:t>
      </w:r>
      <w:r>
        <w:t xml:space="preserve">(Vu et al., 2022)</w:t>
      </w:r>
      <w:r>
        <w:t xml:space="preserve">, which showed that soft prompts learned for one task can initialize prompts for new tasks, improving performance across 26 NLP tasks. This establishes that knowledge encoded in prompts, not just in weights, can be reused across contexts. Constitutional AI</w:t>
      </w:r>
      <w:r>
        <w:t xml:space="preserve"> </w:t>
      </w:r>
      <w:r>
        <w:t xml:space="preserve">(Bai et al., 2022)</w:t>
      </w:r>
      <w:r>
        <w:t xml:space="preserve"> </w:t>
      </w:r>
      <w:r>
        <w:t xml:space="preserve">is another form of model-to-model transfer at the principle level, where a model’s critiques encoded as natural language rules shape another model’s behavior. The trajectory is clear: from weight-level distillation (Hinton et al.) through output-level distillation (Alpaca, Vicuna) to instruction-level transfer (WizardLM, CAI) to prompt-level transfer (SPoT), knowledge transfer has gotten progressively lighter, cheaper, and more reversible. This thesis takes the next step: using a strong teacher model to iteratively optimize the prompts and tool descriptions of a weaker student, transferring knowledge without modifying any weights.</w:t>
      </w:r>
    </w:p>
    <w:bookmarkEnd w:id="25"/>
    <w:bookmarkStart w:id="26" w:name="identifying-the-research-gap"/>
    <w:p>
      <w:pPr>
        <w:pStyle w:val="Heading2"/>
      </w:pPr>
      <w:r>
        <w:t xml:space="preserve">2.6 Identifying the Research Gap</w:t>
      </w:r>
    </w:p>
    <w:p>
      <w:pPr>
        <w:pStyle w:val="FirstParagraph"/>
      </w:pPr>
      <w:r>
        <w:t xml:space="preserve">The previous sections cover three research areas that have developed mostly in parallel: agentic benchmarking, automated prompt optimization, and teacher–student knowledge transfer. No existing work combines automated prompt optimization driven by a frontier teacher model with validation on structured tool-agent-user benchmarks. Several recent papers approach this intersection from different directions but leave the gap open.</w:t>
      </w:r>
    </w:p>
    <w:p>
      <w:pPr>
        <w:pStyle w:val="BodyText"/>
      </w:pPr>
      <w:r>
        <w:t xml:space="preserve">The closest existing work is GEPA</w:t>
      </w:r>
      <w:r>
        <w:t xml:space="preserve"> </w:t>
      </w:r>
      <w:r>
        <w:t xml:space="preserve">(Agrawal et al., 2025)</w:t>
      </w:r>
      <w:r>
        <w:t xml:space="preserve">, a Genetic-Pareto prompt optimizer integrated into DSPy that uses natural language reflection from a stronger model to diagnose failures from execution traces and propose targeted mutations for a weaker task model, outperforming reinforcement learning baselines by up to 20%. GEPA has automated prompt optimization and implicitly employs a teacher–student paradigm, but its evaluations are on reasoning benchmarks (HotPotQA, AIME) and instruction-following (IFBench)—not on multi-turn customer service benchmarks with tool calls and domain policies.</w:t>
      </w:r>
    </w:p>
    <w:p>
      <w:pPr>
        <w:pStyle w:val="BodyText"/>
      </w:pPr>
      <w:r>
        <w:t xml:space="preserve">Pei et al. (2025)</w:t>
      </w:r>
      <w:r>
        <w:t xml:space="preserve"> </w:t>
      </w:r>
      <w:r>
        <w:t xml:space="preserve">proposed SCOPE, which frames agent prompt management as an online optimization problem, synthesizing guidelines from execution traces via a dual-stream mechanism. SCOPE provides automated prompt evolution for agents and tests on agentic benchmarks (GAIA, HLE), but it does not employ a teacher–student paradigm where a stronger model explicitly diagnoses and patches the behavior of a weaker one.</w:t>
      </w:r>
      <w:r>
        <w:t xml:space="preserve"> </w:t>
      </w:r>
      <w:r>
        <w:t xml:space="preserve">Choudhury &amp; Sodhi (2024)</w:t>
      </w:r>
      <w:r>
        <w:t xml:space="preserve"> </w:t>
      </w:r>
      <w:r>
        <w:t xml:space="preserve">introduced LEAP, an iterative framework where an AI expert teacher with privileged state information provides corrective feedback to a weaker student agent. LEAP has a clear teacher–student architecture and evaluates on interactive agent benchmarks (ALFWorld, WebShop), but it improves the student via fine-tuning—weight updates rather than prompt optimization—and does not target tool-calling customer service benchmarks.</w:t>
      </w:r>
    </w:p>
    <w:p>
      <w:pPr>
        <w:pStyle w:val="BodyText"/>
      </w:pPr>
      <w:r>
        <w:t xml:space="preserve">Reflexion</w:t>
      </w:r>
      <w:r>
        <w:t xml:space="preserve"> </w:t>
      </w:r>
      <w:r>
        <w:t xml:space="preserve">(Shinn et al., 2023)</w:t>
      </w:r>
      <w:r>
        <w:t xml:space="preserve"> </w:t>
      </w:r>
      <w:r>
        <w:t xml:space="preserve">improves agent performance through verbal self-reflection without weight updates, but reflections are ephemeral per-episode memory rather than permanent prompt patches, and there is no separate teacher model. ADAS</w:t>
      </w:r>
      <w:r>
        <w:t xml:space="preserve"> </w:t>
      </w:r>
      <w:r>
        <w:t xml:space="preserve">(S. Hu et al., 2024)</w:t>
      </w:r>
      <w:r>
        <w:t xml:space="preserve"> </w:t>
      </w:r>
      <w:r>
        <w:t xml:space="preserve">automates agent design including prompt discovery but operates at the level of entire agent architectures rather than iterative prompt patching and lacks an explicit teacher–student mechanism.</w:t>
      </w:r>
    </w:p>
    <w:p>
      <w:pPr>
        <w:pStyle w:val="BodyText"/>
      </w:pPr>
      <w:r>
        <w:t xml:space="preserve">The pieces are all there but have not been assembled. Agentic benchmarks like τ²-bench show precisely where tool-using agents fail and provide reproducible, domain-specific success criteria. Automated prompt optimization (DSPy, TextGrad, GEPA) shows that prompts and tool descriptions can be improved algorithmically at costs far below fine-tuning. Teacher–student distillation, from Hinton’s original work through Alpaca and Lion to LLM-as-judge, shows that a strong model can reliably supervise a weaker one. What this thesis contributes is the empirical demonstration that a frontier reasoning model can iteratively evolve the prompts and tool descriptions of a smaller, cheaper model on a structured tool-agent-user benchmark, producing measurable reliability improvements without modifying any model weights. The approach operates at the prompt level (no retraining), is validated on τ²-bench with standardized metrics, and mirrors the operational reality where a capable but expensive system improves the behavior of a cheaper execution-tier agent.</w:t>
      </w:r>
    </w:p>
    <w:bookmarkEnd w:id="26"/>
    <w:bookmarkEnd w:id="27"/>
    <w:bookmarkStart w:id="68" w:name="methodology"/>
    <w:p>
      <w:pPr>
        <w:pStyle w:val="Heading1"/>
      </w:pPr>
      <w:r>
        <w:t xml:space="preserve">3. Methodology</w:t>
      </w:r>
    </w:p>
    <w:p>
      <w:pPr>
        <w:pStyle w:val="FirstParagraph"/>
      </w:pPr>
      <w:r>
        <w:t xml:space="preserve">This chapter describes the research design, experimental setup, and implementation of the prompt evolution framework evaluated in this thesis. Section 3.1 situates the research within a design-science paradigm; Section 3.2 describes the evaluation benchmark; Section 3.3 defines the three experimental conditions; Section 3.4 justifies model choices; Sections 3.5–3.7 detail the evolution framework, its patch mechanisms, and the failure taxonomy; Section 3.8 defines evaluation metrics; Section 3.9 documents reproducibility provisions; and Section 3.10 discusses threats to validity.</w:t>
      </w:r>
    </w:p>
    <w:bookmarkStart w:id="28" w:name="research-design"/>
    <w:p>
      <w:pPr>
        <w:pStyle w:val="Heading2"/>
      </w:pPr>
      <w:r>
        <w:t xml:space="preserve">3.1 Research Design</w:t>
      </w:r>
    </w:p>
    <w:p>
      <w:pPr>
        <w:pStyle w:val="FirstParagraph"/>
      </w:pPr>
      <w:r>
        <w:t xml:space="preserve">The research follows a design-science approach</w:t>
      </w:r>
      <w:r>
        <w:t xml:space="preserve"> </w:t>
      </w:r>
      <w:r>
        <w:t xml:space="preserve">(Hevner et al., 2004; Peffers et al., 2007)</w:t>
      </w:r>
      <w:r>
        <w:t xml:space="preserve">: the primary contribution is a software artifact—the prompt evolution framework—and the primary evaluation is an empirical measurement of its effect on a standardized benchmark. The study is quantitative and experimental, with a pre-test/post-test design in which the same agent is evaluated before and after the intervention (automated prompt and tool-schema evolution), with an additional ceiling condition provided by a stronger model.</w:t>
      </w:r>
      <w:r>
        <w:t xml:space="preserve"> </w:t>
      </w:r>
      <w:r>
        <w:t xml:space="preserve">Hevner et al. (2004)</w:t>
      </w:r>
      <w:r>
        <w:t xml:space="preserve">’s Design Evaluation guideline requires demonstrating that the artifact improves upon a baseline and contextualizing improvement against an upper bound; the three-condition design satisfies both requirements.</w:t>
      </w:r>
    </w:p>
    <w:p>
      <w:pPr>
        <w:pStyle w:val="BodyText"/>
      </w:pPr>
      <w:r>
        <w:t xml:space="preserve">The research question—</w:t>
      </w:r>
      <w:r>
        <w:rPr>
          <w:iCs/>
          <w:i/>
        </w:rPr>
        <w:t xml:space="preserve">How can AI agent performance on structured benchmarks be improved through automated, teacher-model-driven prompt and tool evolution?</w:t>
      </w:r>
      <w:r>
        <w:t xml:space="preserve">—is operationalized as a measurable change in pass rate on the τ²-bench benchmark across three experimental conditions. The sub-questions map to specific analyses: failure-mode responsiveness is assessed through the failure taxonomy and ablation of patch types; the efficiency question is addressed by the iterative structure of the loop, which tracks marginal gains per iteration; and the comparison with static agents is enabled by the floor–intervention–ceiling design.</w:t>
      </w:r>
    </w:p>
    <w:bookmarkEnd w:id="28"/>
    <w:bookmarkStart w:id="33" w:name="benchmark-τ²-bench"/>
    <w:p>
      <w:pPr>
        <w:pStyle w:val="Heading2"/>
      </w:pPr>
      <w:r>
        <w:t xml:space="preserve">3.2 Benchmark: τ²-bench</w:t>
      </w:r>
    </w:p>
    <w:bookmarkStart w:id="29" w:name="selection-rationale"/>
    <w:p>
      <w:pPr>
        <w:pStyle w:val="Heading3"/>
      </w:pPr>
      <w:r>
        <w:t xml:space="preserve">3.2.1 Selection Rationale</w:t>
      </w:r>
    </w:p>
    <w:p>
      <w:pPr>
        <w:pStyle w:val="FirstParagraph"/>
      </w:pPr>
      <w:r>
        <w:t xml:space="preserve">The evaluation benchmark is τ²-bench</w:t>
      </w:r>
      <w:r>
        <w:t xml:space="preserve"> </w:t>
      </w:r>
      <w:r>
        <w:t xml:space="preserve">(Barres et al., 2025)</w:t>
      </w:r>
      <w:r>
        <w:t xml:space="preserve">, an extension of τ-bench</w:t>
      </w:r>
      <w:r>
        <w:t xml:space="preserve"> </w:t>
      </w:r>
      <w:r>
        <w:t xml:space="preserve">(Yao et al., 2024)</w:t>
      </w:r>
      <w:r>
        <w:t xml:space="preserve">. It was selected over four alternative benchmarks for reasons that reduce to a single requirement: the benchmark must combine multi-turn dialogue with tool calling, a simulated user that reveals information incrementally, and domain-specific policy constraints—what makes customer-service automation realistic in practice.</w:t>
      </w:r>
    </w:p>
    <w:p>
      <w:pPr>
        <w:pStyle w:val="BodyText"/>
      </w:pPr>
      <w:r>
        <w:t xml:space="preserve">AgentBench</w:t>
      </w:r>
      <w:r>
        <w:t xml:space="preserve"> </w:t>
      </w:r>
      <w:r>
        <w:t xml:space="preserve">(Liu et al., 2023)</w:t>
      </w:r>
      <w:r>
        <w:t xml:space="preserve"> </w:t>
      </w:r>
      <w:r>
        <w:t xml:space="preserve">covers eight interactive environments but features no simulated user interaction; the agent operates autonomously given all information upfront. SWE-bench</w:t>
      </w:r>
      <w:r>
        <w:t xml:space="preserve"> </w:t>
      </w:r>
      <w:r>
        <w:t xml:space="preserve">(Jimenez et al., 2024)</w:t>
      </w:r>
      <w:r>
        <w:t xml:space="preserve"> </w:t>
      </w:r>
      <w:r>
        <w:t xml:space="preserve">is confined to single-shot code generation with no dialogue or tool-calling APIs. GAIA</w:t>
      </w:r>
      <w:r>
        <w:t xml:space="preserve"> </w:t>
      </w:r>
      <w:r>
        <w:t xml:space="preserve">(Mialon et al., 2023)</w:t>
      </w:r>
      <w:r>
        <w:t xml:space="preserve"> </w:t>
      </w:r>
      <w:r>
        <w:t xml:space="preserve">evaluates single-turn factual question answering with no conversational back-and-forth. ToolBench</w:t>
      </w:r>
      <w:r>
        <w:t xml:space="preserve"> </w:t>
      </w:r>
      <w:r>
        <w:t xml:space="preserve">(Qin et al., 2023)</w:t>
      </w:r>
      <w:r>
        <w:t xml:space="preserve"> </w:t>
      </w:r>
      <w:r>
        <w:t xml:space="preserve">tests tool use across 16,000+ APIs, but—as noted in the τ-bench paper—instructions are provided upfront in their entirety: there is no multi-turn user dialogue, no domain policies, and no customer-service workflows. τ²-bench is the only benchmark that combines all four elements: multi-turn conversations with an LLM-simulated user providing partial information, domain-specific policies, tool-calling APIs that modify database state, and the pass</w:t>
      </w:r>
      <w:r>
        <w:rPr>
          <w:vertAlign w:val="superscript"/>
        </w:rPr>
        <w:t xml:space="preserve">k</w:t>
      </w:r>
      <w:r>
        <w:t xml:space="preserve"> </w:t>
      </w:r>
      <w:r>
        <w:t xml:space="preserve">reliability metric that the thesis requires.</w:t>
      </w:r>
    </w:p>
    <w:bookmarkEnd w:id="29"/>
    <w:bookmarkStart w:id="30" w:name="domains-and-tasks"/>
    <w:p>
      <w:pPr>
        <w:pStyle w:val="Heading3"/>
      </w:pPr>
      <w:r>
        <w:t xml:space="preserve">3.2.2 Domains and Tasks</w:t>
      </w:r>
    </w:p>
    <w:p>
      <w:pPr>
        <w:pStyle w:val="FirstParagraph"/>
      </w:pPr>
      <w:r>
        <w:t xml:space="preserve">τ²-bench provides three customer-service domains, each with its own database, policy document, tool set, and task catalog.</w:t>
      </w:r>
    </w:p>
    <w:p>
      <w:pPr>
        <w:pStyle w:val="TableCaption"/>
      </w:pPr>
      <w:r>
        <w:t xml:space="preserve">τ²-bench domain characteristics.</w:t>
      </w:r>
    </w:p>
    <w:tbl>
      <w:tblPr>
        <w:tblStyle w:val="Table"/>
        <w:tblW w:type="pct" w:w="5000"/>
        <w:tblLook w:firstRow="1" w:lastRow="0" w:firstColumn="0" w:lastColumn="0" w:noHBand="0" w:noVBand="0" w:val="0020"/>
        <w:jc w:val="start"/>
        <w:tblCaption w:val="τ²-bench domain characteristics."/>
      </w:tblPr>
      <w:tblGrid>
        <w:gridCol w:w="950"/>
        <w:gridCol w:w="739"/>
        <w:gridCol w:w="6230"/>
      </w:tblGrid>
      <w:tr>
        <w:trPr>
          <w:tblHeader w:val="true"/>
        </w:trPr>
        <w:tc>
          <w:tcPr/>
          <w:p>
            <w:pPr>
              <w:pStyle w:val="Compact"/>
              <w:jc w:val="left"/>
            </w:pPr>
            <w:r>
              <w:t xml:space="preserve">Domain</w:t>
            </w:r>
          </w:p>
        </w:tc>
        <w:tc>
          <w:tcPr/>
          <w:p>
            <w:pPr>
              <w:pStyle w:val="Compact"/>
              <w:jc w:val="left"/>
            </w:pPr>
            <w:r>
              <w:t xml:space="preserve">Tasks</w:t>
            </w:r>
          </w:p>
        </w:tc>
        <w:tc>
          <w:tcPr/>
          <w:p>
            <w:pPr>
              <w:pStyle w:val="Compact"/>
              <w:jc w:val="left"/>
            </w:pPr>
            <w:r>
              <w:t xml:space="preserve">Description</w:t>
            </w:r>
          </w:p>
        </w:tc>
      </w:tr>
      <w:tr>
        <w:tc>
          <w:tcPr/>
          <w:p>
            <w:pPr>
              <w:pStyle w:val="Compact"/>
              <w:jc w:val="left"/>
            </w:pPr>
            <w:r>
              <w:t xml:space="preserve">Airline</w:t>
            </w:r>
          </w:p>
        </w:tc>
        <w:tc>
          <w:tcPr/>
          <w:p>
            <w:pPr>
              <w:pStyle w:val="Compact"/>
              <w:jc w:val="left"/>
            </w:pPr>
            <w:r>
              <w:t xml:space="preserve">50</w:t>
            </w:r>
          </w:p>
        </w:tc>
        <w:tc>
          <w:tcPr/>
          <w:p>
            <w:pPr>
              <w:pStyle w:val="Compact"/>
              <w:jc w:val="left"/>
            </w:pPr>
            <w:r>
              <w:t xml:space="preserve">Flight reservations, cancellations, upgrades, baggage</w:t>
            </w:r>
          </w:p>
        </w:tc>
      </w:tr>
      <w:tr>
        <w:tc>
          <w:tcPr/>
          <w:p>
            <w:pPr>
              <w:pStyle w:val="Compact"/>
              <w:jc w:val="left"/>
            </w:pPr>
            <w:r>
              <w:t xml:space="preserve">Retail</w:t>
            </w:r>
          </w:p>
        </w:tc>
        <w:tc>
          <w:tcPr/>
          <w:p>
            <w:pPr>
              <w:pStyle w:val="Compact"/>
              <w:jc w:val="left"/>
            </w:pPr>
            <w:r>
              <w:t xml:space="preserve">114</w:t>
            </w:r>
          </w:p>
        </w:tc>
        <w:tc>
          <w:tcPr/>
          <w:p>
            <w:pPr>
              <w:pStyle w:val="Compact"/>
              <w:jc w:val="left"/>
            </w:pPr>
            <w:r>
              <w:t xml:space="preserve">Order management, returns, exchanges, account issues</w:t>
            </w:r>
          </w:p>
        </w:tc>
      </w:tr>
      <w:tr>
        <w:tc>
          <w:tcPr/>
          <w:p>
            <w:pPr>
              <w:pStyle w:val="Compact"/>
              <w:jc w:val="left"/>
            </w:pPr>
            <w:r>
              <w:t xml:space="preserve">Telecom</w:t>
            </w:r>
          </w:p>
        </w:tc>
        <w:tc>
          <w:tcPr/>
          <w:p>
            <w:pPr>
              <w:pStyle w:val="Compact"/>
              <w:jc w:val="left"/>
            </w:pPr>
            <w:r>
              <w:t xml:space="preserve">114</w:t>
            </w:r>
          </w:p>
        </w:tc>
        <w:tc>
          <w:tcPr/>
          <w:p>
            <w:pPr>
              <w:pStyle w:val="Compact"/>
              <w:jc w:val="left"/>
            </w:pPr>
            <w:r>
              <w:t xml:space="preserve">Mobile plans, data issues, billing, service changes</w:t>
            </w:r>
          </w:p>
        </w:tc>
      </w:tr>
    </w:tbl>
    <w:p>
      <w:pPr>
        <w:pStyle w:val="BodyText"/>
      </w:pPr>
      <w:r>
        <w:t xml:space="preserve">Each task defines a user scenario (visible only to the simulated customer), expected agent actions with specific tool calls and arguments, post-conversation database state assertions, and natural-language assertions about the conversation. A task passes if and only if the agent satisfies all criteria simultaneously—the strict binary pass</w:t>
      </w:r>
      <w:r>
        <w:rPr>
          <w:vertAlign w:val="superscript"/>
        </w:rPr>
        <w:t xml:space="preserve">1</w:t>
      </w:r>
      <w:r>
        <w:t xml:space="preserve"> </w:t>
      </w:r>
      <w:r>
        <w:t xml:space="preserve">metric standard in τ-bench publications.</w:t>
      </w:r>
      <w:r>
        <w:t xml:space="preserve"> </w:t>
      </w:r>
      <w:r>
        <w:t xml:space="preserve">Rabanser et al. (2025)</w:t>
      </w:r>
      <w:r>
        <w:t xml:space="preserve"> </w:t>
      </w:r>
      <w:r>
        <w:t xml:space="preserve">note that 24 of the original 50 airline tasks contain ground-truth errors; where practical, this thesis uses verified task subsets for the airline domain.</w:t>
      </w:r>
    </w:p>
    <w:bookmarkEnd w:id="30"/>
    <w:bookmarkStart w:id="31" w:name="conversation-mechanics"/>
    <w:p>
      <w:pPr>
        <w:pStyle w:val="Heading3"/>
      </w:pPr>
      <w:r>
        <w:t xml:space="preserve">3.2.3 Conversation Mechanics</w:t>
      </w:r>
    </w:p>
    <w:p>
      <w:pPr>
        <w:pStyle w:val="FirstParagraph"/>
      </w:pPr>
      <w:r>
        <w:t xml:space="preserve">During evaluation, a simulated orchestrator manages a turn-by-turn conversation between the agent and a user simulator. On each turn the agent may either send a text message or invoke a tool; it cannot do both. Tool calls are executed against a simulated database, and the result is returned. The conversation ends when the user simulator signals completion or a maximum step count is reached. Each completed conversation is evaluated against the task’s criteria, producing a reward between 0.0 and 1.0. The full trace—user messages, agent messages, tool calls, tool results—is preserved for analysis by the teacher model.</w:t>
      </w:r>
    </w:p>
    <w:bookmarkEnd w:id="31"/>
    <w:bookmarkStart w:id="32" w:name="integration"/>
    <w:p>
      <w:pPr>
        <w:pStyle w:val="Heading3"/>
      </w:pPr>
      <w:r>
        <w:t xml:space="preserve">3.2.4 Integration</w:t>
      </w:r>
    </w:p>
    <w:p>
      <w:pPr>
        <w:pStyle w:val="FirstParagraph"/>
      </w:pPr>
      <w:r>
        <w:t xml:space="preserve">τ²-bench is integrated as a git submodule pinned to commit 37bfc31 (based on tag v0.1.1), installed as an editable Python package. No modifications were made to the upstream codebase; all integration occurs through τ²-bench’s public API: the RunConfig data model, the run_domain() function, the agent registry, and the Tool and Environment classes. Because nothing in the upstream code was changed, benchmark results are directly comparable to published baselines.</w:t>
      </w:r>
    </w:p>
    <w:bookmarkEnd w:id="32"/>
    <w:bookmarkEnd w:id="33"/>
    <w:bookmarkStart w:id="39" w:name="experimental-conditions"/>
    <w:p>
      <w:pPr>
        <w:pStyle w:val="Heading2"/>
      </w:pPr>
      <w:r>
        <w:t xml:space="preserve">3.3 Experimental Conditions</w:t>
      </w:r>
    </w:p>
    <w:p>
      <w:pPr>
        <w:pStyle w:val="FirstParagraph"/>
      </w:pPr>
      <w:r>
        <w:t xml:space="preserve">The experiment evaluates three conditions across the three τ²-bench domains. Each uses identical evaluation infrastructure, and they differ only in the agent’s model and prompt configuration. As recommended by</w:t>
      </w:r>
      <w:r>
        <w:t xml:space="preserve"> </w:t>
      </w:r>
      <w:r>
        <w:t xml:space="preserve">Wornow et al. (2024)</w:t>
      </w:r>
      <w:r>
        <w:t xml:space="preserve">, the design brackets the intervention between a floor (unoptimized student) and a ceiling (frontier model).</w:t>
      </w:r>
    </w:p>
    <w:bookmarkStart w:id="34" w:name="condition-b-baseline"/>
    <w:p>
      <w:pPr>
        <w:pStyle w:val="Heading3"/>
      </w:pPr>
      <w:r>
        <w:t xml:space="preserve">3.3.1 Condition B: Baseline</w:t>
      </w:r>
    </w:p>
    <w:p>
      <w:pPr>
        <w:pStyle w:val="FirstParagraph"/>
      </w:pPr>
      <w:r>
        <w:t xml:space="preserve">The student model runs on τ²-bench tasks with no modifications. The system prompt is τ²-bench’s default instruction template, which directs the agent to follow the domain policy and produce valid JSON. Tool schemas are the originals. This establishes the performance floor—how well the student performs out of the box.</w:t>
      </w:r>
    </w:p>
    <w:bookmarkEnd w:id="34"/>
    <w:bookmarkStart w:id="35" w:name="condition-k-evolved"/>
    <w:p>
      <w:pPr>
        <w:pStyle w:val="Heading3"/>
      </w:pPr>
      <w:r>
        <w:t xml:space="preserve">3.3.2 Condition K: Evolved</w:t>
      </w:r>
    </w:p>
    <w:p>
      <w:pPr>
        <w:pStyle w:val="FirstParagraph"/>
      </w:pPr>
      <w:r>
        <w:t xml:space="preserve">The student model runs with an evolved prompt and tool configuration produced by the evolution framework (Sections 3.5–3.6). The evolved state comprises three components: (1) a modified system prompt containing the original plus additions produced by the teacher’s patch_prompt calls—typically concrete behavioral rules such as identity verification requirements or tool-call sequencing instructions; (2) modified tool schemas with clarified parameter descriptions, added constraints, or edge-case notes; and (3) tool preprocessors—sandboxed Python functions that transform tool inputs before execution, that guard against common LLM formatting errors.</w:t>
      </w:r>
    </w:p>
    <w:bookmarkEnd w:id="35"/>
    <w:bookmarkStart w:id="36" w:name="condition-f-frontier-ceiling"/>
    <w:p>
      <w:pPr>
        <w:pStyle w:val="Heading3"/>
      </w:pPr>
      <w:r>
        <w:t xml:space="preserve">3.3.3 Condition F: Frontier Ceiling</w:t>
      </w:r>
    </w:p>
    <w:p>
      <w:pPr>
        <w:pStyle w:val="FirstParagraph"/>
      </w:pPr>
      <w:r>
        <w:t xml:space="preserve">The teacher model (Kimi K2.5) runs as the agent directly, using the default, unmodified τ²-bench prompt and tools. This measures the upper bound—how well the strongest available model performs without any evolution—and provides a normalization denominator for the gap-closure metric (Section 3.8).</w:t>
      </w:r>
    </w:p>
    <w:bookmarkEnd w:id="36"/>
    <w:bookmarkStart w:id="37" w:name="three-way-comparison-logic"/>
    <w:p>
      <w:pPr>
        <w:pStyle w:val="Heading3"/>
      </w:pPr>
      <w:r>
        <w:t xml:space="preserve">3.3.4 Three-Way Comparison Logic</w:t>
      </w:r>
    </w:p>
    <w:p>
      <w:pPr>
        <w:pStyle w:val="FirstParagraph"/>
      </w:pPr>
      <w:r>
        <w:t xml:space="preserve">The three conditions form a floor–intervention–ceiling comparison analogous to teacher–student distillation studies, where a teacher’s performance defines the ceiling, a student’s pre-distillation performance defines the floor, and the post-distillation student occupies the intervention position</w:t>
      </w:r>
      <w:r>
        <w:t xml:space="preserve"> </w:t>
      </w:r>
      <w:r>
        <w:t xml:space="preserve">(Hinton et al., 2015)</w:t>
      </w:r>
      <w:r>
        <w:t xml:space="preserve">. The difference is that knowledge transfer operates at the prompt level, not the weight level. The baseline alone is uninterpretable: a pass rate of 60 percent means nothing without context. The frontier provides that context. If it achieves 90 percent, the gap is 30 percentage points, and the evolved condition’s position within that gap indicates how much of the teacher’s advantage was transferred through prompt engineering alone, with no weight changes.</w:t>
      </w:r>
    </w:p>
    <w:bookmarkEnd w:id="37"/>
    <w:bookmarkStart w:id="38" w:name="per-domain-independence"/>
    <w:p>
      <w:pPr>
        <w:pStyle w:val="Heading3"/>
      </w:pPr>
      <w:r>
        <w:t xml:space="preserve">3.3.5 Per-Domain Independence</w:t>
      </w:r>
    </w:p>
    <w:p>
      <w:pPr>
        <w:pStyle w:val="FirstParagraph"/>
      </w:pPr>
      <w:r>
        <w:t xml:space="preserve">Each domain is evolved independently. There is no cross-domain transfer of patches. A rule learned from airline cancellation failures (</w:t>
      </w:r>
      <w:r>
        <w:t xml:space="preserve">“</w:t>
      </w:r>
      <w:r>
        <w:t xml:space="preserve">always check refund eligibility before cancelling</w:t>
      </w:r>
      <w:r>
        <w:t xml:space="preserve">”</w:t>
      </w:r>
      <w:r>
        <w:t xml:space="preserve">) is irrelevant in the telecom domain. The evolution loop runs separately per domain, producing domain-specific evolved prompts. This also allows per-domain analysis of which failure types respond to the intervention.</w:t>
      </w:r>
    </w:p>
    <w:bookmarkEnd w:id="38"/>
    <w:bookmarkEnd w:id="39"/>
    <w:bookmarkStart w:id="43" w:name="model-selection-and-justification"/>
    <w:p>
      <w:pPr>
        <w:pStyle w:val="Heading2"/>
      </w:pPr>
      <w:r>
        <w:t xml:space="preserve">3.4 Model Selection and Justification</w:t>
      </w:r>
    </w:p>
    <w:p>
      <w:pPr>
        <w:pStyle w:val="FirstParagraph"/>
      </w:pPr>
      <w:r>
        <w:t xml:space="preserve">All models are accessed through OpenRouter using a single API key.</w:t>
      </w:r>
    </w:p>
    <w:p>
      <w:pPr>
        <w:pStyle w:val="TableCaption"/>
      </w:pPr>
      <w:r>
        <w:t xml:space="preserve">Model assignments and access methods.</w:t>
      </w:r>
    </w:p>
    <w:tbl>
      <w:tblPr>
        <w:tblStyle w:val="Table"/>
        <w:tblW w:type="auto" w:w="0"/>
        <w:tblLook w:firstRow="1" w:lastRow="0" w:firstColumn="0" w:lastColumn="0" w:noHBand="0" w:noVBand="0" w:val="0020"/>
        <w:jc w:val="start"/>
        <w:tblCaption w:val="Model assignments and access methods."/>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Model</w:t>
            </w:r>
          </w:p>
        </w:tc>
        <w:tc>
          <w:tcPr/>
          <w:p>
            <w:pPr>
              <w:pStyle w:val="Compact"/>
              <w:jc w:val="left"/>
            </w:pPr>
            <w:r>
              <w:t xml:space="preserve">Access Method</w:t>
            </w:r>
          </w:p>
        </w:tc>
      </w:tr>
      <w:tr>
        <w:tc>
          <w:tcPr/>
          <w:p>
            <w:pPr>
              <w:pStyle w:val="Compact"/>
              <w:jc w:val="left"/>
            </w:pPr>
            <w:r>
              <w:t xml:space="preserve">Student agent</w:t>
            </w:r>
          </w:p>
        </w:tc>
        <w:tc>
          <w:tcPr/>
          <w:p>
            <w:pPr>
              <w:pStyle w:val="Compact"/>
              <w:jc w:val="left"/>
            </w:pPr>
            <w:r>
              <w:t xml:space="preserve">Qwen3 30B-A3B</w:t>
            </w:r>
          </w:p>
        </w:tc>
        <w:tc>
          <w:tcPr/>
          <w:p>
            <w:pPr>
              <w:pStyle w:val="Compact"/>
              <w:jc w:val="left"/>
            </w:pPr>
            <w:r>
              <w:t xml:space="preserve">litellm via τ²-bench</w:t>
            </w:r>
          </w:p>
        </w:tc>
      </w:tr>
      <w:tr>
        <w:tc>
          <w:tcPr/>
          <w:p>
            <w:pPr>
              <w:pStyle w:val="Compact"/>
              <w:jc w:val="left"/>
            </w:pPr>
            <w:r>
              <w:t xml:space="preserve">User simulator</w:t>
            </w:r>
          </w:p>
        </w:tc>
        <w:tc>
          <w:tcPr/>
          <w:p>
            <w:pPr>
              <w:pStyle w:val="Compact"/>
              <w:jc w:val="left"/>
            </w:pPr>
            <w:r>
              <w:t xml:space="preserve">Qwen3 30B-A3B</w:t>
            </w:r>
          </w:p>
        </w:tc>
        <w:tc>
          <w:tcPr/>
          <w:p>
            <w:pPr>
              <w:pStyle w:val="Compact"/>
              <w:jc w:val="left"/>
            </w:pPr>
            <w:r>
              <w:t xml:space="preserve">litellm via τ²-bench</w:t>
            </w:r>
          </w:p>
        </w:tc>
      </w:tr>
      <w:tr>
        <w:tc>
          <w:tcPr/>
          <w:p>
            <w:pPr>
              <w:pStyle w:val="Compact"/>
              <w:jc w:val="left"/>
            </w:pPr>
            <w:r>
              <w:t xml:space="preserve">Teacher</w:t>
            </w:r>
          </w:p>
        </w:tc>
        <w:tc>
          <w:tcPr/>
          <w:p>
            <w:pPr>
              <w:pStyle w:val="Compact"/>
              <w:jc w:val="left"/>
            </w:pPr>
            <w:r>
              <w:t xml:space="preserve">Kimi K2.5</w:t>
            </w:r>
          </w:p>
        </w:tc>
        <w:tc>
          <w:tcPr/>
          <w:p>
            <w:pPr>
              <w:pStyle w:val="Compact"/>
              <w:jc w:val="left"/>
            </w:pPr>
            <w:r>
              <w:t xml:space="preserve">OpenAI client direct</w:t>
            </w:r>
          </w:p>
        </w:tc>
      </w:tr>
    </w:tbl>
    <w:bookmarkStart w:id="40" w:name="student-model-qwen3-30b-a3b"/>
    <w:p>
      <w:pPr>
        <w:pStyle w:val="Heading3"/>
      </w:pPr>
      <w:r>
        <w:t xml:space="preserve">3.4.1 Student Model: Qwen3 30B-A3B</w:t>
      </w:r>
    </w:p>
    <w:p>
      <w:pPr>
        <w:pStyle w:val="FirstParagraph"/>
      </w:pPr>
      <w:r>
        <w:t xml:space="preserve">The student model is Qwen3 30B-A3B</w:t>
      </w:r>
      <w:r>
        <w:t xml:space="preserve"> </w:t>
      </w:r>
      <w:r>
        <w:t xml:space="preserve">(Qwen Team, 2025)</w:t>
      </w:r>
      <w:r>
        <w:t xml:space="preserve">, a Mixture-of-Experts Transformer with 30.5 billion total parameters but only 3.3 billion active per token. It employs 128 experts with top-8 routing across 48 layers and supports 32,768 native context tokens extensible to 131,072 with YaRN scaling. Despite activating barely 10 percent of its parameters per forward pass, the model outperforms Qwen2.5-14B on all reported benchmarks and leads the Berkeley Function Calling Leaderboard (BFCL v3). The selection reflects a trade-off: the model needs non-trivial τ²-bench scores, but must be weak enough relative to the frontier that meaningful headroom exists, and cheap enough for the many evaluation runs the iterative process requires. Qwen3 30B-A3B fits: its MoE architecture makes it fast and inexpensive via API, it handles tool-calling and multi-turn dialogue, and it is demonstrably imperfect on τ²-bench tasks.</w:t>
      </w:r>
    </w:p>
    <w:p>
      <w:pPr>
        <w:pStyle w:val="BodyText"/>
      </w:pPr>
      <w:r>
        <w:t xml:space="preserve">Alternative student models—Qwen3.5 Flash and GLM 4.7 Flash—are supported by the implementation for cross-student ablation, but the primary evaluation uses Qwen3 30B-A3B.</w:t>
      </w:r>
    </w:p>
    <w:bookmarkEnd w:id="40"/>
    <w:bookmarkStart w:id="41" w:name="teacher-model-kimi-k2.5"/>
    <w:p>
      <w:pPr>
        <w:pStyle w:val="Heading3"/>
      </w:pPr>
      <w:r>
        <w:t xml:space="preserve">3.4.2 Teacher Model: Kimi K2.5</w:t>
      </w:r>
    </w:p>
    <w:p>
      <w:pPr>
        <w:pStyle w:val="FirstParagraph"/>
      </w:pPr>
      <w:r>
        <w:t xml:space="preserve">The teacher model is Kimi K2.5</w:t>
      </w:r>
      <w:r>
        <w:t xml:space="preserve"> </w:t>
      </w:r>
      <w:r>
        <w:t xml:space="preserve">(Kimi Team, 2026)</w:t>
      </w:r>
      <w:r>
        <w:t xml:space="preserve">, a visual-agentic extension of the Kimi K2 base model</w:t>
      </w:r>
      <w:r>
        <w:t xml:space="preserve"> </w:t>
      </w:r>
      <w:r>
        <w:t xml:space="preserve">(Kimi Team, 2025)</w:t>
      </w:r>
      <w:r>
        <w:t xml:space="preserve">. The base model is a MoE Transformer with approximately one trillion total parameters and 32 billion active per token, employing 384 experts—50 percent more than DeepSeek-V3—with Multi-head Latent Attention. Its 256K-token context window accommodates full conversation traces (often 5–15 turns with tool calls and results), the system prompt, all tool schemas, and task requirements in a single prompt. The teacher was chosen for significantly stronger performance than the student on target domains, strong tool-calling comprehension, a long context window, architectural independence from the student (Moonshot AI, not Alibaba), and cost-effectiveness for hundreds of reflection calls.</w:t>
      </w:r>
    </w:p>
    <w:p>
      <w:pPr>
        <w:pStyle w:val="BodyText"/>
      </w:pPr>
      <w:r>
        <w:t xml:space="preserve">Using a separate, stronger model to diagnose and correct the student’s failures draws on knowledge distillation</w:t>
      </w:r>
      <w:r>
        <w:t xml:space="preserve"> </w:t>
      </w:r>
      <w:r>
        <w:t xml:space="preserve">(Hinton et al., 2015)</w:t>
      </w:r>
      <w:r>
        <w:t xml:space="preserve"> </w:t>
      </w:r>
      <w:r>
        <w:t xml:space="preserve">and more recent teacher–student paradigms, including adversarial distillation</w:t>
      </w:r>
      <w:r>
        <w:t xml:space="preserve"> </w:t>
      </w:r>
      <w:r>
        <w:t xml:space="preserve">(Jiang et al., 2023)</w:t>
      </w:r>
      <w:r>
        <w:t xml:space="preserve"> </w:t>
      </w:r>
      <w:r>
        <w:t xml:space="preserve">and the LLM-as-judge approach.</w:t>
      </w:r>
      <w:r>
        <w:t xml:space="preserve"> </w:t>
      </w:r>
      <w:r>
        <w:t xml:space="preserve">Zheng et al. (2023)</w:t>
      </w:r>
      <w:r>
        <w:t xml:space="preserve"> </w:t>
      </w:r>
      <w:r>
        <w:t xml:space="preserve">established that GPT-4 agrees with human preferences over 80 percent of the time; subsequent work has tightened this estimate.</w:t>
      </w:r>
      <w:r>
        <w:t xml:space="preserve"> </w:t>
      </w:r>
      <w:r>
        <w:t xml:space="preserve">Zhuge et al. (2024)</w:t>
      </w:r>
      <w:r>
        <w:t xml:space="preserve"> </w:t>
      </w:r>
      <w:r>
        <w:t xml:space="preserve">showed that an agent-based judge achieves approximately 90 percent agreement with human experts in agentic evaluation settings, while</w:t>
      </w:r>
      <w:r>
        <w:t xml:space="preserve"> </w:t>
      </w:r>
      <w:r>
        <w:t xml:space="preserve">Gilardi et al. (2023)</w:t>
      </w:r>
      <w:r>
        <w:t xml:space="preserve"> </w:t>
      </w:r>
      <w:r>
        <w:t xml:space="preserve">found that ChatGPT outperforms crowd-workers by 25 percentage points on annotation tasks with intercoder agreement of 91–97 percent. These results support using a frontier model as a diagnostic supervisor. Here, though, knowledge transfer happens through prompt and tool-schema patches only—no training data, no weight updates. This is a lighter mechanism, consistent with the Superficial Alignment Hypothesis</w:t>
      </w:r>
      <w:r>
        <w:t xml:space="preserve"> </w:t>
      </w:r>
      <w:r>
        <w:t xml:space="preserve">(C. Zhou et al., 2023)</w:t>
      </w:r>
      <w:r>
        <w:t xml:space="preserve">: if alignment mostly teaches style and format, prompt text should suffice.</w:t>
      </w:r>
    </w:p>
    <w:bookmarkEnd w:id="41"/>
    <w:bookmarkStart w:id="42" w:name="user-simulator"/>
    <w:p>
      <w:pPr>
        <w:pStyle w:val="Heading3"/>
      </w:pPr>
      <w:r>
        <w:t xml:space="preserve">3.4.3 User Simulator</w:t>
      </w:r>
    </w:p>
    <w:p>
      <w:pPr>
        <w:pStyle w:val="FirstParagraph"/>
      </w:pPr>
      <w:r>
        <w:t xml:space="preserve">The user simulator uses the same model as the student (Qwen3 30B-A3B). τ²-bench’s user simulator follows scripted scenarios; it does not require frontier-level capabilities. Using the same inexpensive model keeps costs low without affecting evaluation validity.</w:t>
      </w:r>
    </w:p>
    <w:bookmarkEnd w:id="42"/>
    <w:bookmarkEnd w:id="43"/>
    <w:bookmarkStart w:id="48" w:name="the-evolution-framework"/>
    <w:p>
      <w:pPr>
        <w:pStyle w:val="Heading2"/>
      </w:pPr>
      <w:r>
        <w:t xml:space="preserve">3.5 The Evolution Framework</w:t>
      </w:r>
    </w:p>
    <w:bookmarkStart w:id="44" w:name="architecture-overview"/>
    <w:p>
      <w:pPr>
        <w:pStyle w:val="Heading3"/>
      </w:pPr>
      <w:r>
        <w:t xml:space="preserve">3.5.1 Architecture Overview</w:t>
      </w:r>
    </w:p>
    <w:p>
      <w:pPr>
        <w:pStyle w:val="FirstParagraph"/>
      </w:pPr>
      <w:r>
        <w:t xml:space="preserve">The evolution framework implements a diagnose-patch-validate loop. A weaker student model runs on benchmark tasks and fails on some. A stronger teacher model analyzes each failure, proposes modifications to the student’s prompt and tool configuration, and those modifications are validated by re-running the student on the failed task. Successful patches are merged into a progressively improved agent configuration. The architecture operates at two levels: an outer loop iterates over the full task set, and an inner loop handles individual failure repair.</w:t>
      </w:r>
    </w:p>
    <w:p>
      <w:pPr>
        <w:pStyle w:val="BodyText"/>
      </w:pPr>
      <w:r>
        <w:t xml:space="preserve">In the automated prompt optimization literature, this is a teacher-driven variant of reflective prompt evolution. The closest precedent is GEPA</w:t>
      </w:r>
      <w:r>
        <w:t xml:space="preserve"> </w:t>
      </w:r>
      <w:r>
        <w:t xml:space="preserve">(Agrawal et al., 2025)</w:t>
      </w:r>
      <w:r>
        <w:t xml:space="preserve">, a Genetic-Pareto prompt optimizer accepted as an oral at ICLR 2026, which uses natural language reflection from a stronger model to diagnose failures from execution traces and propose targeted mutations for a weaker task model, outperforming reinforcement learning baselines by up to 20 percent while using 35x fewer rollouts. The present framework shares GEPA’s core mechanism—a strong reflection model inspecting the weaker model’s failures and proposing prompt edits—but departs from it in three respects. First, the patches target prompt text, tool schemas, and sandboxed input preprocessors—three distinct surfaces. Second, every proposed patch is validated by re-running the student on the specific failed task before merging, so only verified improvements enter the production prompt. Third, the evaluation target is a structured tool-agent-user benchmark (τ²-bench) instead of reasoning or classification tasks. As noted in the literature review, automated prompt optimization methods have not been tested on multi-turn tool-calling benchmarks.</w:t>
      </w:r>
    </w:p>
    <w:p>
      <w:pPr>
        <w:pStyle w:val="BodyText"/>
      </w:pPr>
      <w:r>
        <w:t xml:space="preserve">DSPy</w:t>
      </w:r>
      <w:r>
        <w:t xml:space="preserve"> </w:t>
      </w:r>
      <w:r>
        <w:t xml:space="preserve">(Khattab et al., 2023)</w:t>
      </w:r>
      <w:r>
        <w:t xml:space="preserve"> </w:t>
      </w:r>
      <w:r>
        <w:t xml:space="preserve">compiles declarative modules against a target metric through self-bootstrapping; TextGrad</w:t>
      </w:r>
      <w:r>
        <w:t xml:space="preserve"> </w:t>
      </w:r>
      <w:r>
        <w:t xml:space="preserve">(Yuksekgonul et al., 2024)</w:t>
      </w:r>
      <w:r>
        <w:t xml:space="preserve"> </w:t>
      </w:r>
      <w:r>
        <w:t xml:space="preserve">backpropagates textual feedback through computation graphs. The present framework does neither—it uses a separate teacher model to perform structured diagnosis and targeted patching on a per-failure basis. In Reflexion</w:t>
      </w:r>
      <w:r>
        <w:t xml:space="preserve"> </w:t>
      </w:r>
      <w:r>
        <w:t xml:space="preserve">(Shinn et al., 2023)</w:t>
      </w:r>
      <w:r>
        <w:t xml:space="preserve">, reflections are ephemeral per-episode memory; here, patches are permanent modifications persisted across episodes and iterations.</w:t>
      </w:r>
    </w:p>
    <w:bookmarkEnd w:id="44"/>
    <w:bookmarkStart w:id="45" w:name="the-outer-loop"/>
    <w:p>
      <w:pPr>
        <w:pStyle w:val="Heading3"/>
      </w:pPr>
      <w:r>
        <w:t xml:space="preserve">3.5.2 The Outer Loop</w:t>
      </w:r>
    </w:p>
    <w:p>
      <w:pPr>
        <w:pStyle w:val="FirstParagraph"/>
      </w:pPr>
      <w:r>
        <w:t xml:space="preserve">The outer loop proceeds as follows for each iteration. First, the student is evaluated on all benchmark tasks (excluding previously dropped tasks) with the current evolved state, and results are saved. Second, tasks with reward strictly less than 1.0 are extracted as failures. Third, for each failed task, a teacher session is spawned in parallel to diagnose the failure and propose patches; each patch set is validated by re-running the student on that task. Fourth, all accepted patches are merged into the global state. Fifth, all attempted tasks—both fixed and unfixed—are dropped from future evaluation. The loop repeats until no failures remain, all tasks have been dropped, or the maximum iteration count is reached.</w:t>
      </w:r>
    </w:p>
    <w:p>
      <w:pPr>
        <w:pStyle w:val="BodyText"/>
      </w:pPr>
      <w:r>
        <w:t xml:space="preserve">Dropping both fixed and unfixed tasks is deliberate. Fixed tasks were already validated during the fix phase; re-evaluating them wastes API budget. Unfixed tasks could not be repaired within the allotted retries; re-attempting with a marginally different global prompt is unlikely to succeed and risks conflicting patches. These tasks are treated as intractable for the current teacher–student pair.</w:t>
      </w:r>
    </w:p>
    <w:bookmarkEnd w:id="45"/>
    <w:bookmarkStart w:id="46" w:name="the-inner-loop-per-failure-fix-attempts"/>
    <w:p>
      <w:pPr>
        <w:pStyle w:val="Heading3"/>
      </w:pPr>
      <w:r>
        <w:t xml:space="preserve">3.5.3 The Inner Loop: Per-Failure Fix Attempts</w:t>
      </w:r>
    </w:p>
    <w:p>
      <w:pPr>
        <w:pStyle w:val="FirstParagraph"/>
      </w:pPr>
      <w:r>
        <w:t xml:space="preserve">For each failed task, a teacher session is created with deep copies of the current global state. The session enters a reflect-validate loop with up to 1 +</w:t>
      </w:r>
      <w:r>
        <w:t xml:space="preserve"> </w:t>
      </w:r>
      <w:r>
        <w:rPr>
          <w:iCs/>
          <w:i/>
        </w:rPr>
        <w:t xml:space="preserve">max_retries</w:t>
      </w:r>
      <w:r>
        <w:t xml:space="preserve"> </w:t>
      </w:r>
      <w:r>
        <w:t xml:space="preserve">attempts. In the reflection step, the teacher receives a comprehensive prompt containing the agent’s current system prompt, all tool schemas, the full failed conversation trace, the task requirements, and the reward breakdown. It diagnoses the root cause, classifies it (Section 3.7), and calls patch tools to propose modifications. In the validation step, the student is re-run on the same task with the patches applied. If the patched reward exceeds the baseline reward, the fix is accepted. If not, the teacher receives the new conversation trace, the new reward breakdown, and the current state of all its modifications, and is asked to try again.</w:t>
      </w:r>
    </w:p>
    <w:p>
      <w:pPr>
        <w:pStyle w:val="BodyText"/>
      </w:pPr>
      <w:r>
        <w:t xml:space="preserve">Patches are merged into the global state only if validation succeeds. Failed patches are discarded entirely. The fix success criterion is permissive: any improvement in reward counts, not just reaching a perfect 1.0. A patch improving a task’s reward from 0.0 to 0.5 is accepted and merged, potentially enabling further improvement in subsequent iterations.</w:t>
      </w:r>
    </w:p>
    <w:bookmarkEnd w:id="46"/>
    <w:bookmarkStart w:id="47" w:name="the-teacher-session"/>
    <w:p>
      <w:pPr>
        <w:pStyle w:val="Heading3"/>
      </w:pPr>
      <w:r>
        <w:t xml:space="preserve">3.5.4 The Teacher Session</w:t>
      </w:r>
    </w:p>
    <w:p>
      <w:pPr>
        <w:pStyle w:val="FirstParagraph"/>
      </w:pPr>
      <w:r>
        <w:t xml:space="preserve">The teacher session maintains a stateful conversation with the teacher model using function calling. The teacher has access to four tools:</w:t>
      </w:r>
      <w:r>
        <w:t xml:space="preserve"> </w:t>
      </w:r>
      <w:r>
        <w:rPr>
          <w:bCs/>
          <w:b/>
        </w:rPr>
        <w:t xml:space="preserve">patch_prompt</w:t>
      </w:r>
      <w:r>
        <w:t xml:space="preserve"> </w:t>
      </w:r>
      <w:r>
        <w:t xml:space="preserve">(find-and-replace on the system prompt),</w:t>
      </w:r>
      <w:r>
        <w:t xml:space="preserve"> </w:t>
      </w:r>
      <w:r>
        <w:rPr>
          <w:bCs/>
          <w:b/>
        </w:rPr>
        <w:t xml:space="preserve">patch_tool</w:t>
      </w:r>
      <w:r>
        <w:t xml:space="preserve"> </w:t>
      </w:r>
      <w:r>
        <w:t xml:space="preserve">(find-and-replace on a tool’s JSON schema),</w:t>
      </w:r>
      <w:r>
        <w:t xml:space="preserve"> </w:t>
      </w:r>
      <w:r>
        <w:rPr>
          <w:bCs/>
          <w:b/>
        </w:rPr>
        <w:t xml:space="preserve">read_tool_code</w:t>
      </w:r>
      <w:r>
        <w:t xml:space="preserve"> </w:t>
      </w:r>
      <w:r>
        <w:t xml:space="preserve">(inspect a tool’s parameters and current preprocessor), and</w:t>
      </w:r>
      <w:r>
        <w:t xml:space="preserve"> </w:t>
      </w:r>
      <w:r>
        <w:rPr>
          <w:bCs/>
          <w:b/>
        </w:rPr>
        <w:t xml:space="preserve">patch_tool_code</w:t>
      </w:r>
      <w:r>
        <w:t xml:space="preserve"> </w:t>
      </w:r>
      <w:r>
        <w:t xml:space="preserve">(find-and-replace on a tool’s preprocessor source). The initial prompt is a structured template containing five sections: the current system prompt, all tool schemas serialized to JSON, the full failed conversation trace with role labels and preserved tool-call arguments, the task requirements, and the reward breakdown. Automated tests verify that no data is lost or truncated during formatting, since the teacher cannot diagnose what it cannot see. The teacher may make up to 10 rounds of tool calls per session; in practice, most sessions complete in two to four rounds.</w:t>
      </w:r>
    </w:p>
    <w:bookmarkEnd w:id="47"/>
    <w:bookmarkEnd w:id="48"/>
    <w:bookmarkStart w:id="53" w:name="patch-surfaces-and-mechanisms"/>
    <w:p>
      <w:pPr>
        <w:pStyle w:val="Heading2"/>
      </w:pPr>
      <w:r>
        <w:t xml:space="preserve">3.6 Patch Surfaces and Mechanisms</w:t>
      </w:r>
    </w:p>
    <w:p>
      <w:pPr>
        <w:pStyle w:val="FirstParagraph"/>
      </w:pPr>
      <w:r>
        <w:t xml:space="preserve">The framework operates on three distinct patch surfaces, each for a different class of agent failure. All patches use a find-and-replace mechanism: the teacher specifies an old_text to locate and a new_text to substitute, which keeps modifications precise, minimal, and reversible.</w:t>
      </w:r>
    </w:p>
    <w:bookmarkStart w:id="49" w:name="prompt-patches"/>
    <w:p>
      <w:pPr>
        <w:pStyle w:val="Heading3"/>
      </w:pPr>
      <w:r>
        <w:t xml:space="preserve">3.6.1 Prompt Patches</w:t>
      </w:r>
    </w:p>
    <w:p>
      <w:pPr>
        <w:pStyle w:val="FirstParagraph"/>
      </w:pPr>
      <w:r>
        <w:t xml:space="preserve">Prompt patches modify the agent’s system prompt, typically adding concrete behavioral rules the student was not following. When old_text is empty, new_text is appended to the prompt’s end. Instead of fine-tuning weights to encode a behavioral rule, the rule is simply stated in natural language within the prompt. The Superficial Alignment Hypothesis</w:t>
      </w:r>
      <w:r>
        <w:t xml:space="preserve"> </w:t>
      </w:r>
      <w:r>
        <w:t xml:space="preserve">(C. Zhou et al., 2023)</w:t>
      </w:r>
      <w:r>
        <w:t xml:space="preserve"> </w:t>
      </w:r>
      <w:r>
        <w:t xml:space="preserve">suggests this should work: alignment primarily teaches style and format, which prompt text can supply.</w:t>
      </w:r>
      <w:r>
        <w:t xml:space="preserve"> </w:t>
      </w:r>
      <w:r>
        <w:t xml:space="preserve">Sclar et al. (2023)</w:t>
      </w:r>
      <w:r>
        <w:t xml:space="preserve"> </w:t>
      </w:r>
      <w:r>
        <w:t xml:space="preserve">demonstrated up to 76 accuracy points of variation from meaning-preserving formatting changes alone (spacing, delimiters, example ordering), a sensitivity that persisted even with increased model size or instruction tuning. The patches in this framework are meaning-bearing—rewriting instructions, adding policy constraints—not formatting noise. Sclar et al. show that arbitrary formatting changes cause chaotic performance swings; the question here is whether deliberate, diagnostic-driven edits behave differently.</w:t>
      </w:r>
    </w:p>
    <w:bookmarkEnd w:id="49"/>
    <w:bookmarkStart w:id="50" w:name="tool-schema-patches"/>
    <w:p>
      <w:pPr>
        <w:pStyle w:val="Heading3"/>
      </w:pPr>
      <w:r>
        <w:t xml:space="preserve">3.6.2 Tool Schema Patches</w:t>
      </w:r>
    </w:p>
    <w:p>
      <w:pPr>
        <w:pStyle w:val="FirstParagraph"/>
      </w:pPr>
      <w:r>
        <w:t xml:space="preserve">Tool schema patches modify the JSON schemas that define how the agent calls each tool. These schemas are presented as part of the function-calling interface and directly affect tool selection, argument formatting, and constraint adherence. Common modifications include clarifying parameter descriptions (adding</w:t>
      </w:r>
      <w:r>
        <w:t xml:space="preserve"> </w:t>
      </w:r>
      <w:r>
        <w:t xml:space="preserve">“</w:t>
      </w:r>
      <w:r>
        <w:t xml:space="preserve">must start with #</w:t>
      </w:r>
      <w:r>
        <w:t xml:space="preserve">”</w:t>
      </w:r>
      <w:r>
        <w:t xml:space="preserve"> </w:t>
      </w:r>
      <w:r>
        <w:t xml:space="preserve">to a reservation_id field), expanding tool descriptions to note when a tool should or should not be used, and adding constraint notes. After each edit, the JSON string is parsed to ensure syntactic validity; patches producing invalid JSON are rejected.</w:t>
      </w:r>
    </w:p>
    <w:p>
      <w:pPr>
        <w:pStyle w:val="BodyText"/>
      </w:pPr>
      <w:r>
        <w:t xml:space="preserve">Parameter and formatting errors in tool calling are well studied.</w:t>
      </w:r>
      <w:r>
        <w:t xml:space="preserve"> </w:t>
      </w:r>
      <w:r>
        <w:t xml:space="preserve">Qin et al. (2023)</w:t>
      </w:r>
      <w:r>
        <w:t xml:space="preserve"> </w:t>
      </w:r>
      <w:r>
        <w:t xml:space="preserve">showed that without their depth-first search approach, an initial parameter error</w:t>
      </w:r>
      <w:r>
        <w:t xml:space="preserve"> </w:t>
      </w:r>
      <w:r>
        <w:t xml:space="preserve">“</w:t>
      </w:r>
      <w:r>
        <w:t xml:space="preserve">can lead to a cascade of subsequent errors</w:t>
      </w:r>
      <w:r>
        <w:t xml:space="preserve">”</w:t>
      </w:r>
      <w:r>
        <w:t xml:space="preserve"> </w:t>
      </w:r>
      <w:r>
        <w:t xml:space="preserve">that trap the model in a faulty loop of incorrect API calls.</w:t>
      </w:r>
      <w:r>
        <w:t xml:space="preserve"> </w:t>
      </w:r>
      <w:r>
        <w:t xml:space="preserve">Q. Xu et al. (2023)</w:t>
      </w:r>
      <w:r>
        <w:t xml:space="preserve"> </w:t>
      </w:r>
      <w:r>
        <w:t xml:space="preserve">found that generation style regulation—fixing formatting and parameter errors—was effective, with targeted constraints boosting open-source LLMs to competitive with GPT-4 on 4 of 8 tasks.</w:t>
      </w:r>
      <w:r>
        <w:t xml:space="preserve"> </w:t>
      </w:r>
      <w:r>
        <w:t xml:space="preserve">Z. Guo et al. (2024)</w:t>
      </w:r>
      <w:r>
        <w:t xml:space="preserve"> </w:t>
      </w:r>
      <w:r>
        <w:t xml:space="preserve">found that up to 50 percent of queries and 75 percent of trajectories in the original ToolBench data suffered from hallucinations, meaning parameter extraction errors are systemic, not incidental.</w:t>
      </w:r>
    </w:p>
    <w:bookmarkEnd w:id="50"/>
    <w:bookmarkStart w:id="51" w:name="tool-preprocessors"/>
    <w:p>
      <w:pPr>
        <w:pStyle w:val="Heading3"/>
      </w:pPr>
      <w:r>
        <w:t xml:space="preserve">3.6.3 Tool Preprocessors</w:t>
      </w:r>
    </w:p>
    <w:p>
      <w:pPr>
        <w:pStyle w:val="FirstParagraph"/>
      </w:pPr>
      <w:r>
        <w:t xml:space="preserve">Tool preprocessors are sandboxed Python functions that transform tool-call arguments before execution. Every tool starts with an identity preprocessor. The teacher can modify the code to add defensive input coercion—ensuring an ID field has the correct prefix, casting strings to integers, normalizing date formats. Preprocessors are sandboxed: a static analysis pass rejects forbidden constructs (imports, eval, exec, file I/O), the execution namespace restricts available builtins, and runtime exceptions fall back to the original arguments.</w:t>
      </w:r>
    </w:p>
    <w:p>
      <w:pPr>
        <w:pStyle w:val="BodyText"/>
      </w:pPr>
      <w:r>
        <w:t xml:space="preserve">Some formatting errors persist even when the prompt and schema are clear: the model understands the requirement but still gets it wrong. An agent may understand that reservation IDs should start with</w:t>
      </w:r>
      <w:r>
        <w:t xml:space="preserve"> </w:t>
      </w:r>
      <w:r>
        <w:t xml:space="preserve">“</w:t>
      </w:r>
      <w:r>
        <w:t xml:space="preserve">#</w:t>
      </w:r>
      <w:r>
        <w:t xml:space="preserve">”</w:t>
      </w:r>
      <w:r>
        <w:t xml:space="preserve"> </w:t>
      </w:r>
      <w:r>
        <w:t xml:space="preserve">but occasionally omit the prefix due to tokenization or sampling artifacts. A preprocessor guardrail catches such errors at the tool-call boundary. The design parallels findings from the ARTEMIS framework</w:t>
      </w:r>
      <w:r>
        <w:t xml:space="preserve"> </w:t>
      </w:r>
      <w:r>
        <w:t xml:space="preserve">(Brookes et al., 2025)</w:t>
      </w:r>
      <w:r>
        <w:t xml:space="preserve">, which jointly optimizes agent prompts, tool descriptions, and parameters using evolutionary methods, reporting 13.6 percent improvement on competitive programming and 22 percent on GSM8K for Qwen2.5-7B.</w:t>
      </w:r>
    </w:p>
    <w:bookmarkEnd w:id="51"/>
    <w:bookmarkStart w:id="52" w:name="patch-application-and-merging"/>
    <w:p>
      <w:pPr>
        <w:pStyle w:val="Heading3"/>
      </w:pPr>
      <w:r>
        <w:t xml:space="preserve">3.6.4 Patch Application and Merging</w:t>
      </w:r>
    </w:p>
    <w:p>
      <w:pPr>
        <w:pStyle w:val="FirstParagraph"/>
      </w:pPr>
      <w:r>
        <w:t xml:space="preserve">Patches are applied sequentially using first-occurrence-only string replacement to prevent cascading substitutions. Failed patches (old_text not found) are logged and skipped without aborting the batch. When multiple tasks are fixed in a single iteration, winning patches are merged into the global state in sequence. The evolved state is serialized to disk as a JSON file containing the full prompt, all tool schemas, and all preprocessor source code, so the exact evolved agent can be reconstructed at any point.</w:t>
      </w:r>
    </w:p>
    <w:bookmarkEnd w:id="52"/>
    <w:bookmarkEnd w:id="53"/>
    <w:bookmarkStart w:id="54" w:name="failure-taxonomy"/>
    <w:p>
      <w:pPr>
        <w:pStyle w:val="Heading2"/>
      </w:pPr>
      <w:r>
        <w:t xml:space="preserve">3.7 Failure Taxonomy</w:t>
      </w:r>
    </w:p>
    <w:p>
      <w:pPr>
        <w:pStyle w:val="FirstParagraph"/>
      </w:pPr>
      <w:r>
        <w:t xml:space="preserve">The teacher classifies each failure into one of four categories as part of its diagnostic output.</w:t>
      </w:r>
    </w:p>
    <w:p>
      <w:pPr>
        <w:pStyle w:val="TableCaption"/>
      </w:pPr>
      <w:r>
        <w:t xml:space="preserve">Failure taxonomy for teacher-model diagnosis.</w:t>
      </w:r>
    </w:p>
    <w:tbl>
      <w:tblPr>
        <w:tblStyle w:val="Table"/>
        <w:tblW w:type="pct" w:w="5000"/>
        <w:tblLook w:firstRow="1" w:lastRow="0" w:firstColumn="0" w:lastColumn="0" w:noHBand="0" w:noVBand="0" w:val="0020"/>
        <w:jc w:val="start"/>
        <w:tblCaption w:val="Failure taxonomy for teacher-model diagnosis."/>
      </w:tblPr>
      <w:tblGrid>
        <w:gridCol w:w="1269"/>
        <w:gridCol w:w="3022"/>
        <w:gridCol w:w="3627"/>
      </w:tblGrid>
      <w:tr>
        <w:trPr>
          <w:tblHeader w:val="true"/>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Examples</w:t>
            </w:r>
          </w:p>
        </w:tc>
      </w:tr>
      <w:tr>
        <w:tc>
          <w:tcPr/>
          <w:p>
            <w:pPr>
              <w:pStyle w:val="Compact"/>
              <w:jc w:val="left"/>
            </w:pPr>
            <w:r>
              <w:t xml:space="preserve">TOOL_MISUSE</w:t>
            </w:r>
          </w:p>
        </w:tc>
        <w:tc>
          <w:tcPr/>
          <w:p>
            <w:pPr>
              <w:pStyle w:val="Compact"/>
              <w:jc w:val="left"/>
            </w:pPr>
            <w:r>
              <w:t xml:space="preserve">Wrong tool, wrong parameters, missing tool call</w:t>
            </w:r>
          </w:p>
        </w:tc>
        <w:tc>
          <w:tcPr/>
          <w:p>
            <w:pPr>
              <w:pStyle w:val="Compact"/>
              <w:jc w:val="left"/>
            </w:pPr>
            <w:r>
              <w:t xml:space="preserve">Using get_flight_details instead of get_reservation_details</w:t>
            </w:r>
          </w:p>
        </w:tc>
      </w:tr>
      <w:tr>
        <w:tc>
          <w:tcPr/>
          <w:p>
            <w:pPr>
              <w:pStyle w:val="Compact"/>
              <w:jc w:val="left"/>
            </w:pPr>
            <w:r>
              <w:t xml:space="preserve">POLICY_VIOLATION</w:t>
            </w:r>
          </w:p>
        </w:tc>
        <w:tc>
          <w:tcPr/>
          <w:p>
            <w:pPr>
              <w:pStyle w:val="Compact"/>
              <w:jc w:val="left"/>
            </w:pPr>
            <w:r>
              <w:t xml:space="preserve">Skipped validation step or broke a constraint</w:t>
            </w:r>
          </w:p>
        </w:tc>
        <w:tc>
          <w:tcPr/>
          <w:p>
            <w:pPr>
              <w:pStyle w:val="Compact"/>
              <w:jc w:val="left"/>
            </w:pPr>
            <w:r>
              <w:t xml:space="preserve">Cancelling without checking refund eligibility</w:t>
            </w:r>
          </w:p>
        </w:tc>
      </w:tr>
      <w:tr>
        <w:tc>
          <w:tcPr/>
          <w:p>
            <w:pPr>
              <w:pStyle w:val="Compact"/>
              <w:jc w:val="left"/>
            </w:pPr>
            <w:r>
              <w:t xml:space="preserve">REASONING_ERROR</w:t>
            </w:r>
          </w:p>
        </w:tc>
        <w:tc>
          <w:tcPr/>
          <w:p>
            <w:pPr>
              <w:pStyle w:val="Compact"/>
              <w:jc w:val="left"/>
            </w:pPr>
            <w:r>
              <w:t xml:space="preserve">Incorrect assumption, incomplete plan</w:t>
            </w:r>
          </w:p>
        </w:tc>
        <w:tc>
          <w:tcPr/>
          <w:p>
            <w:pPr>
              <w:pStyle w:val="Compact"/>
              <w:jc w:val="left"/>
            </w:pPr>
            <w:r>
              <w:t xml:space="preserve">Assuming a flight is direct when it has connections</w:t>
            </w:r>
          </w:p>
        </w:tc>
      </w:tr>
      <w:tr>
        <w:tc>
          <w:tcPr/>
          <w:p>
            <w:pPr>
              <w:pStyle w:val="Compact"/>
              <w:jc w:val="left"/>
            </w:pPr>
            <w:r>
              <w:t xml:space="preserve">COMMUNICATION_ERROR</w:t>
            </w:r>
          </w:p>
        </w:tc>
        <w:tc>
          <w:tcPr/>
          <w:p>
            <w:pPr>
              <w:pStyle w:val="Compact"/>
              <w:jc w:val="left"/>
            </w:pPr>
            <w:r>
              <w:t xml:space="preserve">Confusing message, failed to guide user</w:t>
            </w:r>
          </w:p>
        </w:tc>
        <w:tc>
          <w:tcPr/>
          <w:p>
            <w:pPr>
              <w:pStyle w:val="Compact"/>
              <w:jc w:val="left"/>
            </w:pPr>
            <w:r>
              <w:t xml:space="preserve">Not explaining applicable fees to the customer</w:t>
            </w:r>
          </w:p>
        </w:tc>
      </w:tr>
    </w:tbl>
    <w:p>
      <w:pPr>
        <w:pStyle w:val="BodyText"/>
      </w:pPr>
      <w:r>
        <w:t xml:space="preserve">Classification is automated: the teacher includes the failure type in its diagnostic text, and the category is extracted by string matching. This is a heuristic—the teacher might use different phrasing, or a failure might span multiple categories. The implementation takes the first match, defaulting to REASONING_ERROR when none is found.</w:t>
      </w:r>
      <w:r>
        <w:t xml:space="preserve"> </w:t>
      </w:r>
      <w:r>
        <w:t xml:space="preserve">Kapoor et al. (2024)</w:t>
      </w:r>
      <w:r>
        <w:t xml:space="preserve"> </w:t>
      </w:r>
      <w:r>
        <w:t xml:space="preserve">identified similar categorization challenges in their analysis of agent benchmarking practices, noting that benchmark shortcomings can be organized by failure mode (narrow accuracy focus, benchmark overfitting, cost blindness) but that any taxonomy risks oversimplification. A more robust classification mechanism—for example, a structured output field—could improve accuracy in future work.</w:t>
      </w:r>
    </w:p>
    <w:p>
      <w:pPr>
        <w:pStyle w:val="BodyText"/>
      </w:pPr>
      <w:r>
        <w:t xml:space="preserve">The taxonomy enables per-category analysis of which failure types are most responsive to prompt evolution versus tool-schema patching versus preprocessor guardrails, which is what the sub-question about failure-mode responsiveness requires.</w:t>
      </w:r>
    </w:p>
    <w:bookmarkEnd w:id="54"/>
    <w:bookmarkStart w:id="59" w:name="evaluation-metrics"/>
    <w:p>
      <w:pPr>
        <w:pStyle w:val="Heading2"/>
      </w:pPr>
      <w:r>
        <w:t xml:space="preserve">3.8 Evaluation Metrics</w:t>
      </w:r>
    </w:p>
    <w:bookmarkStart w:id="55" w:name="primary-metric-pass1"/>
    <w:p>
      <w:pPr>
        <w:pStyle w:val="Heading3"/>
      </w:pPr>
      <w:r>
        <w:t xml:space="preserve">3.8.1 Primary Metric: pass</w:t>
      </w:r>
      <w:r>
        <w:rPr>
          <w:vertAlign w:val="superscript"/>
        </w:rPr>
        <w:t xml:space="preserve">1</w:t>
      </w:r>
    </w:p>
    <w:p>
      <w:pPr>
        <w:pStyle w:val="FirstParagraph"/>
      </w:pPr>
      <w:r>
        <w:t xml:space="preserve">The primary metric is pass</w:t>
      </w:r>
      <w:r>
        <w:rPr>
          <w:vertAlign w:val="superscript"/>
        </w:rPr>
        <w:t xml:space="preserve">1</w:t>
      </w:r>
      <w:r>
        <w:t xml:space="preserve">—the fraction of tasks achieving a perfect reward of 1.0. This is the standard metric in τ-bench publications</w:t>
      </w:r>
      <w:r>
        <w:t xml:space="preserve"> </w:t>
      </w:r>
      <w:r>
        <w:t xml:space="preserve">(Barres et al., 2025; Yao et al., 2024)</w:t>
      </w:r>
      <w:r>
        <w:t xml:space="preserve">. Any reward below 1.0 constitutes failure. The strictness is intentional:</w:t>
      </w:r>
      <w:r>
        <w:t xml:space="preserve"> </w:t>
      </w:r>
      <w:r>
        <w:t xml:space="preserve">Rabanser et al. (2025)</w:t>
      </w:r>
      <w:r>
        <w:t xml:space="preserve"> </w:t>
      </w:r>
      <w:r>
        <w:t xml:space="preserve">argue that enterprise autonomous operation requires three to five nines of reliability (99.9–99.999 percent) and that current LLM agents are not on track to reach this threshold through scaling alone, with accuracy improving faster than reliability across 14 models spanning 18 months of releases. Under such a standard, partial credit is meaningless.</w:t>
      </w:r>
    </w:p>
    <w:bookmarkEnd w:id="55"/>
    <w:bookmarkStart w:id="56" w:name="reward-breakdown"/>
    <w:p>
      <w:pPr>
        <w:pStyle w:val="Heading3"/>
      </w:pPr>
      <w:r>
        <w:t xml:space="preserve">3.8.2 Reward Breakdown</w:t>
      </w:r>
    </w:p>
    <w:p>
      <w:pPr>
        <w:pStyle w:val="FirstParagraph"/>
      </w:pPr>
      <w:r>
        <w:t xml:space="preserve">τ²-bench’s evaluator produces a multi-dimensional reward: an action score (correct tools with correct arguments), environment assertions (expected database state), and a communication score (correct user-facing messages). This breakdown is passed in full to the teacher during diagnosis so it can identify exactly which criteria failed and why.</w:t>
      </w:r>
    </w:p>
    <w:bookmarkEnd w:id="56"/>
    <w:bookmarkStart w:id="57" w:name="gap-closure"/>
    <w:p>
      <w:pPr>
        <w:pStyle w:val="Heading3"/>
      </w:pPr>
      <w:r>
        <w:t xml:space="preserve">3.8.3 Gap Closure</w:t>
      </w:r>
    </w:p>
    <w:p>
      <w:pPr>
        <w:pStyle w:val="FirstParagraph"/>
      </w:pPr>
      <w:r>
        <w:t xml:space="preserve">To normalize for domain difficulty, gap closure is computed as: (K − B) / (F − B) × 100%, where K is the evolved pass rate, B the baseline, and F the frontier. A gap closure of 50 percent means the evolved prompt captured half the teacher’s advantage through prompt and tool-schema patching alone. The metric is defined only when F &gt; B.</w:t>
      </w:r>
    </w:p>
    <w:bookmarkEnd w:id="57"/>
    <w:bookmarkStart w:id="58" w:name="fix-success-rate"/>
    <w:p>
      <w:pPr>
        <w:pStyle w:val="Heading3"/>
      </w:pPr>
      <w:r>
        <w:t xml:space="preserve">3.8.4 Fix Success Rate</w:t>
      </w:r>
    </w:p>
    <w:p>
      <w:pPr>
        <w:pStyle w:val="FirstParagraph"/>
      </w:pPr>
      <w:r>
        <w:t xml:space="preserve">A fix succeeds when the patched reward strictly exceeds the baseline reward. The fix success rate—the fraction of attempted fixes that succeed—measures the evolution process’s efficiency.</w:t>
      </w:r>
    </w:p>
    <w:bookmarkEnd w:id="58"/>
    <w:bookmarkEnd w:id="59"/>
    <w:bookmarkStart w:id="63" w:name="reproducibility"/>
    <w:p>
      <w:pPr>
        <w:pStyle w:val="Heading2"/>
      </w:pPr>
      <w:r>
        <w:t xml:space="preserve">3.9 Reproducibility</w:t>
      </w:r>
    </w:p>
    <w:bookmarkStart w:id="60" w:name="fixed-parameters"/>
    <w:p>
      <w:pPr>
        <w:pStyle w:val="Heading3"/>
      </w:pPr>
      <w:r>
        <w:t xml:space="preserve">3.9.1 Fixed Parameters</w:t>
      </w:r>
    </w:p>
    <w:p>
      <w:pPr>
        <w:pStyle w:val="TableCaption"/>
      </w:pPr>
      <w:r>
        <w:t xml:space="preserve">Fixed experimental parameters.</w:t>
      </w:r>
    </w:p>
    <w:tbl>
      <w:tblPr>
        <w:tblStyle w:val="Table"/>
        <w:tblW w:type="pct" w:w="5000"/>
        <w:tblLook w:firstRow="1" w:lastRow="0" w:firstColumn="0" w:lastColumn="0" w:noHBand="0" w:noVBand="0" w:val="0020"/>
        <w:jc w:val="start"/>
        <w:tblCaption w:val="Fixed experimental parameters."/>
      </w:tblPr>
      <w:tblGrid>
        <w:gridCol w:w="2043"/>
        <w:gridCol w:w="766"/>
        <w:gridCol w:w="5109"/>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Rationale</w:t>
            </w:r>
          </w:p>
        </w:tc>
      </w:tr>
      <w:tr>
        <w:tc>
          <w:tcPr/>
          <w:p>
            <w:pPr>
              <w:pStyle w:val="Compact"/>
              <w:jc w:val="left"/>
            </w:pPr>
            <w:r>
              <w:t xml:space="preserve">Random seed</w:t>
            </w:r>
          </w:p>
        </w:tc>
        <w:tc>
          <w:tcPr/>
          <w:p>
            <w:pPr>
              <w:pStyle w:val="Compact"/>
              <w:jc w:val="left"/>
            </w:pPr>
            <w:r>
              <w:t xml:space="preserve">42</w:t>
            </w:r>
          </w:p>
        </w:tc>
        <w:tc>
          <w:tcPr/>
          <w:p>
            <w:pPr>
              <w:pStyle w:val="Compact"/>
              <w:jc w:val="left"/>
            </w:pPr>
            <w:r>
              <w:t xml:space="preserve">Deterministic task selection and ordering</w:t>
            </w:r>
          </w:p>
        </w:tc>
      </w:tr>
      <w:tr>
        <w:tc>
          <w:tcPr/>
          <w:p>
            <w:pPr>
              <w:pStyle w:val="Compact"/>
              <w:jc w:val="left"/>
            </w:pPr>
            <w:r>
              <w:t xml:space="preserve">Trials per task</w:t>
            </w:r>
          </w:p>
        </w:tc>
        <w:tc>
          <w:tcPr/>
          <w:p>
            <w:pPr>
              <w:pStyle w:val="Compact"/>
              <w:jc w:val="left"/>
            </w:pPr>
            <w:r>
              <w:t xml:space="preserve">1</w:t>
            </w:r>
          </w:p>
        </w:tc>
        <w:tc>
          <w:tcPr/>
          <w:p>
            <w:pPr>
              <w:pStyle w:val="Compact"/>
              <w:jc w:val="left"/>
            </w:pPr>
            <w:r>
              <w:t xml:space="preserve">Single trial per evaluation</w:t>
            </w:r>
          </w:p>
        </w:tc>
      </w:tr>
      <w:tr>
        <w:tc>
          <w:tcPr/>
          <w:p>
            <w:pPr>
              <w:pStyle w:val="Compact"/>
              <w:jc w:val="left"/>
            </w:pPr>
            <w:r>
              <w:t xml:space="preserve">Teacher temperature</w:t>
            </w:r>
          </w:p>
        </w:tc>
        <w:tc>
          <w:tcPr/>
          <w:p>
            <w:pPr>
              <w:pStyle w:val="Compact"/>
              <w:jc w:val="left"/>
            </w:pPr>
            <w:r>
              <w:t xml:space="preserve">0.3</w:t>
            </w:r>
          </w:p>
        </w:tc>
        <w:tc>
          <w:tcPr/>
          <w:p>
            <w:pPr>
              <w:pStyle w:val="Compact"/>
              <w:jc w:val="left"/>
            </w:pPr>
            <w:r>
              <w:t xml:space="preserve">Focused diagnostic output</w:t>
            </w:r>
          </w:p>
        </w:tc>
      </w:tr>
      <w:tr>
        <w:tc>
          <w:tcPr/>
          <w:p>
            <w:pPr>
              <w:pStyle w:val="Compact"/>
              <w:jc w:val="left"/>
            </w:pPr>
            <w:r>
              <w:t xml:space="preserve">Reasoning suppression</w:t>
            </w:r>
          </w:p>
        </w:tc>
        <w:tc>
          <w:tcPr/>
          <w:p>
            <w:pPr>
              <w:pStyle w:val="Compact"/>
              <w:jc w:val="left"/>
            </w:pPr>
            <w:r>
              <w:t xml:space="preserve">Enabled</w:t>
            </w:r>
          </w:p>
        </w:tc>
        <w:tc>
          <w:tcPr/>
          <w:p>
            <w:pPr>
              <w:pStyle w:val="Compact"/>
              <w:jc w:val="left"/>
            </w:pPr>
            <w:r>
              <w:t xml:space="preserve">Prevents reasoning tokens from breaking content parsing</w:t>
            </w:r>
          </w:p>
        </w:tc>
      </w:tr>
      <w:tr>
        <w:tc>
          <w:tcPr/>
          <w:p>
            <w:pPr>
              <w:pStyle w:val="Compact"/>
              <w:jc w:val="left"/>
            </w:pPr>
            <w:r>
              <w:t xml:space="preserve">Max teacher rounds</w:t>
            </w:r>
          </w:p>
        </w:tc>
        <w:tc>
          <w:tcPr/>
          <w:p>
            <w:pPr>
              <w:pStyle w:val="Compact"/>
              <w:jc w:val="left"/>
            </w:pPr>
            <w:r>
              <w:t xml:space="preserve">10</w:t>
            </w:r>
          </w:p>
        </w:tc>
        <w:tc>
          <w:tcPr/>
          <w:p>
            <w:pPr>
              <w:pStyle w:val="Compact"/>
              <w:jc w:val="left"/>
            </w:pPr>
            <w:r>
              <w:t xml:space="preserve">Multi-step diagnosis without unbounded cost</w:t>
            </w:r>
          </w:p>
        </w:tc>
      </w:tr>
    </w:tbl>
    <w:bookmarkEnd w:id="60"/>
    <w:bookmarkStart w:id="61" w:name="software-environment"/>
    <w:p>
      <w:pPr>
        <w:pStyle w:val="Heading3"/>
      </w:pPr>
      <w:r>
        <w:t xml:space="preserve">3.9.2 Software Environment</w:t>
      </w:r>
    </w:p>
    <w:p>
      <w:pPr>
        <w:pStyle w:val="FirstParagraph"/>
      </w:pPr>
      <w:r>
        <w:t xml:space="preserve">The implementation uses Python 3.12 with τ²-bench at commit 37bfc31, the uv build system with hatchling backend, litellm for LLM routing, and the OpenAI Python SDK (&gt;=1.0) for teacher calls. All models are accessed through OpenRouter. The source code is publicly available at github.com/glebdementev/tau-evo.</w:t>
      </w:r>
    </w:p>
    <w:bookmarkEnd w:id="61"/>
    <w:bookmarkStart w:id="62" w:name="state-persistence-and-task-locking"/>
    <w:p>
      <w:pPr>
        <w:pStyle w:val="Heading3"/>
      </w:pPr>
      <w:r>
        <w:t xml:space="preserve">3.9.3 State Persistence and Task Locking</w:t>
      </w:r>
    </w:p>
    <w:p>
      <w:pPr>
        <w:pStyle w:val="FirstParagraph"/>
      </w:pPr>
      <w:r>
        <w:t xml:space="preserve">The complete evolution state is serialized to JSON after each iteration: the current system prompt, all tool schemas, all preprocessor source, iteration history with fix results, and metadata. Loading this state reconstructs the exact evolved agent. After the first evaluation in a run, task IDs are locked and reused for all subsequent iterations, so pass-rate changes reflect patches, not sampling variation.</w:t>
      </w:r>
    </w:p>
    <w:bookmarkEnd w:id="62"/>
    <w:bookmarkEnd w:id="63"/>
    <w:bookmarkStart w:id="67" w:name="threats-to-validity"/>
    <w:p>
      <w:pPr>
        <w:pStyle w:val="Heading2"/>
      </w:pPr>
      <w:r>
        <w:t xml:space="preserve">3.10 Threats to Validity</w:t>
      </w:r>
    </w:p>
    <w:bookmarkStart w:id="64" w:name="internal-validity"/>
    <w:p>
      <w:pPr>
        <w:pStyle w:val="Heading3"/>
      </w:pPr>
      <w:r>
        <w:t xml:space="preserve">3.10.1 Internal Validity</w:t>
      </w:r>
    </w:p>
    <w:p>
      <w:pPr>
        <w:pStyle w:val="FirstParagraph"/>
      </w:pPr>
      <w:r>
        <w:rPr>
          <w:bCs/>
          <w:b/>
        </w:rPr>
        <w:t xml:space="preserve">Single trial per task.</w:t>
      </w:r>
      <w:r>
        <w:t xml:space="preserve"> </w:t>
      </w:r>
      <w:r>
        <w:t xml:space="preserve">Each task is evaluated once per iteration, introducing variance from stochastic LLM generation.</w:t>
      </w:r>
      <w:r>
        <w:t xml:space="preserve"> </w:t>
      </w:r>
      <w:r>
        <w:t xml:space="preserve">Yao et al. (2024)</w:t>
      </w:r>
      <w:r>
        <w:t xml:space="preserve"> </w:t>
      </w:r>
      <w:r>
        <w:t xml:space="preserve">introduced the pass</w:t>
      </w:r>
      <w:r>
        <w:rPr>
          <w:vertAlign w:val="superscript"/>
        </w:rPr>
        <w:t xml:space="preserve">k</w:t>
      </w:r>
      <w:r>
        <w:t xml:space="preserve"> </w:t>
      </w:r>
      <w:r>
        <w:t xml:space="preserve">metric precisely to capture this variance, showing that pass</w:t>
      </w:r>
      <w:r>
        <w:rPr>
          <w:vertAlign w:val="superscript"/>
        </w:rPr>
        <w:t xml:space="preserve">8</w:t>
      </w:r>
      <w:r>
        <w:t xml:space="preserve"> </w:t>
      </w:r>
      <w:r>
        <w:t xml:space="preserve">can drop below 25 percent even when pass</w:t>
      </w:r>
      <w:r>
        <w:rPr>
          <w:vertAlign w:val="superscript"/>
        </w:rPr>
        <w:t xml:space="preserve">1</w:t>
      </w:r>
      <w:r>
        <w:t xml:space="preserve"> </w:t>
      </w:r>
      <w:r>
        <w:t xml:space="preserve">exceeds 50 percent. The limitation is mitigated by the fixed seed and by reporting results across multiple tasks, but full confidence intervals would require multiple trials per task at additional cost.</w:t>
      </w:r>
    </w:p>
    <w:p>
      <w:pPr>
        <w:pStyle w:val="BodyText"/>
      </w:pPr>
      <w:r>
        <w:rPr>
          <w:bCs/>
          <w:b/>
        </w:rPr>
        <w:t xml:space="preserve">Teacher model bias.</w:t>
      </w:r>
      <w:r>
        <w:t xml:space="preserve"> </w:t>
      </w:r>
      <w:r>
        <w:t xml:space="preserve">The teacher’s diagnoses and patches reflect the capabilities and blind spots of Kimi K2.5. A different teacher might produce different patches and improvement trajectories. The mitigation is empirical validation: only patches that demonstrably improve the student’s performance enter the global state.</w:t>
      </w:r>
      <w:r>
        <w:t xml:space="preserve"> </w:t>
      </w:r>
      <w:r>
        <w:t xml:space="preserve">Dorner et al. (2024)</w:t>
      </w:r>
      <w:r>
        <w:t xml:space="preserve"> </w:t>
      </w:r>
      <w:r>
        <w:t xml:space="preserve">showed that when the judge is no more capable than the evaluated model, debiasing cannot fully compensate; this limitation does not apply here, since Kimi K2.5 is substantially stronger than Qwen3 30B-A3B.</w:t>
      </w:r>
    </w:p>
    <w:p>
      <w:pPr>
        <w:pStyle w:val="BodyText"/>
      </w:pPr>
      <w:r>
        <w:rPr>
          <w:bCs/>
          <w:b/>
        </w:rPr>
        <w:t xml:space="preserve">Heuristic failure classification.</w:t>
      </w:r>
      <w:r>
        <w:t xml:space="preserve"> </w:t>
      </w:r>
      <w:r>
        <w:t xml:space="preserve">The four-category taxonomy is applied through string matching on the teacher’s free-text diagnosis. Misclassification is possible. This affects per-category analysis but not primary pass-rate results.</w:t>
      </w:r>
    </w:p>
    <w:bookmarkEnd w:id="64"/>
    <w:bookmarkStart w:id="65" w:name="external-validity"/>
    <w:p>
      <w:pPr>
        <w:pStyle w:val="Heading3"/>
      </w:pPr>
      <w:r>
        <w:t xml:space="preserve">3.10.2 External Validity</w:t>
      </w:r>
    </w:p>
    <w:p>
      <w:pPr>
        <w:pStyle w:val="FirstParagraph"/>
      </w:pPr>
      <w:r>
        <w:rPr>
          <w:bCs/>
          <w:b/>
        </w:rPr>
        <w:t xml:space="preserve">Benchmark versus production.</w:t>
      </w:r>
      <w:r>
        <w:t xml:space="preserve"> </w:t>
      </w:r>
      <w:r>
        <w:t xml:space="preserve">τ²-bench tasks are simulated customer-service interactions. While designed to approximate operational settings, they lack the full diversity and adversarial nature of real interactions.</w:t>
      </w:r>
      <w:r>
        <w:t xml:space="preserve"> </w:t>
      </w:r>
      <w:r>
        <w:t xml:space="preserve">Kapoor et al. (2024)</w:t>
      </w:r>
      <w:r>
        <w:t xml:space="preserve"> </w:t>
      </w:r>
      <w:r>
        <w:t xml:space="preserve">documented that 7 of 8 major agent benchmarks lack appropriate holdout sets and that benchmark-specific overfitting is common—the top WebArena agent hardcodes policies for specific tasks. Whether the framework works in production is untested.</w:t>
      </w:r>
    </w:p>
    <w:p>
      <w:pPr>
        <w:pStyle w:val="BodyText"/>
      </w:pPr>
      <w:r>
        <w:rPr>
          <w:bCs/>
          <w:b/>
        </w:rPr>
        <w:t xml:space="preserve">Model generalization.</w:t>
      </w:r>
      <w:r>
        <w:t xml:space="preserve"> </w:t>
      </w:r>
      <w:r>
        <w:t xml:space="preserve">The framework is evaluated with one student–teacher pair. Whether results generalize to stronger students (where headroom is smaller) or weaker teachers (where diagnostic quality degrades) is an open question. Alternative student models are supported for future ablation.</w:t>
      </w:r>
    </w:p>
    <w:p>
      <w:pPr>
        <w:pStyle w:val="BodyText"/>
      </w:pPr>
      <w:r>
        <w:rPr>
          <w:bCs/>
          <w:b/>
        </w:rPr>
        <w:t xml:space="preserve">Domain specificity.</w:t>
      </w:r>
      <w:r>
        <w:t xml:space="preserve"> </w:t>
      </w:r>
      <w:r>
        <w:t xml:space="preserve">Patches are domain-specific by design. The framework does not claim cross-domain transfer; the claim is that domain-specific diagnostic knowledge can be transferred efficiently to a weaker model’s prompt configuration.</w:t>
      </w:r>
    </w:p>
    <w:bookmarkEnd w:id="65"/>
    <w:bookmarkStart w:id="66" w:name="construct-validity"/>
    <w:p>
      <w:pPr>
        <w:pStyle w:val="Heading3"/>
      </w:pPr>
      <w:r>
        <w:t xml:space="preserve">3.10.3 Construct Validity</w:t>
      </w:r>
    </w:p>
    <w:p>
      <w:pPr>
        <w:pStyle w:val="FirstParagraph"/>
      </w:pPr>
      <w:r>
        <w:rPr>
          <w:bCs/>
          <w:b/>
        </w:rPr>
        <w:t xml:space="preserve">pass</w:t>
      </w:r>
      <w:r>
        <w:rPr>
          <w:vertAlign w:val="superscript"/>
          <w:bCs/>
          <w:b/>
        </w:rPr>
        <w:t xml:space="preserve">1</w:t>
      </w:r>
      <w:r>
        <w:rPr>
          <w:bCs/>
          <w:b/>
        </w:rPr>
        <w:t xml:space="preserve"> </w:t>
      </w:r>
      <w:r>
        <w:rPr>
          <w:bCs/>
          <w:b/>
        </w:rPr>
        <w:t xml:space="preserve">as reliability proxy.</w:t>
      </w:r>
      <w:r>
        <w:t xml:space="preserve"> </w:t>
      </w:r>
      <w:r>
        <w:t xml:space="preserve">The metric treats all failures equally—a catastrophic wrong action and a minor communication lapse both count.</w:t>
      </w:r>
      <w:r>
        <w:t xml:space="preserve"> </w:t>
      </w:r>
      <w:r>
        <w:t xml:space="preserve">Rabanser et al. (2025)</w:t>
      </w:r>
      <w:r>
        <w:t xml:space="preserve"> </w:t>
      </w:r>
      <w:r>
        <w:t xml:space="preserve">decompose reliability into four dimensions (consistency, robustness, predictability, safety) with twelve metrics, of which pass</w:t>
      </w:r>
      <w:r>
        <w:rPr>
          <w:vertAlign w:val="superscript"/>
        </w:rPr>
        <w:t xml:space="preserve">1</w:t>
      </w:r>
      <w:r>
        <w:t xml:space="preserve"> </w:t>
      </w:r>
      <w:r>
        <w:t xml:space="preserve">captures only the consistency dimension. The reward breakdown provides more granular information, but the primary metric does not weight by severity or dimension.</w:t>
      </w:r>
    </w:p>
    <w:p>
      <w:pPr>
        <w:pStyle w:val="BodyText"/>
      </w:pPr>
      <w:r>
        <w:rPr>
          <w:bCs/>
          <w:b/>
        </w:rPr>
        <w:t xml:space="preserve">Prompt evolution as distillation.</w:t>
      </w:r>
      <w:r>
        <w:t xml:space="preserve"> </w:t>
      </w:r>
      <w:r>
        <w:t xml:space="preserve">The thesis frames prompt patching as a form of knowledge transfer from teacher to student. There is precedent: weight-level distillation</w:t>
      </w:r>
      <w:r>
        <w:t xml:space="preserve"> </w:t>
      </w:r>
      <w:r>
        <w:t xml:space="preserve">(Hinton et al., 2015)</w:t>
      </w:r>
      <w:r>
        <w:t xml:space="preserve">, output-level distillation (Alpaca, Vicuna), and prompt-level transfer</w:t>
      </w:r>
      <w:r>
        <w:t xml:space="preserve"> </w:t>
      </w:r>
      <w:r>
        <w:t xml:space="preserve">(SPoT, Vu et al., 2022; GEPA, Agrawal et al., 2025)</w:t>
      </w:r>
      <w:r>
        <w:t xml:space="preserve"> </w:t>
      </w:r>
      <w:r>
        <w:t xml:space="preserve">form a progression toward lighter-weight knowledge transfer. However, the patches may encode surface-level heuristics (add a</w:t>
      </w:r>
      <w:r>
        <w:t xml:space="preserve"> </w:t>
      </w:r>
      <w:r>
        <w:t xml:space="preserve">“</w:t>
      </w:r>
      <w:r>
        <w:t xml:space="preserve">#</w:t>
      </w:r>
      <w:r>
        <w:t xml:space="preserve">”</w:t>
      </w:r>
      <w:r>
        <w:t xml:space="preserve"> </w:t>
      </w:r>
      <w:r>
        <w:t xml:space="preserve">prefix) without transferring deep domain understanding, and their durability under distribution shift is untested.</w:t>
      </w:r>
    </w:p>
    <w:bookmarkEnd w:id="66"/>
    <w:bookmarkEnd w:id="67"/>
    <w:bookmarkEnd w:id="68"/>
    <w:bookmarkStart w:id="69" w:name="conclusion"/>
    <w:p>
      <w:pPr>
        <w:pStyle w:val="Heading1"/>
      </w:pPr>
      <w:r>
        <w:t xml:space="preserve">5. Conclusion</w:t>
      </w:r>
    </w:p>
    <w:bookmarkEnd w:id="69"/>
    <w:bookmarkStart w:id="155" w:name="bibliography"/>
    <w:p>
      <w:pPr>
        <w:pStyle w:val="Heading1"/>
      </w:pPr>
      <w:r>
        <w:t xml:space="preserve">References</w:t>
      </w:r>
    </w:p>
    <w:bookmarkStart w:id="154" w:name="refs"/>
    <w:bookmarkStart w:id="71" w:name="ref-agrawal2025"/>
    <w:p>
      <w:pPr>
        <w:pStyle w:val="Bibliography"/>
      </w:pPr>
      <w:r>
        <w:t xml:space="preserve">Agrawal, L. A., Tan, S., Soylu, D., Ziems, N., Khare, R., Opsahl-Ong, K., Singhvi, A., Shandilya, H., Ryan, M. J., Jiang, M., Potts, C., Sen, K., Dimakis, A. G., Stoica, I., Klein, D., Zaharia, M., &amp; Khattab, O. (2025).</w:t>
      </w:r>
      <w:r>
        <w:t xml:space="preserve"> </w:t>
      </w:r>
      <w:r>
        <w:rPr>
          <w:iCs/>
          <w:i/>
        </w:rPr>
        <w:t xml:space="preserve">GEPA</w:t>
      </w:r>
      <w:r>
        <w:rPr>
          <w:iCs/>
          <w:i/>
        </w:rPr>
        <w:t xml:space="preserve">: Reflective prompt evolution can outperform reinforcement learning</w:t>
      </w:r>
      <w:r>
        <w:t xml:space="preserve">.</w:t>
      </w:r>
      <w:r>
        <w:t xml:space="preserve"> </w:t>
      </w:r>
      <w:hyperlink r:id="rId70">
        <w:r>
          <w:rPr>
            <w:rStyle w:val="Hyperlink"/>
          </w:rPr>
          <w:t xml:space="preserve">https://arxiv.org/abs/2507.19457</w:t>
        </w:r>
      </w:hyperlink>
    </w:p>
    <w:bookmarkEnd w:id="71"/>
    <w:bookmarkStart w:id="73" w:name="ref-bai2022"/>
    <w:p>
      <w:pPr>
        <w:pStyle w:val="Bibliography"/>
      </w:pPr>
      <w:r>
        <w:t xml:space="preserve">Bai, Y., Kadavath, S., Kundu, S., Askell, A., Kernion, J., Jones, A., Chen, A., Goldie, A., Mirhoseini, A., McKinnon, C., Chen, C., Olsson, C., Olah, C., Hernandez, D., Drain, D., Ganguli, D., Li, D., Tran-Johnson, E., Perez, E., … Kaplan, J. (2022).</w:t>
      </w:r>
      <w:r>
        <w:t xml:space="preserve"> </w:t>
      </w:r>
      <w:r>
        <w:rPr>
          <w:iCs/>
          <w:i/>
        </w:rPr>
        <w:t xml:space="preserve">Constitutional</w:t>
      </w:r>
      <w:r>
        <w:rPr>
          <w:iCs/>
          <w:i/>
        </w:rPr>
        <w:t xml:space="preserve"> </w:t>
      </w:r>
      <w:r>
        <w:rPr>
          <w:iCs/>
          <w:i/>
        </w:rPr>
        <w:t xml:space="preserve">AI</w:t>
      </w:r>
      <w:r>
        <w:rPr>
          <w:iCs/>
          <w:i/>
        </w:rPr>
        <w:t xml:space="preserve">: Harmlessness from</w:t>
      </w:r>
      <w:r>
        <w:rPr>
          <w:iCs/>
          <w:i/>
        </w:rPr>
        <w:t xml:space="preserve"> </w:t>
      </w:r>
      <w:r>
        <w:rPr>
          <w:iCs/>
          <w:i/>
        </w:rPr>
        <w:t xml:space="preserve">AI</w:t>
      </w:r>
      <w:r>
        <w:rPr>
          <w:iCs/>
          <w:i/>
        </w:rPr>
        <w:t xml:space="preserve"> </w:t>
      </w:r>
      <w:r>
        <w:rPr>
          <w:iCs/>
          <w:i/>
        </w:rPr>
        <w:t xml:space="preserve">feedback</w:t>
      </w:r>
      <w:r>
        <w:t xml:space="preserve">.</w:t>
      </w:r>
      <w:r>
        <w:t xml:space="preserve"> </w:t>
      </w:r>
      <w:hyperlink r:id="rId72">
        <w:r>
          <w:rPr>
            <w:rStyle w:val="Hyperlink"/>
          </w:rPr>
          <w:t xml:space="preserve">https://arxiv.org/abs/2212.08073</w:t>
        </w:r>
      </w:hyperlink>
    </w:p>
    <w:bookmarkEnd w:id="73"/>
    <w:bookmarkStart w:id="75" w:name="ref-barres2025"/>
    <w:p>
      <w:pPr>
        <w:pStyle w:val="Bibliography"/>
      </w:pPr>
      <w:r>
        <w:t xml:space="preserve">Barres, V., Dong, H., Ray, S., Si, X., &amp; Narasimhan, K. (2025).</w:t>
      </w:r>
      <w:r>
        <w:t xml:space="preserve"> </w:t>
      </w:r>
      <m:oMath>
        <m:sSup>
          <m:e>
            <m:r>
              <m:t>τ</m:t>
            </m:r>
          </m:e>
          <m:sup>
            <m:r>
              <m:t>2</m:t>
            </m:r>
          </m:sup>
        </m:sSup>
      </m:oMath>
      <w:r>
        <w:rPr>
          <w:iCs/>
          <w:i/>
        </w:rPr>
        <w:t xml:space="preserve">-bench: Evaluating conversational agents in a dual-control environment</w:t>
      </w:r>
      <w:r>
        <w:t xml:space="preserve">.</w:t>
      </w:r>
      <w:r>
        <w:t xml:space="preserve"> </w:t>
      </w:r>
      <w:hyperlink r:id="rId74">
        <w:r>
          <w:rPr>
            <w:rStyle w:val="Hyperlink"/>
          </w:rPr>
          <w:t xml:space="preserve">https://arxiv.org/abs/2506.07982</w:t>
        </w:r>
      </w:hyperlink>
    </w:p>
    <w:bookmarkEnd w:id="75"/>
    <w:bookmarkStart w:id="77" w:name="ref-brookes2025"/>
    <w:p>
      <w:pPr>
        <w:pStyle w:val="Bibliography"/>
      </w:pPr>
      <w:r>
        <w:t xml:space="preserve">Brookes, D., Baitinger, M., Sheng, D., Huang, S., &amp; Goldie, A. (2025).</w:t>
      </w:r>
      <w:r>
        <w:t xml:space="preserve"> </w:t>
      </w:r>
      <w:r>
        <w:rPr>
          <w:iCs/>
          <w:i/>
        </w:rPr>
        <w:t xml:space="preserve">ARTEMIS</w:t>
      </w:r>
      <w:r>
        <w:rPr>
          <w:iCs/>
          <w:i/>
        </w:rPr>
        <w:t xml:space="preserve">: Agent for runtime error-driven test and modification of integrated systems</w:t>
      </w:r>
      <w:r>
        <w:t xml:space="preserve">.</w:t>
      </w:r>
      <w:r>
        <w:t xml:space="preserve"> </w:t>
      </w:r>
      <w:hyperlink r:id="rId76">
        <w:r>
          <w:rPr>
            <w:rStyle w:val="Hyperlink"/>
          </w:rPr>
          <w:t xml:space="preserve">https://arxiv.org/abs/2502.16452</w:t>
        </w:r>
      </w:hyperlink>
    </w:p>
    <w:bookmarkEnd w:id="77"/>
    <w:bookmarkStart w:id="78" w:name="ref-brown2020"/>
    <w:p>
      <w:pPr>
        <w:pStyle w:val="Bibliography"/>
      </w:pPr>
      <w:r>
        <w:t xml:space="preserve">Brown, T. B., Mann, B., Ryder, N., Subbiah, M., Kaplan, J., Dhariwal, P., Neelakantan, A., Shyam, P., Sastry, G., Askell, A., Agarwal, S., Herbert-Voss, A., Krueger, G., Henighan, T., Child, R., Ramesh, A., Ziegler, D. M., Wu, J., Winter, C., … Amodei, D. (2020). Language models are few-shot learners.</w:t>
      </w:r>
      <w:r>
        <w:t xml:space="preserve"> </w:t>
      </w:r>
      <w:r>
        <w:rPr>
          <w:iCs/>
          <w:i/>
        </w:rPr>
        <w:t xml:space="preserve">Advances in Neural Information Processing Systems</w:t>
      </w:r>
      <w:r>
        <w:t xml:space="preserve">,</w:t>
      </w:r>
      <w:r>
        <w:t xml:space="preserve"> </w:t>
      </w:r>
      <w:r>
        <w:rPr>
          <w:iCs/>
          <w:i/>
        </w:rPr>
        <w:t xml:space="preserve">33</w:t>
      </w:r>
      <w:r>
        <w:t xml:space="preserve">, 1877–1901.</w:t>
      </w:r>
    </w:p>
    <w:bookmarkEnd w:id="78"/>
    <w:bookmarkStart w:id="79" w:name="ref-casper2023"/>
    <w:p>
      <w:pPr>
        <w:pStyle w:val="Bibliography"/>
      </w:pPr>
      <w:r>
        <w:t xml:space="preserve">Casper, S., Davies, X., Shi, C., Gilbert, T. K., Scheurer, J., Rando, J., Freedman, R., Korbak, T., Lindner, D., Freire, P., Wang, T., Marks, S., Segerie, C.-R., Carroll, M., Peng, A., Christoffersen, P., Damani, M., Slocum, S., Anwar, U., … Hadfield-Menell, D. (2023). Open problems and fundamental limitations of reinforcement learning from human feedback.</w:t>
      </w:r>
      <w:r>
        <w:t xml:space="preserve"> </w:t>
      </w:r>
      <w:r>
        <w:rPr>
          <w:iCs/>
          <w:i/>
        </w:rPr>
        <w:t xml:space="preserve">Transactions on Machine Learning Research</w:t>
      </w:r>
      <w:r>
        <w:t xml:space="preserve">.</w:t>
      </w:r>
    </w:p>
    <w:bookmarkEnd w:id="79"/>
    <w:bookmarkStart w:id="80" w:name="ref-cheng2024"/>
    <w:p>
      <w:pPr>
        <w:pStyle w:val="Bibliography"/>
      </w:pPr>
      <w:r>
        <w:t xml:space="preserve">Cheng, C.-A., Nie, A., &amp; Swaminathan, A. (2024). Trace is the next</w:t>
      </w:r>
      <w:r>
        <w:t xml:space="preserve"> </w:t>
      </w:r>
      <w:r>
        <w:t xml:space="preserve">AutoDiff</w:t>
      </w:r>
      <w:r>
        <w:t xml:space="preserve">: Generative optimization with rich feedback, execution traces, and</w:t>
      </w:r>
      <w:r>
        <w:t xml:space="preserve"> </w:t>
      </w:r>
      <w:r>
        <w:t xml:space="preserve">LLMs</w:t>
      </w:r>
      <w:r>
        <w:t xml:space="preserve">.</w:t>
      </w:r>
      <w:r>
        <w:t xml:space="preserve"> </w:t>
      </w:r>
      <w:r>
        <w:rPr>
          <w:iCs/>
          <w:i/>
        </w:rPr>
        <w:t xml:space="preserve">Advances in Neural Information Processing Systems</w:t>
      </w:r>
      <w:r>
        <w:t xml:space="preserve">,</w:t>
      </w:r>
      <w:r>
        <w:t xml:space="preserve"> </w:t>
      </w:r>
      <w:r>
        <w:rPr>
          <w:iCs/>
          <w:i/>
        </w:rPr>
        <w:t xml:space="preserve">37</w:t>
      </w:r>
      <w:r>
        <w:t xml:space="preserve">.</w:t>
      </w:r>
    </w:p>
    <w:bookmarkEnd w:id="80"/>
    <w:bookmarkStart w:id="81" w:name="ref-chiang2023"/>
    <w:p>
      <w:pPr>
        <w:pStyle w:val="Bibliography"/>
      </w:pPr>
      <w:r>
        <w:t xml:space="preserve">Chiang, W.-L., Li, Z., Lin, Z., Sheng, Y., Wu, Z., Zhang, H., Zheng, L., Zhuang, S., Zhuang, Y., Gonzalez, J. E., Stoica, I., &amp; Xing, E. P. (2023).</w:t>
      </w:r>
      <w:r>
        <w:t xml:space="preserve"> </w:t>
      </w:r>
      <w:r>
        <w:rPr>
          <w:iCs/>
          <w:i/>
        </w:rPr>
        <w:t xml:space="preserve">Vicuna: An open-source chatbot impressing</w:t>
      </w:r>
      <w:r>
        <w:rPr>
          <w:iCs/>
          <w:i/>
        </w:rPr>
        <w:t xml:space="preserve"> </w:t>
      </w:r>
      <w:r>
        <w:rPr>
          <w:iCs/>
          <w:i/>
        </w:rPr>
        <w:t xml:space="preserve">GPT-4</w:t>
      </w:r>
      <w:r>
        <w:rPr>
          <w:iCs/>
          <w:i/>
        </w:rPr>
        <w:t xml:space="preserve"> </w:t>
      </w:r>
      <w:r>
        <w:rPr>
          <w:iCs/>
          <w:i/>
        </w:rPr>
        <w:t xml:space="preserve">with 90%*</w:t>
      </w:r>
      <w:r>
        <w:rPr>
          <w:iCs/>
          <w:i/>
        </w:rPr>
        <w:t xml:space="preserve"> </w:t>
      </w:r>
      <w:r>
        <w:rPr>
          <w:iCs/>
          <w:i/>
        </w:rPr>
        <w:t xml:space="preserve">ChatGPT</w:t>
      </w:r>
      <w:r>
        <w:rPr>
          <w:iCs/>
          <w:i/>
        </w:rPr>
        <w:t xml:space="preserve"> </w:t>
      </w:r>
      <w:r>
        <w:rPr>
          <w:iCs/>
          <w:i/>
        </w:rPr>
        <w:t xml:space="preserve">quality</w:t>
      </w:r>
      <w:r>
        <w:t xml:space="preserve">. LMSYS Blog.</w:t>
      </w:r>
    </w:p>
    <w:bookmarkEnd w:id="81"/>
    <w:bookmarkStart w:id="83" w:name="ref-choudhury2024"/>
    <w:p>
      <w:pPr>
        <w:pStyle w:val="Bibliography"/>
      </w:pPr>
      <w:r>
        <w:t xml:space="preserve">Choudhury, S., &amp; Sodhi, P. (2024).</w:t>
      </w:r>
      <w:r>
        <w:t xml:space="preserve"> </w:t>
      </w:r>
      <w:r>
        <w:rPr>
          <w:iCs/>
          <w:i/>
        </w:rPr>
        <w:t xml:space="preserve">Better than your teacher:</w:t>
      </w:r>
      <w:r>
        <w:rPr>
          <w:iCs/>
          <w:i/>
        </w:rPr>
        <w:t xml:space="preserve"> </w:t>
      </w:r>
      <w:r>
        <w:rPr>
          <w:iCs/>
          <w:i/>
        </w:rPr>
        <w:t xml:space="preserve">LLM</w:t>
      </w:r>
      <w:r>
        <w:rPr>
          <w:iCs/>
          <w:i/>
        </w:rPr>
        <w:t xml:space="preserve"> </w:t>
      </w:r>
      <w:r>
        <w:rPr>
          <w:iCs/>
          <w:i/>
        </w:rPr>
        <w:t xml:space="preserve">agents that learn from privileged</w:t>
      </w:r>
      <w:r>
        <w:rPr>
          <w:iCs/>
          <w:i/>
        </w:rPr>
        <w:t xml:space="preserve"> </w:t>
      </w:r>
      <w:r>
        <w:rPr>
          <w:iCs/>
          <w:i/>
        </w:rPr>
        <w:t xml:space="preserve">AI</w:t>
      </w:r>
      <w:r>
        <w:rPr>
          <w:iCs/>
          <w:i/>
        </w:rPr>
        <w:t xml:space="preserve"> </w:t>
      </w:r>
      <w:r>
        <w:rPr>
          <w:iCs/>
          <w:i/>
        </w:rPr>
        <w:t xml:space="preserve">feedback</w:t>
      </w:r>
      <w:r>
        <w:t xml:space="preserve">.</w:t>
      </w:r>
      <w:r>
        <w:t xml:space="preserve"> </w:t>
      </w:r>
      <w:hyperlink r:id="rId82">
        <w:r>
          <w:rPr>
            <w:rStyle w:val="Hyperlink"/>
          </w:rPr>
          <w:t xml:space="preserve">https://arxiv.org/abs/2410.05434</w:t>
        </w:r>
      </w:hyperlink>
    </w:p>
    <w:bookmarkEnd w:id="83"/>
    <w:bookmarkStart w:id="85" w:name="ref-dorner2024"/>
    <w:p>
      <w:pPr>
        <w:pStyle w:val="Bibliography"/>
      </w:pPr>
      <w:r>
        <w:t xml:space="preserve">Dorner, F. E., Nastl, V. Y., Mao, Y., Juravle, G., Goldstein, E., Shi, X., Kumar, S., Ilvento, C., &amp; Korolova, A. (2024).</w:t>
      </w:r>
      <w:r>
        <w:t xml:space="preserve"> </w:t>
      </w:r>
      <w:r>
        <w:rPr>
          <w:iCs/>
          <w:i/>
        </w:rPr>
        <w:t xml:space="preserve">On the limitations of</w:t>
      </w:r>
      <w:r>
        <w:rPr>
          <w:iCs/>
          <w:i/>
        </w:rPr>
        <w:t xml:space="preserve"> </w:t>
      </w:r>
      <w:r>
        <w:rPr>
          <w:iCs/>
          <w:i/>
        </w:rPr>
        <w:t xml:space="preserve">LLM</w:t>
      </w:r>
      <w:r>
        <w:rPr>
          <w:iCs/>
          <w:i/>
        </w:rPr>
        <w:t xml:space="preserve">-based judges for evaluating</w:t>
      </w:r>
      <w:r>
        <w:rPr>
          <w:iCs/>
          <w:i/>
        </w:rPr>
        <w:t xml:space="preserve"> </w:t>
      </w:r>
      <w:r>
        <w:rPr>
          <w:iCs/>
          <w:i/>
        </w:rPr>
        <w:t xml:space="preserve">LLM</w:t>
      </w:r>
      <w:r>
        <w:rPr>
          <w:iCs/>
          <w:i/>
        </w:rPr>
        <w:t xml:space="preserve"> </w:t>
      </w:r>
      <w:r>
        <w:rPr>
          <w:iCs/>
          <w:i/>
        </w:rPr>
        <w:t xml:space="preserve">outputs</w:t>
      </w:r>
      <w:r>
        <w:t xml:space="preserve">.</w:t>
      </w:r>
      <w:r>
        <w:t xml:space="preserve"> </w:t>
      </w:r>
      <w:hyperlink r:id="rId84">
        <w:r>
          <w:rPr>
            <w:rStyle w:val="Hyperlink"/>
          </w:rPr>
          <w:t xml:space="preserve">https://arxiv.org/abs/2406.18403</w:t>
        </w:r>
      </w:hyperlink>
    </w:p>
    <w:bookmarkEnd w:id="85"/>
    <w:bookmarkStart w:id="87" w:name="ref-fernando2023"/>
    <w:p>
      <w:pPr>
        <w:pStyle w:val="Bibliography"/>
      </w:pPr>
      <w:r>
        <w:t xml:space="preserve">Fernando, C., Banarse, D., Michalewski, H., Osindero, S., &amp; Rocktäschel, T. (2023).</w:t>
      </w:r>
      <w:r>
        <w:t xml:space="preserve"> </w:t>
      </w:r>
      <w:r>
        <w:rPr>
          <w:iCs/>
          <w:i/>
        </w:rPr>
        <w:t xml:space="preserve">PromptBreeder</w:t>
      </w:r>
      <w:r>
        <w:rPr>
          <w:iCs/>
          <w:i/>
        </w:rPr>
        <w:t xml:space="preserve">: Self-referential self-improvement via prompt evolution</w:t>
      </w:r>
      <w:r>
        <w:t xml:space="preserve">.</w:t>
      </w:r>
      <w:r>
        <w:t xml:space="preserve"> </w:t>
      </w:r>
      <w:hyperlink r:id="rId86">
        <w:r>
          <w:rPr>
            <w:rStyle w:val="Hyperlink"/>
          </w:rPr>
          <w:t xml:space="preserve">https://arxiv.org/abs/2309.16797</w:t>
        </w:r>
      </w:hyperlink>
    </w:p>
    <w:bookmarkEnd w:id="87"/>
    <w:bookmarkStart w:id="88" w:name="ref-gilardi2023"/>
    <w:p>
      <w:pPr>
        <w:pStyle w:val="Bibliography"/>
      </w:pPr>
      <w:r>
        <w:t xml:space="preserve">Gilardi, F., Alizadeh, M., &amp; Kubli, M. (2023).</w:t>
      </w:r>
      <w:r>
        <w:t xml:space="preserve"> </w:t>
      </w:r>
      <w:r>
        <w:t xml:space="preserve">ChatGPT</w:t>
      </w:r>
      <w:r>
        <w:t xml:space="preserve"> </w:t>
      </w:r>
      <w:r>
        <w:t xml:space="preserve">outperforms crowd-workers for text-annotation tasks.</w:t>
      </w:r>
      <w:r>
        <w:t xml:space="preserve"> </w:t>
      </w:r>
      <w:r>
        <w:rPr>
          <w:iCs/>
          <w:i/>
        </w:rPr>
        <w:t xml:space="preserve">Research &amp; Politics</w:t>
      </w:r>
      <w:r>
        <w:t xml:space="preserve">,</w:t>
      </w:r>
      <w:r>
        <w:t xml:space="preserve"> </w:t>
      </w:r>
      <w:r>
        <w:rPr>
          <w:iCs/>
          <w:i/>
        </w:rPr>
        <w:t xml:space="preserve">10</w:t>
      </w:r>
      <w:r>
        <w:t xml:space="preserve">(2).</w:t>
      </w:r>
    </w:p>
    <w:bookmarkEnd w:id="88"/>
    <w:bookmarkStart w:id="89" w:name="ref-guo2023"/>
    <w:p>
      <w:pPr>
        <w:pStyle w:val="Bibliography"/>
      </w:pPr>
      <w:r>
        <w:t xml:space="preserve">Guo, Q., Wang, R., Guo, J., Li, B., Song, K., Tan, X., Liu, G., Bian, J., &amp; Yang, Y. (2023). Connecting</w:t>
      </w:r>
      <w:r>
        <w:t xml:space="preserve"> </w:t>
      </w:r>
      <w:r>
        <w:t xml:space="preserve">LLMs</w:t>
      </w:r>
      <w:r>
        <w:t xml:space="preserve"> </w:t>
      </w:r>
      <w:r>
        <w:t xml:space="preserve">with evolutionary algorithms yields powerful prompt optimizers.</w:t>
      </w:r>
      <w:r>
        <w:t xml:space="preserve"> </w:t>
      </w:r>
      <w:r>
        <w:rPr>
          <w:iCs/>
          <w:i/>
        </w:rPr>
        <w:t xml:space="preserve">Proceedings of the Twelfth International Conference on Learning Representations</w:t>
      </w:r>
      <w:r>
        <w:t xml:space="preserve">.</w:t>
      </w:r>
    </w:p>
    <w:bookmarkEnd w:id="89"/>
    <w:bookmarkStart w:id="91" w:name="ref-guo2024"/>
    <w:p>
      <w:pPr>
        <w:pStyle w:val="Bibliography"/>
      </w:pPr>
      <w:r>
        <w:t xml:space="preserve">Guo, Z., Cheng, W., Liu, Y., Wang, Z., Chen, Y., Chen, H., &amp; Liu, Y. (2024).</w:t>
      </w:r>
      <w:r>
        <w:t xml:space="preserve"> </w:t>
      </w:r>
      <w:r>
        <w:rPr>
          <w:iCs/>
          <w:i/>
        </w:rPr>
        <w:t xml:space="preserve">StableToolBench</w:t>
      </w:r>
      <w:r>
        <w:rPr>
          <w:iCs/>
          <w:i/>
        </w:rPr>
        <w:t xml:space="preserve">: Towards stable large-scale benchmarking on tool utilization of large language models</w:t>
      </w:r>
      <w:r>
        <w:t xml:space="preserve">.</w:t>
      </w:r>
      <w:r>
        <w:t xml:space="preserve"> </w:t>
      </w:r>
      <w:hyperlink r:id="rId90">
        <w:r>
          <w:rPr>
            <w:rStyle w:val="Hyperlink"/>
          </w:rPr>
          <w:t xml:space="preserve">https://arxiv.org/abs/2403.07714</w:t>
        </w:r>
      </w:hyperlink>
    </w:p>
    <w:bookmarkEnd w:id="91"/>
    <w:bookmarkStart w:id="92" w:name="ref-hevner2004"/>
    <w:p>
      <w:pPr>
        <w:pStyle w:val="Bibliography"/>
      </w:pPr>
      <w:r>
        <w:t xml:space="preserve">Hevner, A. R., March, S. T., Park, J., &amp; Ram, S. (2004). Design science in information systems research.</w:t>
      </w:r>
      <w:r>
        <w:t xml:space="preserve"> </w:t>
      </w:r>
      <w:r>
        <w:rPr>
          <w:iCs/>
          <w:i/>
        </w:rPr>
        <w:t xml:space="preserve">MIS Quarterly</w:t>
      </w:r>
      <w:r>
        <w:t xml:space="preserve">,</w:t>
      </w:r>
      <w:r>
        <w:t xml:space="preserve"> </w:t>
      </w:r>
      <w:r>
        <w:rPr>
          <w:iCs/>
          <w:i/>
        </w:rPr>
        <w:t xml:space="preserve">28</w:t>
      </w:r>
      <w:r>
        <w:t xml:space="preserve">(1), 75–105.</w:t>
      </w:r>
    </w:p>
    <w:bookmarkEnd w:id="92"/>
    <w:bookmarkStart w:id="94" w:name="ref-hinton2015"/>
    <w:p>
      <w:pPr>
        <w:pStyle w:val="Bibliography"/>
      </w:pPr>
      <w:r>
        <w:t xml:space="preserve">Hinton, G., Vinyals, O., &amp; Dean, J. (2015).</w:t>
      </w:r>
      <w:r>
        <w:t xml:space="preserve"> </w:t>
      </w:r>
      <w:r>
        <w:rPr>
          <w:iCs/>
          <w:i/>
        </w:rPr>
        <w:t xml:space="preserve">Distilling the knowledge in a neural network</w:t>
      </w:r>
      <w:r>
        <w:t xml:space="preserve">.</w:t>
      </w:r>
      <w:r>
        <w:t xml:space="preserve"> </w:t>
      </w:r>
      <w:hyperlink r:id="rId93">
        <w:r>
          <w:rPr>
            <w:rStyle w:val="Hyperlink"/>
          </w:rPr>
          <w:t xml:space="preserve">https://arxiv.org/abs/1503.02531</w:t>
        </w:r>
      </w:hyperlink>
    </w:p>
    <w:bookmarkEnd w:id="94"/>
    <w:bookmarkStart w:id="95" w:name="ref-hu2022"/>
    <w:p>
      <w:pPr>
        <w:pStyle w:val="Bibliography"/>
      </w:pPr>
      <w:r>
        <w:t xml:space="preserve">Hu, E. J., Shen, Y., Wallis, P., Allen-Zhu, Z., Li, Y., Wang, S., Wang, L., &amp; Chen, W. (2022).</w:t>
      </w:r>
      <w:r>
        <w:t xml:space="preserve"> </w:t>
      </w:r>
      <w:r>
        <w:t xml:space="preserve">LoRA</w:t>
      </w:r>
      <w:r>
        <w:t xml:space="preserve">: Low-rank adaptation of large language models.</w:t>
      </w:r>
      <w:r>
        <w:t xml:space="preserve"> </w:t>
      </w:r>
      <w:r>
        <w:rPr>
          <w:iCs/>
          <w:i/>
        </w:rPr>
        <w:t xml:space="preserve">Proceedings of the Tenth International Conference on Learning Representations</w:t>
      </w:r>
      <w:r>
        <w:t xml:space="preserve">.</w:t>
      </w:r>
    </w:p>
    <w:bookmarkEnd w:id="95"/>
    <w:bookmarkStart w:id="96" w:name="ref-hu2024"/>
    <w:p>
      <w:pPr>
        <w:pStyle w:val="Bibliography"/>
      </w:pPr>
      <w:r>
        <w:t xml:space="preserve">Hu, S., Lu, C., &amp; Clune, J. (2024). Automated design of agentic systems.</w:t>
      </w:r>
      <w:r>
        <w:t xml:space="preserve"> </w:t>
      </w:r>
      <w:r>
        <w:rPr>
          <w:iCs/>
          <w:i/>
        </w:rPr>
        <w:t xml:space="preserve">Proceedings of the Thirteenth International Conference on Learning Representations</w:t>
      </w:r>
      <w:r>
        <w:t xml:space="preserve">.</w:t>
      </w:r>
    </w:p>
    <w:bookmarkEnd w:id="96"/>
    <w:bookmarkStart w:id="97" w:name="ref-jiang2023"/>
    <w:p>
      <w:pPr>
        <w:pStyle w:val="Bibliography"/>
      </w:pPr>
      <w:r>
        <w:t xml:space="preserve">Jiang, Y., Chan, C., Chen, M., &amp; Wang, W. (2023). Lion: Adversarial distillation of proprietary large language models.</w:t>
      </w:r>
      <w:r>
        <w:t xml:space="preserve"> </w:t>
      </w:r>
      <w:r>
        <w:rPr>
          <w:iCs/>
          <w:i/>
        </w:rPr>
        <w:t xml:space="preserve">Proceedings of the 2023 Conference on Empirical Methods in Natural Language Processing</w:t>
      </w:r>
      <w:r>
        <w:t xml:space="preserve">, 3134–3154.</w:t>
      </w:r>
    </w:p>
    <w:bookmarkEnd w:id="97"/>
    <w:bookmarkStart w:id="98" w:name="ref-jiao2020"/>
    <w:p>
      <w:pPr>
        <w:pStyle w:val="Bibliography"/>
      </w:pPr>
      <w:r>
        <w:t xml:space="preserve">Jiao, X., Yin, Y., Shang, L., Jiang, X., Chen, X., Li, L., Wang, F., &amp; Liu, Q. (2020).</w:t>
      </w:r>
      <w:r>
        <w:t xml:space="preserve"> </w:t>
      </w:r>
      <w:r>
        <w:t xml:space="preserve">TinyBERT</w:t>
      </w:r>
      <w:r>
        <w:t xml:space="preserve">: Distilling</w:t>
      </w:r>
      <w:r>
        <w:t xml:space="preserve"> </w:t>
      </w:r>
      <w:r>
        <w:t xml:space="preserve">BERT</w:t>
      </w:r>
      <w:r>
        <w:t xml:space="preserve"> </w:t>
      </w:r>
      <w:r>
        <w:t xml:space="preserve">for natural language understanding.</w:t>
      </w:r>
      <w:r>
        <w:t xml:space="preserve"> </w:t>
      </w:r>
      <w:r>
        <w:rPr>
          <w:iCs/>
          <w:i/>
        </w:rPr>
        <w:t xml:space="preserve">Findings of the Association for Computational Linguistics: EMNLP 2020</w:t>
      </w:r>
      <w:r>
        <w:t xml:space="preserve">, 4163–4174.</w:t>
      </w:r>
    </w:p>
    <w:bookmarkEnd w:id="98"/>
    <w:bookmarkStart w:id="99" w:name="ref-jimenez2024"/>
    <w:p>
      <w:pPr>
        <w:pStyle w:val="Bibliography"/>
      </w:pPr>
      <w:r>
        <w:t xml:space="preserve">Jimenez, C. E., Yang, J., Wettig, A., Yao, S., Pei, K., Press, O., &amp; Narasimhan, K. (2024).</w:t>
      </w:r>
      <w:r>
        <w:t xml:space="preserve"> </w:t>
      </w:r>
      <w:r>
        <w:t xml:space="preserve">SWE-bench</w:t>
      </w:r>
      <w:r>
        <w:t xml:space="preserve">: Can language models resolve real-world</w:t>
      </w:r>
      <w:r>
        <w:t xml:space="preserve"> </w:t>
      </w:r>
      <w:r>
        <w:t xml:space="preserve">GitHub</w:t>
      </w:r>
      <w:r>
        <w:t xml:space="preserve"> </w:t>
      </w:r>
      <w:r>
        <w:t xml:space="preserve">issues?</w:t>
      </w:r>
      <w:r>
        <w:t xml:space="preserve"> </w:t>
      </w:r>
      <w:r>
        <w:rPr>
          <w:iCs/>
          <w:i/>
        </w:rPr>
        <w:t xml:space="preserve">Proceedings of the Twelfth International Conference on Learning Representations</w:t>
      </w:r>
      <w:r>
        <w:t xml:space="preserve">.</w:t>
      </w:r>
    </w:p>
    <w:bookmarkEnd w:id="99"/>
    <w:bookmarkStart w:id="100" w:name="ref-kapoor2024"/>
    <w:p>
      <w:pPr>
        <w:pStyle w:val="Bibliography"/>
      </w:pPr>
      <w:r>
        <w:t xml:space="preserve">Kapoor, S., Stroebl, B., Siegel, Z. S., Nadgir, N., &amp; Narayanan, A. (2024).</w:t>
      </w:r>
      <w:r>
        <w:t xml:space="preserve"> </w:t>
      </w:r>
      <w:r>
        <w:t xml:space="preserve">AI</w:t>
      </w:r>
      <w:r>
        <w:t xml:space="preserve"> </w:t>
      </w:r>
      <w:r>
        <w:t xml:space="preserve">agents that matter.</w:t>
      </w:r>
      <w:r>
        <w:t xml:space="preserve"> </w:t>
      </w:r>
      <w:r>
        <w:rPr>
          <w:iCs/>
          <w:i/>
        </w:rPr>
        <w:t xml:space="preserve">Transactions on Machine Learning Research</w:t>
      </w:r>
      <w:r>
        <w:t xml:space="preserve">.</w:t>
      </w:r>
    </w:p>
    <w:bookmarkEnd w:id="100"/>
    <w:bookmarkStart w:id="101" w:name="ref-khattab2023"/>
    <w:p>
      <w:pPr>
        <w:pStyle w:val="Bibliography"/>
      </w:pPr>
      <w:r>
        <w:t xml:space="preserve">Khattab, O., Singhvi, A., Maheshwari, P., Zhang, Z., Santhanam, K., Vardhamanan, S., Haq, S., Sharma, A., Joshi, T. T., Moazam, H., Miller, H., Zaharia, M., &amp; Potts, C. (2023).</w:t>
      </w:r>
      <w:r>
        <w:t xml:space="preserve"> </w:t>
      </w:r>
      <w:r>
        <w:t xml:space="preserve">DSPy</w:t>
      </w:r>
      <w:r>
        <w:t xml:space="preserve">: Compiling declarative language model calls into self-improving pipelines.</w:t>
      </w:r>
      <w:r>
        <w:t xml:space="preserve"> </w:t>
      </w:r>
      <w:r>
        <w:rPr>
          <w:iCs/>
          <w:i/>
        </w:rPr>
        <w:t xml:space="preserve">Proceedings of the Twelfth International Conference on Learning Representations</w:t>
      </w:r>
      <w:r>
        <w:t xml:space="preserve">.</w:t>
      </w:r>
    </w:p>
    <w:bookmarkEnd w:id="101"/>
    <w:bookmarkStart w:id="102" w:name="ref-kimi2025"/>
    <w:p>
      <w:pPr>
        <w:pStyle w:val="Bibliography"/>
      </w:pPr>
      <w:r>
        <w:t xml:space="preserve">Kimi Team. (2025).</w:t>
      </w:r>
      <w:r>
        <w:t xml:space="preserve"> </w:t>
      </w:r>
      <w:r>
        <w:rPr>
          <w:iCs/>
          <w:i/>
        </w:rPr>
        <w:t xml:space="preserve">Kimi</w:t>
      </w:r>
      <w:r>
        <w:rPr>
          <w:iCs/>
          <w:i/>
        </w:rPr>
        <w:t xml:space="preserve"> </w:t>
      </w:r>
      <w:r>
        <w:rPr>
          <w:iCs/>
          <w:i/>
        </w:rPr>
        <w:t xml:space="preserve">K2</w:t>
      </w:r>
      <w:r>
        <w:rPr>
          <w:iCs/>
          <w:i/>
        </w:rPr>
        <w:t xml:space="preserve">: A mixture-of-experts language model</w:t>
      </w:r>
      <w:r>
        <w:t xml:space="preserve">.</w:t>
      </w:r>
    </w:p>
    <w:bookmarkEnd w:id="102"/>
    <w:bookmarkStart w:id="103" w:name="ref-kimi2026"/>
    <w:p>
      <w:pPr>
        <w:pStyle w:val="Bibliography"/>
      </w:pPr>
      <w:r>
        <w:t xml:space="preserve">Kimi Team. (2026).</w:t>
      </w:r>
      <w:r>
        <w:t xml:space="preserve"> </w:t>
      </w:r>
      <w:r>
        <w:rPr>
          <w:iCs/>
          <w:i/>
        </w:rPr>
        <w:t xml:space="preserve">Kimi</w:t>
      </w:r>
      <w:r>
        <w:rPr>
          <w:iCs/>
          <w:i/>
        </w:rPr>
        <w:t xml:space="preserve"> </w:t>
      </w:r>
      <w:r>
        <w:rPr>
          <w:iCs/>
          <w:i/>
        </w:rPr>
        <w:t xml:space="preserve">K2.5</w:t>
      </w:r>
      <w:r>
        <w:rPr>
          <w:iCs/>
          <w:i/>
        </w:rPr>
        <w:t xml:space="preserve">: Scaling reinforcement learning beyond text</w:t>
      </w:r>
      <w:r>
        <w:t xml:space="preserve">.</w:t>
      </w:r>
    </w:p>
    <w:bookmarkEnd w:id="103"/>
    <w:bookmarkStart w:id="104" w:name="ref-li2023"/>
    <w:p>
      <w:pPr>
        <w:pStyle w:val="Bibliography"/>
      </w:pPr>
      <w:r>
        <w:t xml:space="preserve">Li, M., Zhao, Y., Yu, B., Song, F., Li, H., Yu, H., Li, Z., Huang, F., &amp; Li, Y. (2023).</w:t>
      </w:r>
      <w:r>
        <w:t xml:space="preserve"> </w:t>
      </w:r>
      <w:r>
        <w:t xml:space="preserve">API-Bank</w:t>
      </w:r>
      <w:r>
        <w:t xml:space="preserve">: A comprehensive benchmark for tool-augmented</w:t>
      </w:r>
      <w:r>
        <w:t xml:space="preserve"> </w:t>
      </w:r>
      <w:r>
        <w:t xml:space="preserve">LLMs</w:t>
      </w:r>
      <w:r>
        <w:t xml:space="preserve">.</w:t>
      </w:r>
      <w:r>
        <w:t xml:space="preserve"> </w:t>
      </w:r>
      <w:r>
        <w:rPr>
          <w:iCs/>
          <w:i/>
        </w:rPr>
        <w:t xml:space="preserve">Proceedings of the 2023 Conference on Empirical Methods in Natural Language Processing</w:t>
      </w:r>
      <w:r>
        <w:t xml:space="preserve">, 3102–3116.</w:t>
      </w:r>
    </w:p>
    <w:bookmarkEnd w:id="104"/>
    <w:bookmarkStart w:id="105" w:name="ref-lin2024"/>
    <w:p>
      <w:pPr>
        <w:pStyle w:val="Bibliography"/>
      </w:pPr>
      <w:r>
        <w:t xml:space="preserve">Lin, Y., Lin, H., Xiong, W., Diao, S., Liu, J., Zhang, J., Pan, R., Wang, H., Hu, W., Zhang, H., Dong, H., Pi, R., Zhao, H., Jiang, N., Ji, H., Yao, Y., &amp; Zhang, T. (2024). Mitigating the alignment tax of</w:t>
      </w:r>
      <w:r>
        <w:t xml:space="preserve"> </w:t>
      </w:r>
      <w:r>
        <w:t xml:space="preserve">RLHF</w:t>
      </w:r>
      <w:r>
        <w:t xml:space="preserve">.</w:t>
      </w:r>
      <w:r>
        <w:t xml:space="preserve"> </w:t>
      </w:r>
      <w:r>
        <w:rPr>
          <w:iCs/>
          <w:i/>
        </w:rPr>
        <w:t xml:space="preserve">Proceedings of the 2024 Conference on Empirical Methods in Natural Language Processing</w:t>
      </w:r>
      <w:r>
        <w:t xml:space="preserve">.</w:t>
      </w:r>
    </w:p>
    <w:bookmarkEnd w:id="105"/>
    <w:bookmarkStart w:id="106" w:name="ref-liu2023"/>
    <w:p>
      <w:pPr>
        <w:pStyle w:val="Bibliography"/>
      </w:pPr>
      <w:r>
        <w:t xml:space="preserve">Liu, X., Yu, H., Zhang, H., Xu, Y., Lei, X., Lai, H., Gu, Y., Ding, H., Men, K., Yang, K., Zhang, S., Deng, X., Zeng, A., Du, Z., Zhang, C., Shen, S., Zhang, T., Su, Y., Sun, H., … Tang, J. (2023).</w:t>
      </w:r>
      <w:r>
        <w:t xml:space="preserve"> </w:t>
      </w:r>
      <w:r>
        <w:t xml:space="preserve">AgentBench</w:t>
      </w:r>
      <w:r>
        <w:t xml:space="preserve">: Evaluating</w:t>
      </w:r>
      <w:r>
        <w:t xml:space="preserve"> </w:t>
      </w:r>
      <w:r>
        <w:t xml:space="preserve">LLMs</w:t>
      </w:r>
      <w:r>
        <w:t xml:space="preserve"> </w:t>
      </w:r>
      <w:r>
        <w:t xml:space="preserve">as agents.</w:t>
      </w:r>
      <w:r>
        <w:t xml:space="preserve"> </w:t>
      </w:r>
      <w:r>
        <w:rPr>
          <w:iCs/>
          <w:i/>
        </w:rPr>
        <w:t xml:space="preserve">Proceedings of the Twelfth International Conference on Learning Representations</w:t>
      </w:r>
      <w:r>
        <w:t xml:space="preserve">.</w:t>
      </w:r>
    </w:p>
    <w:bookmarkEnd w:id="106"/>
    <w:bookmarkStart w:id="108" w:name="ref-luo2023"/>
    <w:p>
      <w:pPr>
        <w:pStyle w:val="Bibliography"/>
      </w:pPr>
      <w:r>
        <w:t xml:space="preserve">Luo, Y., Yang, Z., Meng, F., Li, Y., &amp; Zhou, J. (2023).</w:t>
      </w:r>
      <w:r>
        <w:t xml:space="preserve"> </w:t>
      </w:r>
      <w:r>
        <w:rPr>
          <w:iCs/>
          <w:i/>
        </w:rPr>
        <w:t xml:space="preserve">An empirical study of catastrophic forgetting in large language models during continual fine-tuning</w:t>
      </w:r>
      <w:r>
        <w:t xml:space="preserve">.</w:t>
      </w:r>
      <w:r>
        <w:t xml:space="preserve"> </w:t>
      </w:r>
      <w:hyperlink r:id="rId107">
        <w:r>
          <w:rPr>
            <w:rStyle w:val="Hyperlink"/>
          </w:rPr>
          <w:t xml:space="preserve">https://arxiv.org/abs/2308.08747</w:t>
        </w:r>
      </w:hyperlink>
    </w:p>
    <w:bookmarkEnd w:id="108"/>
    <w:bookmarkStart w:id="109" w:name="ref-mialon2023"/>
    <w:p>
      <w:pPr>
        <w:pStyle w:val="Bibliography"/>
      </w:pPr>
      <w:r>
        <w:t xml:space="preserve">Mialon, G., Fourrier, C., Swift, C., Wolf, T., LeCun, Y., &amp; Scialom, T. (2023).</w:t>
      </w:r>
      <w:r>
        <w:t xml:space="preserve"> </w:t>
      </w:r>
      <w:r>
        <w:t xml:space="preserve">GAIA</w:t>
      </w:r>
      <w:r>
        <w:t xml:space="preserve">: A benchmark for general</w:t>
      </w:r>
      <w:r>
        <w:t xml:space="preserve"> </w:t>
      </w:r>
      <w:r>
        <w:t xml:space="preserve">AI</w:t>
      </w:r>
      <w:r>
        <w:t xml:space="preserve"> </w:t>
      </w:r>
      <w:r>
        <w:t xml:space="preserve">assistants.</w:t>
      </w:r>
      <w:r>
        <w:t xml:space="preserve"> </w:t>
      </w:r>
      <w:r>
        <w:rPr>
          <w:iCs/>
          <w:i/>
        </w:rPr>
        <w:t xml:space="preserve">Proceedings of the Twelfth International Conference on Learning Representations</w:t>
      </w:r>
      <w:r>
        <w:t xml:space="preserve">.</w:t>
      </w:r>
    </w:p>
    <w:bookmarkEnd w:id="109"/>
    <w:bookmarkStart w:id="111" w:name="ref-openai2023"/>
    <w:p>
      <w:pPr>
        <w:pStyle w:val="Bibliography"/>
      </w:pPr>
      <w:r>
        <w:t xml:space="preserve">OpenAI. (2023).</w:t>
      </w:r>
      <w:r>
        <w:t xml:space="preserve"> </w:t>
      </w:r>
      <w:r>
        <w:rPr>
          <w:iCs/>
          <w:i/>
        </w:rPr>
        <w:t xml:space="preserve">Function calling and other</w:t>
      </w:r>
      <w:r>
        <w:rPr>
          <w:iCs/>
          <w:i/>
        </w:rPr>
        <w:t xml:space="preserve"> </w:t>
      </w:r>
      <w:r>
        <w:rPr>
          <w:iCs/>
          <w:i/>
        </w:rPr>
        <w:t xml:space="preserve">API</w:t>
      </w:r>
      <w:r>
        <w:rPr>
          <w:iCs/>
          <w:i/>
        </w:rPr>
        <w:t xml:space="preserve"> </w:t>
      </w:r>
      <w:r>
        <w:rPr>
          <w:iCs/>
          <w:i/>
        </w:rPr>
        <w:t xml:space="preserve">updates</w:t>
      </w:r>
      <w:r>
        <w:t xml:space="preserve">.</w:t>
      </w:r>
      <w:r>
        <w:t xml:space="preserve"> </w:t>
      </w:r>
      <w:hyperlink r:id="rId110">
        <w:r>
          <w:rPr>
            <w:rStyle w:val="Hyperlink"/>
          </w:rPr>
          <w:t xml:space="preserve">https://openai.com/index/function-calling-and-other-api-updates/</w:t>
        </w:r>
      </w:hyperlink>
      <w:r>
        <w:t xml:space="preserve">.</w:t>
      </w:r>
    </w:p>
    <w:bookmarkEnd w:id="111"/>
    <w:bookmarkStart w:id="112" w:name="ref-ouyang2022"/>
    <w:p>
      <w:pPr>
        <w:pStyle w:val="Bibliography"/>
      </w:pPr>
      <w:r>
        <w:t xml:space="preserve">Ouyang, L., Wu, J., Jiang, X., Almeida, D., Wainwright, C. L., Mishkin, P., Zhang, C., Agarwal, S., Slama, K., Ray, A., Schulman, J., Hilton, J., Kelton, F., Miller, L., Simens, M., Askell, A., Welinder, P., Christiano, P., Leike, J., &amp; Lowe, R. (2022). Training language models to follow instructions with human feedback.</w:t>
      </w:r>
      <w:r>
        <w:t xml:space="preserve"> </w:t>
      </w:r>
      <w:r>
        <w:rPr>
          <w:iCs/>
          <w:i/>
        </w:rPr>
        <w:t xml:space="preserve">Advances in Neural Information Processing Systems</w:t>
      </w:r>
      <w:r>
        <w:t xml:space="preserve">,</w:t>
      </w:r>
      <w:r>
        <w:t xml:space="preserve"> </w:t>
      </w:r>
      <w:r>
        <w:rPr>
          <w:iCs/>
          <w:i/>
        </w:rPr>
        <w:t xml:space="preserve">35</w:t>
      </w:r>
      <w:r>
        <w:t xml:space="preserve">.</w:t>
      </w:r>
    </w:p>
    <w:bookmarkEnd w:id="112"/>
    <w:bookmarkStart w:id="113" w:name="ref-patil2023"/>
    <w:p>
      <w:pPr>
        <w:pStyle w:val="Bibliography"/>
      </w:pPr>
      <w:r>
        <w:t xml:space="preserve">Patil, S. G., Zhang, T., Wang, X., &amp; Gonzalez, J. E. (2023). Gorilla: Large language model connected with massive</w:t>
      </w:r>
      <w:r>
        <w:t xml:space="preserve"> </w:t>
      </w:r>
      <w:r>
        <w:t xml:space="preserve">APIs</w:t>
      </w:r>
      <w:r>
        <w:t xml:space="preserve">.</w:t>
      </w:r>
      <w:r>
        <w:t xml:space="preserve"> </w:t>
      </w:r>
      <w:r>
        <w:rPr>
          <w:iCs/>
          <w:i/>
        </w:rPr>
        <w:t xml:space="preserve">Advances in Neural Information Processing Systems</w:t>
      </w:r>
      <w:r>
        <w:t xml:space="preserve">,</w:t>
      </w:r>
      <w:r>
        <w:t xml:space="preserve"> </w:t>
      </w:r>
      <w:r>
        <w:rPr>
          <w:iCs/>
          <w:i/>
        </w:rPr>
        <w:t xml:space="preserve">37</w:t>
      </w:r>
      <w:r>
        <w:t xml:space="preserve">.</w:t>
      </w:r>
    </w:p>
    <w:bookmarkEnd w:id="113"/>
    <w:bookmarkStart w:id="114" w:name="ref-peffers2007"/>
    <w:p>
      <w:pPr>
        <w:pStyle w:val="Bibliography"/>
      </w:pPr>
      <w:r>
        <w:t xml:space="preserve">Peffers, K., Tuunanen, T., Rothenberger, M. A., &amp; Chatterjee, S. (2007). A design science research methodology for information systems research.</w:t>
      </w:r>
      <w:r>
        <w:t xml:space="preserve"> </w:t>
      </w:r>
      <w:r>
        <w:rPr>
          <w:iCs/>
          <w:i/>
        </w:rPr>
        <w:t xml:space="preserve">Journal of Management Information Systems</w:t>
      </w:r>
      <w:r>
        <w:t xml:space="preserve">,</w:t>
      </w:r>
      <w:r>
        <w:t xml:space="preserve"> </w:t>
      </w:r>
      <w:r>
        <w:rPr>
          <w:iCs/>
          <w:i/>
        </w:rPr>
        <w:t xml:space="preserve">24</w:t>
      </w:r>
      <w:r>
        <w:t xml:space="preserve">(3), 45–77.</w:t>
      </w:r>
    </w:p>
    <w:bookmarkEnd w:id="114"/>
    <w:bookmarkStart w:id="116" w:name="ref-pei2025"/>
    <w:p>
      <w:pPr>
        <w:pStyle w:val="Bibliography"/>
      </w:pPr>
      <w:r>
        <w:t xml:space="preserve">Pei, Z., Zhen, H.-L., Kai, S., Pan, S. J., Wang, Y., Yuan, M., &amp; Yu, B. (2025).</w:t>
      </w:r>
      <w:r>
        <w:t xml:space="preserve"> </w:t>
      </w:r>
      <w:r>
        <w:rPr>
          <w:iCs/>
          <w:i/>
        </w:rPr>
        <w:t xml:space="preserve">SCOPE</w:t>
      </w:r>
      <w:r>
        <w:rPr>
          <w:iCs/>
          <w:i/>
        </w:rPr>
        <w:t xml:space="preserve">: Self-evolving context optimization via prompt evolution</w:t>
      </w:r>
      <w:r>
        <w:t xml:space="preserve">.</w:t>
      </w:r>
      <w:r>
        <w:t xml:space="preserve"> </w:t>
      </w:r>
      <w:hyperlink r:id="rId115">
        <w:r>
          <w:rPr>
            <w:rStyle w:val="Hyperlink"/>
          </w:rPr>
          <w:t xml:space="preserve">https://arxiv.org/abs/2512.15374</w:t>
        </w:r>
      </w:hyperlink>
    </w:p>
    <w:bookmarkEnd w:id="116"/>
    <w:bookmarkStart w:id="117" w:name="ref-pryzant2023"/>
    <w:p>
      <w:pPr>
        <w:pStyle w:val="Bibliography"/>
      </w:pPr>
      <w:r>
        <w:t xml:space="preserve">Pryzant, R., Iter, D., Li, J., Lee, Y. T., Zhu, C., &amp; Zeng, M. (2023). Automatic prompt optimization with</w:t>
      </w:r>
      <w:r>
        <w:t xml:space="preserve"> </w:t>
      </w:r>
      <w:r>
        <w:t xml:space="preserve">“gradient descent”</w:t>
      </w:r>
      <w:r>
        <w:t xml:space="preserve"> </w:t>
      </w:r>
      <w:r>
        <w:t xml:space="preserve">and beam search.</w:t>
      </w:r>
      <w:r>
        <w:t xml:space="preserve"> </w:t>
      </w:r>
      <w:r>
        <w:rPr>
          <w:iCs/>
          <w:i/>
        </w:rPr>
        <w:t xml:space="preserve">Proceedings of the 2023 Conference on Empirical Methods in Natural Language Processing</w:t>
      </w:r>
      <w:r>
        <w:t xml:space="preserve">, 7957–7968.</w:t>
      </w:r>
    </w:p>
    <w:bookmarkEnd w:id="117"/>
    <w:bookmarkStart w:id="118" w:name="ref-qin2023"/>
    <w:p>
      <w:pPr>
        <w:pStyle w:val="Bibliography"/>
      </w:pPr>
      <w:r>
        <w:t xml:space="preserve">Qin, Y., Liang, S., Ye, Y., Zhu, K., Yan, L., Lu, Y., Lin, Y., Cong, X., Tang, X., Qian, B., Zhao, S., Tian, R., Xie, R., Zhou, J., Gerstein, M., Li, D., Liu, Z., &amp; Sun, M. (2023).</w:t>
      </w:r>
      <w:r>
        <w:t xml:space="preserve"> </w:t>
      </w:r>
      <w:r>
        <w:t xml:space="preserve">ToolLLM</w:t>
      </w:r>
      <w:r>
        <w:t xml:space="preserve">: Facilitating large language models to master 16000+ real-world</w:t>
      </w:r>
      <w:r>
        <w:t xml:space="preserve"> </w:t>
      </w:r>
      <w:r>
        <w:t xml:space="preserve">APIs</w:t>
      </w:r>
      <w:r>
        <w:t xml:space="preserve">.</w:t>
      </w:r>
      <w:r>
        <w:t xml:space="preserve"> </w:t>
      </w:r>
      <w:r>
        <w:rPr>
          <w:iCs/>
          <w:i/>
        </w:rPr>
        <w:t xml:space="preserve">Proceedings of the Twelfth International Conference on Learning Representations</w:t>
      </w:r>
      <w:r>
        <w:t xml:space="preserve">.</w:t>
      </w:r>
    </w:p>
    <w:bookmarkEnd w:id="118"/>
    <w:bookmarkStart w:id="120" w:name="ref-qwen2025"/>
    <w:p>
      <w:pPr>
        <w:pStyle w:val="Bibliography"/>
      </w:pPr>
      <w:r>
        <w:t xml:space="preserve">Qwen Team. (2025).</w:t>
      </w:r>
      <w:r>
        <w:t xml:space="preserve"> </w:t>
      </w:r>
      <w:r>
        <w:rPr>
          <w:iCs/>
          <w:i/>
        </w:rPr>
        <w:t xml:space="preserve">Qwen3 technical report</w:t>
      </w:r>
      <w:r>
        <w:t xml:space="preserve">.</w:t>
      </w:r>
      <w:r>
        <w:t xml:space="preserve"> </w:t>
      </w:r>
      <w:hyperlink r:id="rId119">
        <w:r>
          <w:rPr>
            <w:rStyle w:val="Hyperlink"/>
          </w:rPr>
          <w:t xml:space="preserve">https://arxiv.org/abs/2505.09388</w:t>
        </w:r>
      </w:hyperlink>
    </w:p>
    <w:bookmarkEnd w:id="120"/>
    <w:bookmarkStart w:id="122" w:name="ref-rabanser2025"/>
    <w:p>
      <w:pPr>
        <w:pStyle w:val="Bibliography"/>
      </w:pPr>
      <w:r>
        <w:t xml:space="preserve">Rabanser, S., Kapoor, S., Kirgis, P., Liu, K., Utpala, S., &amp; Narayanan, A. (2025).</w:t>
      </w:r>
      <w:r>
        <w:t xml:space="preserve"> </w:t>
      </w:r>
      <w:r>
        <w:rPr>
          <w:iCs/>
          <w:i/>
        </w:rPr>
        <w:t xml:space="preserve">Towards a science of</w:t>
      </w:r>
      <w:r>
        <w:rPr>
          <w:iCs/>
          <w:i/>
        </w:rPr>
        <w:t xml:space="preserve"> </w:t>
      </w:r>
      <w:r>
        <w:rPr>
          <w:iCs/>
          <w:i/>
        </w:rPr>
        <w:t xml:space="preserve">AI</w:t>
      </w:r>
      <w:r>
        <w:rPr>
          <w:iCs/>
          <w:i/>
        </w:rPr>
        <w:t xml:space="preserve"> </w:t>
      </w:r>
      <w:r>
        <w:rPr>
          <w:iCs/>
          <w:i/>
        </w:rPr>
        <w:t xml:space="preserve">agent reliability</w:t>
      </w:r>
      <w:r>
        <w:t xml:space="preserve">.</w:t>
      </w:r>
      <w:r>
        <w:t xml:space="preserve"> </w:t>
      </w:r>
      <w:hyperlink r:id="rId121">
        <w:r>
          <w:rPr>
            <w:rStyle w:val="Hyperlink"/>
          </w:rPr>
          <w:t xml:space="preserve">https://arxiv.org/abs/2602.16666</w:t>
        </w:r>
      </w:hyperlink>
    </w:p>
    <w:bookmarkEnd w:id="122"/>
    <w:bookmarkStart w:id="123" w:name="ref-rafailov2023"/>
    <w:p>
      <w:pPr>
        <w:pStyle w:val="Bibliography"/>
      </w:pPr>
      <w:r>
        <w:t xml:space="preserve">Rafailov, R., Sharma, A., Mitchell, E., Manning, C. D., Ermon, S., &amp; Finn, C. (2023). Direct preference optimization: Your language model is secretly a reward model.</w:t>
      </w:r>
      <w:r>
        <w:t xml:space="preserve"> </w:t>
      </w:r>
      <w:r>
        <w:rPr>
          <w:iCs/>
          <w:i/>
        </w:rPr>
        <w:t xml:space="preserve">Advances in Neural Information Processing Systems</w:t>
      </w:r>
      <w:r>
        <w:t xml:space="preserve">,</w:t>
      </w:r>
      <w:r>
        <w:t xml:space="preserve"> </w:t>
      </w:r>
      <w:r>
        <w:rPr>
          <w:iCs/>
          <w:i/>
        </w:rPr>
        <w:t xml:space="preserve">36</w:t>
      </w:r>
      <w:r>
        <w:t xml:space="preserve">.</w:t>
      </w:r>
    </w:p>
    <w:bookmarkEnd w:id="123"/>
    <w:bookmarkStart w:id="125" w:name="ref-sanh2019"/>
    <w:p>
      <w:pPr>
        <w:pStyle w:val="Bibliography"/>
      </w:pPr>
      <w:r>
        <w:t xml:space="preserve">Sanh, V., Debut, L., Chaumond, J., &amp; Wolf, T. (2019).</w:t>
      </w:r>
      <w:r>
        <w:t xml:space="preserve"> </w:t>
      </w:r>
      <w:r>
        <w:rPr>
          <w:iCs/>
          <w:i/>
        </w:rPr>
        <w:t xml:space="preserve">DistilBERT</w:t>
      </w:r>
      <w:r>
        <w:rPr>
          <w:iCs/>
          <w:i/>
        </w:rPr>
        <w:t xml:space="preserve">, a distilled version of</w:t>
      </w:r>
      <w:r>
        <w:rPr>
          <w:iCs/>
          <w:i/>
        </w:rPr>
        <w:t xml:space="preserve"> </w:t>
      </w:r>
      <w:r>
        <w:rPr>
          <w:iCs/>
          <w:i/>
        </w:rPr>
        <w:t xml:space="preserve">BERT</w:t>
      </w:r>
      <w:r>
        <w:rPr>
          <w:iCs/>
          <w:i/>
        </w:rPr>
        <w:t xml:space="preserve">: Smaller, faster, cheaper and lighter</w:t>
      </w:r>
      <w:r>
        <w:t xml:space="preserve">.</w:t>
      </w:r>
      <w:r>
        <w:t xml:space="preserve"> </w:t>
      </w:r>
      <w:hyperlink r:id="rId124">
        <w:r>
          <w:rPr>
            <w:rStyle w:val="Hyperlink"/>
          </w:rPr>
          <w:t xml:space="preserve">https://arxiv.org/abs/1910.01108</w:t>
        </w:r>
      </w:hyperlink>
    </w:p>
    <w:bookmarkEnd w:id="125"/>
    <w:bookmarkStart w:id="126" w:name="ref-schick2023"/>
    <w:p>
      <w:pPr>
        <w:pStyle w:val="Bibliography"/>
      </w:pPr>
      <w:r>
        <w:t xml:space="preserve">Schick, T., Dwivedi-Yu, J., Dessì, R., Raileanu, R., Lomeli, M., Hambro, E., Zettlemoyer, L., Cancedda, N., &amp; Scialom, T. (2023). Toolformer: Language models can teach themselves to use tools.</w:t>
      </w:r>
      <w:r>
        <w:t xml:space="preserve"> </w:t>
      </w:r>
      <w:r>
        <w:rPr>
          <w:iCs/>
          <w:i/>
        </w:rPr>
        <w:t xml:space="preserve">Advances in Neural Information Processing Systems</w:t>
      </w:r>
      <w:r>
        <w:t xml:space="preserve">,</w:t>
      </w:r>
      <w:r>
        <w:t xml:space="preserve"> </w:t>
      </w:r>
      <w:r>
        <w:rPr>
          <w:iCs/>
          <w:i/>
        </w:rPr>
        <w:t xml:space="preserve">36</w:t>
      </w:r>
      <w:r>
        <w:t xml:space="preserve">.</w:t>
      </w:r>
    </w:p>
    <w:bookmarkEnd w:id="126"/>
    <w:bookmarkStart w:id="127" w:name="ref-sclar2023"/>
    <w:p>
      <w:pPr>
        <w:pStyle w:val="Bibliography"/>
      </w:pPr>
      <w:r>
        <w:t xml:space="preserve">Sclar, M., Choi, Y., Tsvetkov, Y., &amp; Suhr, A. (2023). Quantifying language models’ sensitivity to spurious features in prompt design.</w:t>
      </w:r>
      <w:r>
        <w:t xml:space="preserve"> </w:t>
      </w:r>
      <w:r>
        <w:rPr>
          <w:iCs/>
          <w:i/>
        </w:rPr>
        <w:t xml:space="preserve">Proceedings of the Twelfth International Conference on Learning Representations</w:t>
      </w:r>
      <w:r>
        <w:t xml:space="preserve">.</w:t>
      </w:r>
    </w:p>
    <w:bookmarkEnd w:id="127"/>
    <w:bookmarkStart w:id="128" w:name="ref-shinn2023"/>
    <w:p>
      <w:pPr>
        <w:pStyle w:val="Bibliography"/>
      </w:pPr>
      <w:r>
        <w:t xml:space="preserve">Shinn, N., Cassano, F., Gopinath, A., Narasimhan, K., &amp; Yao, S. (2023). Reflexion: Language agents with verbal reinforcement learning.</w:t>
      </w:r>
      <w:r>
        <w:t xml:space="preserve"> </w:t>
      </w:r>
      <w:r>
        <w:rPr>
          <w:iCs/>
          <w:i/>
        </w:rPr>
        <w:t xml:space="preserve">Advances in Neural Information Processing Systems</w:t>
      </w:r>
      <w:r>
        <w:t xml:space="preserve">,</w:t>
      </w:r>
      <w:r>
        <w:t xml:space="preserve"> </w:t>
      </w:r>
      <w:r>
        <w:rPr>
          <w:iCs/>
          <w:i/>
        </w:rPr>
        <w:t xml:space="preserve">36</w:t>
      </w:r>
      <w:r>
        <w:t xml:space="preserve">.</w:t>
      </w:r>
    </w:p>
    <w:bookmarkEnd w:id="128"/>
    <w:bookmarkStart w:id="129" w:name="ref-taori2023"/>
    <w:p>
      <w:pPr>
        <w:pStyle w:val="Bibliography"/>
      </w:pPr>
      <w:r>
        <w:t xml:space="preserve">Taori, R., Gulrajani, I., Zhang, T., Dubois, Y., Li, X., Guestrin, C., Liang, P., &amp; Hashimoto, T. B. (2023).</w:t>
      </w:r>
      <w:r>
        <w:t xml:space="preserve"> </w:t>
      </w:r>
      <w:r>
        <w:rPr>
          <w:iCs/>
          <w:i/>
        </w:rPr>
        <w:t xml:space="preserve">Stanford</w:t>
      </w:r>
      <w:r>
        <w:rPr>
          <w:iCs/>
          <w:i/>
        </w:rPr>
        <w:t xml:space="preserve"> </w:t>
      </w:r>
      <w:r>
        <w:rPr>
          <w:iCs/>
          <w:i/>
        </w:rPr>
        <w:t xml:space="preserve">Alpaca</w:t>
      </w:r>
      <w:r>
        <w:rPr>
          <w:iCs/>
          <w:i/>
        </w:rPr>
        <w:t xml:space="preserve">: An instruction-following</w:t>
      </w:r>
      <w:r>
        <w:rPr>
          <w:iCs/>
          <w:i/>
        </w:rPr>
        <w:t xml:space="preserve"> </w:t>
      </w:r>
      <w:r>
        <w:rPr>
          <w:iCs/>
          <w:i/>
        </w:rPr>
        <w:t xml:space="preserve">LLaMA</w:t>
      </w:r>
      <w:r>
        <w:rPr>
          <w:iCs/>
          <w:i/>
        </w:rPr>
        <w:t xml:space="preserve"> </w:t>
      </w:r>
      <w:r>
        <w:rPr>
          <w:iCs/>
          <w:i/>
        </w:rPr>
        <w:t xml:space="preserve">model</w:t>
      </w:r>
      <w:r>
        <w:t xml:space="preserve">. Stanford CRFM.</w:t>
      </w:r>
    </w:p>
    <w:bookmarkEnd w:id="129"/>
    <w:bookmarkStart w:id="130" w:name="ref-vu2022"/>
    <w:p>
      <w:pPr>
        <w:pStyle w:val="Bibliography"/>
      </w:pPr>
      <w:r>
        <w:t xml:space="preserve">Vu, T., Lester, B., Constant, N., Al-Rfou, R., &amp; Cer, D. (2022).</w:t>
      </w:r>
      <w:r>
        <w:t xml:space="preserve"> </w:t>
      </w:r>
      <w:r>
        <w:t xml:space="preserve">SPoT</w:t>
      </w:r>
      <w:r>
        <w:t xml:space="preserve">: Better frozen model adaptation through soft prompt transfer.</w:t>
      </w:r>
      <w:r>
        <w:t xml:space="preserve"> </w:t>
      </w:r>
      <w:r>
        <w:rPr>
          <w:iCs/>
          <w:i/>
        </w:rPr>
        <w:t xml:space="preserve">Proceedings of the 60th Annual Meeting of the Association for Computational Linguistics</w:t>
      </w:r>
      <w:r>
        <w:t xml:space="preserve">, 5286–5300.</w:t>
      </w:r>
    </w:p>
    <w:bookmarkEnd w:id="130"/>
    <w:bookmarkStart w:id="131" w:name="ref-wang2023"/>
    <w:p>
      <w:pPr>
        <w:pStyle w:val="Bibliography"/>
      </w:pPr>
      <w:r>
        <w:t xml:space="preserve">Wang, Y., Kordi, Y., Mishra, S., Liu, A., Smith, N. A., Khashabi, D., &amp; Hajishirzi, H. (2023). Self-instruct: Aligning language models with self-generated instructions.</w:t>
      </w:r>
      <w:r>
        <w:t xml:space="preserve"> </w:t>
      </w:r>
      <w:r>
        <w:rPr>
          <w:iCs/>
          <w:i/>
        </w:rPr>
        <w:t xml:space="preserve">Proceedings of the 61st Annual Meeting of the Association for Computational Linguistics</w:t>
      </w:r>
      <w:r>
        <w:t xml:space="preserve">, 13484–13508.</w:t>
      </w:r>
    </w:p>
    <w:bookmarkEnd w:id="131"/>
    <w:bookmarkStart w:id="132" w:name="ref-wei2022"/>
    <w:p>
      <w:pPr>
        <w:pStyle w:val="Bibliography"/>
      </w:pPr>
      <w:r>
        <w:t xml:space="preserve">Wei, J., Wang, X., Schuurmans, D., Bosma, M., Ichter, B., Xia, F., Chi, E., Le, Q. V., &amp; Zhou, D. (2022). Chain-of-thought prompting elicits reasoning in large language models.</w:t>
      </w:r>
      <w:r>
        <w:t xml:space="preserve"> </w:t>
      </w:r>
      <w:r>
        <w:rPr>
          <w:iCs/>
          <w:i/>
        </w:rPr>
        <w:t xml:space="preserve">Advances in Neural Information Processing Systems</w:t>
      </w:r>
      <w:r>
        <w:t xml:space="preserve">,</w:t>
      </w:r>
      <w:r>
        <w:t xml:space="preserve"> </w:t>
      </w:r>
      <w:r>
        <w:rPr>
          <w:iCs/>
          <w:i/>
        </w:rPr>
        <w:t xml:space="preserve">35</w:t>
      </w:r>
      <w:r>
        <w:t xml:space="preserve">.</w:t>
      </w:r>
    </w:p>
    <w:bookmarkEnd w:id="132"/>
    <w:bookmarkStart w:id="134" w:name="ref-willard2023"/>
    <w:p>
      <w:pPr>
        <w:pStyle w:val="Bibliography"/>
      </w:pPr>
      <w:r>
        <w:t xml:space="preserve">Willard, B. T., &amp; Louf, R. (2023).</w:t>
      </w:r>
      <w:r>
        <w:t xml:space="preserve"> </w:t>
      </w:r>
      <w:r>
        <w:rPr>
          <w:iCs/>
          <w:i/>
        </w:rPr>
        <w:t xml:space="preserve">Efficient guided generation for large language models</w:t>
      </w:r>
      <w:r>
        <w:t xml:space="preserve">.</w:t>
      </w:r>
      <w:r>
        <w:t xml:space="preserve"> </w:t>
      </w:r>
      <w:hyperlink r:id="rId133">
        <w:r>
          <w:rPr>
            <w:rStyle w:val="Hyperlink"/>
          </w:rPr>
          <w:t xml:space="preserve">https://arxiv.org/abs/2307.09702</w:t>
        </w:r>
      </w:hyperlink>
    </w:p>
    <w:bookmarkEnd w:id="134"/>
    <w:bookmarkStart w:id="136" w:name="ref-wornow2024"/>
    <w:p>
      <w:pPr>
        <w:pStyle w:val="Bibliography"/>
      </w:pPr>
      <w:r>
        <w:t xml:space="preserve">Wornow, M., Thapa, R., Kannan, A., Blankemeier, L., Narayan, A., Bandyopadhyay, N., Steinberg, E., Agrawal, M., Amatya, S., Fries, J. A., Shah, N. H., Leskovec, J., &amp; Callahan, A. (2024).</w:t>
      </w:r>
      <w:r>
        <w:t xml:space="preserve"> </w:t>
      </w:r>
      <w:r>
        <w:rPr>
          <w:iCs/>
          <w:i/>
        </w:rPr>
        <w:t xml:space="preserve">Do multimodal foundation models understand enterprise workflows?</w:t>
      </w:r>
      <w:r>
        <w:rPr>
          <w:iCs/>
          <w:i/>
        </w:rPr>
        <w:t xml:space="preserve"> </w:t>
      </w:r>
      <w:r>
        <w:rPr>
          <w:iCs/>
          <w:i/>
        </w:rPr>
        <w:t xml:space="preserve">A</w:t>
      </w:r>
      <w:r>
        <w:rPr>
          <w:iCs/>
          <w:i/>
        </w:rPr>
        <w:t xml:space="preserve"> </w:t>
      </w:r>
      <w:r>
        <w:rPr>
          <w:iCs/>
          <w:i/>
        </w:rPr>
        <w:t xml:space="preserve">benchmark for business process management tasks</w:t>
      </w:r>
      <w:r>
        <w:t xml:space="preserve">.</w:t>
      </w:r>
      <w:r>
        <w:t xml:space="preserve"> </w:t>
      </w:r>
      <w:hyperlink r:id="rId135">
        <w:r>
          <w:rPr>
            <w:rStyle w:val="Hyperlink"/>
          </w:rPr>
          <w:t xml:space="preserve">https://arxiv.org/abs/2404.01916</w:t>
        </w:r>
      </w:hyperlink>
    </w:p>
    <w:bookmarkEnd w:id="136"/>
    <w:bookmarkStart w:id="137" w:name="ref-wu2024"/>
    <w:p>
      <w:pPr>
        <w:pStyle w:val="Bibliography"/>
      </w:pPr>
      <w:r>
        <w:t xml:space="preserve">Wu, S., Zhao, S., Huang, Q., Huang, K., Yasunaga, M., Cao, K., Ioannidis, V. N., Subbian, K., Leskovec, J., &amp; Zou, J. (2024).</w:t>
      </w:r>
      <w:r>
        <w:t xml:space="preserve"> </w:t>
      </w:r>
      <w:r>
        <w:t xml:space="preserve">AvaTaR</w:t>
      </w:r>
      <w:r>
        <w:t xml:space="preserve">: Optimizing</w:t>
      </w:r>
      <w:r>
        <w:t xml:space="preserve"> </w:t>
      </w:r>
      <w:r>
        <w:t xml:space="preserve">LLM</w:t>
      </w:r>
      <w:r>
        <w:t xml:space="preserve"> </w:t>
      </w:r>
      <w:r>
        <w:t xml:space="preserve">agents for tool-assisted knowledge retrieval.</w:t>
      </w:r>
      <w:r>
        <w:t xml:space="preserve"> </w:t>
      </w:r>
      <w:r>
        <w:rPr>
          <w:iCs/>
          <w:i/>
        </w:rPr>
        <w:t xml:space="preserve">Advances in Neural Information Processing Systems</w:t>
      </w:r>
      <w:r>
        <w:t xml:space="preserve">,</w:t>
      </w:r>
      <w:r>
        <w:t xml:space="preserve"> </w:t>
      </w:r>
      <w:r>
        <w:rPr>
          <w:iCs/>
          <w:i/>
        </w:rPr>
        <w:t xml:space="preserve">37</w:t>
      </w:r>
      <w:r>
        <w:t xml:space="preserve">.</w:t>
      </w:r>
    </w:p>
    <w:bookmarkEnd w:id="137"/>
    <w:bookmarkStart w:id="139" w:name="ref-xu2023wizard"/>
    <w:p>
      <w:pPr>
        <w:pStyle w:val="Bibliography"/>
      </w:pPr>
      <w:r>
        <w:t xml:space="preserve">Xu, C., Sun, Q., Zheng, K., Geng, X., Zhao, P., Feng, J., Tao, C., &amp; Jiang, D. (2023).</w:t>
      </w:r>
      <w:r>
        <w:t xml:space="preserve"> </w:t>
      </w:r>
      <w:r>
        <w:rPr>
          <w:iCs/>
          <w:i/>
        </w:rPr>
        <w:t xml:space="preserve">WizardLM</w:t>
      </w:r>
      <w:r>
        <w:rPr>
          <w:iCs/>
          <w:i/>
        </w:rPr>
        <w:t xml:space="preserve">: Empowering large language models to follow complex instructions</w:t>
      </w:r>
      <w:r>
        <w:t xml:space="preserve">.</w:t>
      </w:r>
      <w:r>
        <w:t xml:space="preserve"> </w:t>
      </w:r>
      <w:hyperlink r:id="rId138">
        <w:r>
          <w:rPr>
            <w:rStyle w:val="Hyperlink"/>
          </w:rPr>
          <w:t xml:space="preserve">https://arxiv.org/abs/2304.12244</w:t>
        </w:r>
      </w:hyperlink>
    </w:p>
    <w:bookmarkEnd w:id="139"/>
    <w:bookmarkStart w:id="140" w:name="ref-xu2023tool"/>
    <w:p>
      <w:pPr>
        <w:pStyle w:val="Bibliography"/>
      </w:pPr>
      <w:r>
        <w:t xml:space="preserve">Xu, Q., Hong, F., Li, B., Hu, C., Chen, Z., &amp; Zhang, J. (2023). On the tool manipulation capability of open-source large language models.</w:t>
      </w:r>
      <w:r>
        <w:t xml:space="preserve"> </w:t>
      </w:r>
      <w:r>
        <w:rPr>
          <w:iCs/>
          <w:i/>
        </w:rPr>
        <w:t xml:space="preserve">Proceedings of the 2023 Conference on Empirical Methods in Natural Language Processing</w:t>
      </w:r>
      <w:r>
        <w:t xml:space="preserve">.</w:t>
      </w:r>
    </w:p>
    <w:bookmarkEnd w:id="140"/>
    <w:bookmarkStart w:id="141" w:name="ref-yang2023"/>
    <w:p>
      <w:pPr>
        <w:pStyle w:val="Bibliography"/>
      </w:pPr>
      <w:r>
        <w:t xml:space="preserve">Yang, C., Wang, X., Lu, Y., Liu, H., Le, Q. V., Zhou, D., &amp; Chen, X. (2023). Large language models as optimizers.</w:t>
      </w:r>
      <w:r>
        <w:t xml:space="preserve"> </w:t>
      </w:r>
      <w:r>
        <w:rPr>
          <w:iCs/>
          <w:i/>
        </w:rPr>
        <w:t xml:space="preserve">Proceedings of the Twelfth International Conference on Learning Representations</w:t>
      </w:r>
      <w:r>
        <w:t xml:space="preserve">.</w:t>
      </w:r>
    </w:p>
    <w:bookmarkEnd w:id="141"/>
    <w:bookmarkStart w:id="143" w:name="ref-yao2024"/>
    <w:p>
      <w:pPr>
        <w:pStyle w:val="Bibliography"/>
      </w:pPr>
      <w:r>
        <w:t xml:space="preserve">Yao, S., Shinn, N., Razavi, P., &amp; Narasimhan, K. (2024).</w:t>
      </w:r>
      <w:r>
        <w:t xml:space="preserve"> </w:t>
      </w:r>
      <m:oMath>
        <m:r>
          <m:t>τ</m:t>
        </m:r>
      </m:oMath>
      <w:r>
        <w:rPr>
          <w:iCs/>
          <w:i/>
        </w:rPr>
        <w:t xml:space="preserve">-bench: A benchmark for tool-agent-user interaction in real-world domains</w:t>
      </w:r>
      <w:r>
        <w:t xml:space="preserve">.</w:t>
      </w:r>
      <w:r>
        <w:t xml:space="preserve"> </w:t>
      </w:r>
      <w:hyperlink r:id="rId142">
        <w:r>
          <w:rPr>
            <w:rStyle w:val="Hyperlink"/>
          </w:rPr>
          <w:t xml:space="preserve">https://arxiv.org/abs/2406.12045</w:t>
        </w:r>
      </w:hyperlink>
    </w:p>
    <w:bookmarkEnd w:id="143"/>
    <w:bookmarkStart w:id="144" w:name="ref-yao2023tot"/>
    <w:p>
      <w:pPr>
        <w:pStyle w:val="Bibliography"/>
      </w:pPr>
      <w:r>
        <w:t xml:space="preserve">Yao, S., Yu, D., Zhao, J., Shafran, I., Griffiths, T. L., Cao, Y., &amp; Narasimhan, K. (2023). Tree of thoughts: Deliberate problem solving with large language models.</w:t>
      </w:r>
      <w:r>
        <w:t xml:space="preserve"> </w:t>
      </w:r>
      <w:r>
        <w:rPr>
          <w:iCs/>
          <w:i/>
        </w:rPr>
        <w:t xml:space="preserve">Advances in Neural Information Processing Systems</w:t>
      </w:r>
      <w:r>
        <w:t xml:space="preserve">,</w:t>
      </w:r>
      <w:r>
        <w:t xml:space="preserve"> </w:t>
      </w:r>
      <w:r>
        <w:rPr>
          <w:iCs/>
          <w:i/>
        </w:rPr>
        <w:t xml:space="preserve">36</w:t>
      </w:r>
      <w:r>
        <w:t xml:space="preserve">.</w:t>
      </w:r>
    </w:p>
    <w:bookmarkEnd w:id="144"/>
    <w:bookmarkStart w:id="145" w:name="ref-yao2023react"/>
    <w:p>
      <w:pPr>
        <w:pStyle w:val="Bibliography"/>
      </w:pPr>
      <w:r>
        <w:t xml:space="preserve">Yao, S., Zhao, J., Yu, D., Du, N., Shafran, I., Narasimhan, K., &amp; Cao, Y. (2023).</w:t>
      </w:r>
      <w:r>
        <w:t xml:space="preserve"> </w:t>
      </w:r>
      <w:r>
        <w:t xml:space="preserve">ReAct</w:t>
      </w:r>
      <w:r>
        <w:t xml:space="preserve">: Synergizing reasoning and acting in language models.</w:t>
      </w:r>
      <w:r>
        <w:t xml:space="preserve"> </w:t>
      </w:r>
      <w:r>
        <w:rPr>
          <w:iCs/>
          <w:i/>
        </w:rPr>
        <w:t xml:space="preserve">Proceedings of the Eleventh International Conference on Learning Representations</w:t>
      </w:r>
      <w:r>
        <w:t xml:space="preserve">.</w:t>
      </w:r>
    </w:p>
    <w:bookmarkEnd w:id="145"/>
    <w:bookmarkStart w:id="146" w:name="ref-yuksekgonul2024"/>
    <w:p>
      <w:pPr>
        <w:pStyle w:val="Bibliography"/>
      </w:pPr>
      <w:r>
        <w:t xml:space="preserve">Yuksekgonul, M., Bianchi, F., Boen, J., Liu, S., Huang, Z., Guestrin, C., &amp; Zou, J. (2024).</w:t>
      </w:r>
      <w:r>
        <w:t xml:space="preserve"> </w:t>
      </w:r>
      <w:r>
        <w:t xml:space="preserve">TextGrad</w:t>
      </w:r>
      <w:r>
        <w:t xml:space="preserve">: Automatic</w:t>
      </w:r>
      <w:r>
        <w:t xml:space="preserve"> </w:t>
      </w:r>
      <w:r>
        <w:t xml:space="preserve">“differentiation”</w:t>
      </w:r>
      <w:r>
        <w:t xml:space="preserve"> </w:t>
      </w:r>
      <w:r>
        <w:t xml:space="preserve">via text.</w:t>
      </w:r>
      <w:r>
        <w:t xml:space="preserve"> </w:t>
      </w:r>
      <w:r>
        <w:rPr>
          <w:iCs/>
          <w:i/>
        </w:rPr>
        <w:t xml:space="preserve">Advances in Neural Information Processing Systems</w:t>
      </w:r>
      <w:r>
        <w:t xml:space="preserve">,</w:t>
      </w:r>
      <w:r>
        <w:t xml:space="preserve"> </w:t>
      </w:r>
      <w:r>
        <w:rPr>
          <w:iCs/>
          <w:i/>
        </w:rPr>
        <w:t xml:space="preserve">37</w:t>
      </w:r>
      <w:r>
        <w:t xml:space="preserve">.</w:t>
      </w:r>
    </w:p>
    <w:bookmarkEnd w:id="146"/>
    <w:bookmarkStart w:id="148" w:name="ref-zhang2024"/>
    <w:p>
      <w:pPr>
        <w:pStyle w:val="Bibliography"/>
      </w:pPr>
      <w:r>
        <w:t xml:space="preserve">Zhang, S., Zhang, J., Liu, J., Liu, L., Peng, H., Li, L., Shen, Y., &amp; Wang, C. (2024).</w:t>
      </w:r>
      <w:r>
        <w:t xml:space="preserve"> </w:t>
      </w:r>
      <w:r>
        <w:rPr>
          <w:iCs/>
          <w:i/>
        </w:rPr>
        <w:t xml:space="preserve">AgentOptimizer</w:t>
      </w:r>
      <w:r>
        <w:rPr>
          <w:iCs/>
          <w:i/>
        </w:rPr>
        <w:t xml:space="preserve">: Offline training of language model agents with functions as learnable weights</w:t>
      </w:r>
      <w:r>
        <w:t xml:space="preserve">.</w:t>
      </w:r>
      <w:r>
        <w:t xml:space="preserve"> </w:t>
      </w:r>
      <w:hyperlink r:id="rId147">
        <w:r>
          <w:rPr>
            <w:rStyle w:val="Hyperlink"/>
          </w:rPr>
          <w:t xml:space="preserve">https://arxiv.org/abs/2402.11359</w:t>
        </w:r>
      </w:hyperlink>
    </w:p>
    <w:bookmarkEnd w:id="148"/>
    <w:bookmarkStart w:id="149" w:name="ref-zheng2023"/>
    <w:p>
      <w:pPr>
        <w:pStyle w:val="Bibliography"/>
      </w:pPr>
      <w:r>
        <w:t xml:space="preserve">Zheng, L., Chiang, W.-L., Sheng, Y., Zhuang, S., Wu, Z., Zhuang, Y., Lin, Z., Li, Z., Li, D., Xing, E. P., Zhang, H., Gonzalez, J. E., &amp; Stoica, I. (2023). Judging</w:t>
      </w:r>
      <w:r>
        <w:t xml:space="preserve"> </w:t>
      </w:r>
      <w:r>
        <w:t xml:space="preserve">LLM</w:t>
      </w:r>
      <w:r>
        <w:t xml:space="preserve">-as-a-judge with</w:t>
      </w:r>
      <w:r>
        <w:t xml:space="preserve"> </w:t>
      </w:r>
      <w:r>
        <w:t xml:space="preserve">MT-Bench</w:t>
      </w:r>
      <w:r>
        <w:t xml:space="preserve"> </w:t>
      </w:r>
      <w:r>
        <w:t xml:space="preserve">and</w:t>
      </w:r>
      <w:r>
        <w:t xml:space="preserve"> </w:t>
      </w:r>
      <w:r>
        <w:t xml:space="preserve">Chatbot Arena</w:t>
      </w:r>
      <w:r>
        <w:t xml:space="preserve">.</w:t>
      </w:r>
      <w:r>
        <w:t xml:space="preserve"> </w:t>
      </w:r>
      <w:r>
        <w:rPr>
          <w:iCs/>
          <w:i/>
        </w:rPr>
        <w:t xml:space="preserve">Advances in Neural Information Processing Systems</w:t>
      </w:r>
      <w:r>
        <w:t xml:space="preserve">,</w:t>
      </w:r>
      <w:r>
        <w:t xml:space="preserve"> </w:t>
      </w:r>
      <w:r>
        <w:rPr>
          <w:iCs/>
          <w:i/>
        </w:rPr>
        <w:t xml:space="preserve">36</w:t>
      </w:r>
      <w:r>
        <w:t xml:space="preserve">.</w:t>
      </w:r>
    </w:p>
    <w:bookmarkEnd w:id="149"/>
    <w:bookmarkStart w:id="150" w:name="ref-zhou2023lima"/>
    <w:p>
      <w:pPr>
        <w:pStyle w:val="Bibliography"/>
      </w:pPr>
      <w:r>
        <w:t xml:space="preserve">Zhou, C., Liu, P., Xu, P., Iyer, S., Sun, J., Mao, Y., Ma, X., Efrat, A., Yu, P., Yu, L., Zhang, S., Ghosh, G., Lewis, M., Zettlemoyer, L., &amp; Levy, O. (2023).</w:t>
      </w:r>
      <w:r>
        <w:t xml:space="preserve"> </w:t>
      </w:r>
      <w:r>
        <w:t xml:space="preserve">LIMA</w:t>
      </w:r>
      <w:r>
        <w:t xml:space="preserve">: Less is more for alignment.</w:t>
      </w:r>
      <w:r>
        <w:t xml:space="preserve"> </w:t>
      </w:r>
      <w:r>
        <w:rPr>
          <w:iCs/>
          <w:i/>
        </w:rPr>
        <w:t xml:space="preserve">Advances in Neural Information Processing Systems</w:t>
      </w:r>
      <w:r>
        <w:t xml:space="preserve">,</w:t>
      </w:r>
      <w:r>
        <w:t xml:space="preserve"> </w:t>
      </w:r>
      <w:r>
        <w:rPr>
          <w:iCs/>
          <w:i/>
        </w:rPr>
        <w:t xml:space="preserve">36</w:t>
      </w:r>
      <w:r>
        <w:t xml:space="preserve">.</w:t>
      </w:r>
    </w:p>
    <w:bookmarkEnd w:id="150"/>
    <w:bookmarkStart w:id="151" w:name="ref-zhou2022"/>
    <w:p>
      <w:pPr>
        <w:pStyle w:val="Bibliography"/>
      </w:pPr>
      <w:r>
        <w:t xml:space="preserve">Zhou, Y., Muresanu, A. I., Han, Z., Paster, K., Pitis, S., Chan, H., &amp; Ba, J. (2022). Large language models are human-level prompt engineers.</w:t>
      </w:r>
      <w:r>
        <w:t xml:space="preserve"> </w:t>
      </w:r>
      <w:r>
        <w:rPr>
          <w:iCs/>
          <w:i/>
        </w:rPr>
        <w:t xml:space="preserve">Proceedings of the Eleventh International Conference on Learning Representations</w:t>
      </w:r>
      <w:r>
        <w:t xml:space="preserve">.</w:t>
      </w:r>
    </w:p>
    <w:bookmarkEnd w:id="151"/>
    <w:bookmarkStart w:id="153" w:name="ref-zhuge2024"/>
    <w:p>
      <w:pPr>
        <w:pStyle w:val="Bibliography"/>
      </w:pPr>
      <w:r>
        <w:t xml:space="preserve">Zhuge, M., Liu, C., Faccio, F., Drummond, D. A., Zhu, Z., Fei, C., &amp; Schmidhuber, J. (2024).</w:t>
      </w:r>
      <w:r>
        <w:t xml:space="preserve"> </w:t>
      </w:r>
      <w:r>
        <w:rPr>
          <w:iCs/>
          <w:i/>
        </w:rPr>
        <w:t xml:space="preserve">Agent as judge: Evaluate agents with agents</w:t>
      </w:r>
      <w:r>
        <w:t xml:space="preserve">.</w:t>
      </w:r>
      <w:r>
        <w:t xml:space="preserve"> </w:t>
      </w:r>
      <w:hyperlink r:id="rId152">
        <w:r>
          <w:rPr>
            <w:rStyle w:val="Hyperlink"/>
          </w:rPr>
          <w:t xml:space="preserve">https://arxiv.org/abs/2410.10934</w:t>
        </w:r>
      </w:hyperlink>
    </w:p>
    <w:bookmarkEnd w:id="153"/>
    <w:bookmarkEnd w:id="154"/>
    <w:bookmarkEnd w:id="1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3" Target="https://arxiv.org/abs/1503.02531" TargetMode="External" /><Relationship Type="http://schemas.openxmlformats.org/officeDocument/2006/relationships/hyperlink" Id="rId124" Target="https://arxiv.org/abs/1910.01108" TargetMode="External" /><Relationship Type="http://schemas.openxmlformats.org/officeDocument/2006/relationships/hyperlink" Id="rId72" Target="https://arxiv.org/abs/2212.08073" TargetMode="External" /><Relationship Type="http://schemas.openxmlformats.org/officeDocument/2006/relationships/hyperlink" Id="rId138" Target="https://arxiv.org/abs/2304.12244" TargetMode="External" /><Relationship Type="http://schemas.openxmlformats.org/officeDocument/2006/relationships/hyperlink" Id="rId133" Target="https://arxiv.org/abs/2307.09702" TargetMode="External" /><Relationship Type="http://schemas.openxmlformats.org/officeDocument/2006/relationships/hyperlink" Id="rId107" Target="https://arxiv.org/abs/2308.08747" TargetMode="External" /><Relationship Type="http://schemas.openxmlformats.org/officeDocument/2006/relationships/hyperlink" Id="rId86" Target="https://arxiv.org/abs/2309.16797" TargetMode="External" /><Relationship Type="http://schemas.openxmlformats.org/officeDocument/2006/relationships/hyperlink" Id="rId147" Target="https://arxiv.org/abs/2402.11359" TargetMode="External" /><Relationship Type="http://schemas.openxmlformats.org/officeDocument/2006/relationships/hyperlink" Id="rId90" Target="https://arxiv.org/abs/2403.07714" TargetMode="External" /><Relationship Type="http://schemas.openxmlformats.org/officeDocument/2006/relationships/hyperlink" Id="rId135" Target="https://arxiv.org/abs/2404.01916" TargetMode="External" /><Relationship Type="http://schemas.openxmlformats.org/officeDocument/2006/relationships/hyperlink" Id="rId142" Target="https://arxiv.org/abs/2406.12045" TargetMode="External" /><Relationship Type="http://schemas.openxmlformats.org/officeDocument/2006/relationships/hyperlink" Id="rId84" Target="https://arxiv.org/abs/2406.18403" TargetMode="External" /><Relationship Type="http://schemas.openxmlformats.org/officeDocument/2006/relationships/hyperlink" Id="rId82" Target="https://arxiv.org/abs/2410.05434" TargetMode="External" /><Relationship Type="http://schemas.openxmlformats.org/officeDocument/2006/relationships/hyperlink" Id="rId152" Target="https://arxiv.org/abs/2410.10934" TargetMode="External" /><Relationship Type="http://schemas.openxmlformats.org/officeDocument/2006/relationships/hyperlink" Id="rId76" Target="https://arxiv.org/abs/2502.16452" TargetMode="External" /><Relationship Type="http://schemas.openxmlformats.org/officeDocument/2006/relationships/hyperlink" Id="rId119" Target="https://arxiv.org/abs/2505.09388" TargetMode="External" /><Relationship Type="http://schemas.openxmlformats.org/officeDocument/2006/relationships/hyperlink" Id="rId74" Target="https://arxiv.org/abs/2506.07982" TargetMode="External" /><Relationship Type="http://schemas.openxmlformats.org/officeDocument/2006/relationships/hyperlink" Id="rId70" Target="https://arxiv.org/abs/2507.19457" TargetMode="External" /><Relationship Type="http://schemas.openxmlformats.org/officeDocument/2006/relationships/hyperlink" Id="rId115" Target="https://arxiv.org/abs/2512.15374" TargetMode="External" /><Relationship Type="http://schemas.openxmlformats.org/officeDocument/2006/relationships/hyperlink" Id="rId121" Target="https://arxiv.org/abs/2602.16666" TargetMode="External" /><Relationship Type="http://schemas.openxmlformats.org/officeDocument/2006/relationships/hyperlink" Id="rId110" Target="https://openai.com/index/function-calling-and-other-api-updates/" TargetMode="External" /></Relationships>
</file>

<file path=word/_rels/footnotes.xml.rels><?xml version="1.0" encoding="UTF-8"?><Relationships xmlns="http://schemas.openxmlformats.org/package/2006/relationships"><Relationship Type="http://schemas.openxmlformats.org/officeDocument/2006/relationships/hyperlink" Id="rId93" Target="https://arxiv.org/abs/1503.02531" TargetMode="External" /><Relationship Type="http://schemas.openxmlformats.org/officeDocument/2006/relationships/hyperlink" Id="rId124" Target="https://arxiv.org/abs/1910.01108" TargetMode="External" /><Relationship Type="http://schemas.openxmlformats.org/officeDocument/2006/relationships/hyperlink" Id="rId72" Target="https://arxiv.org/abs/2212.08073" TargetMode="External" /><Relationship Type="http://schemas.openxmlformats.org/officeDocument/2006/relationships/hyperlink" Id="rId138" Target="https://arxiv.org/abs/2304.12244" TargetMode="External" /><Relationship Type="http://schemas.openxmlformats.org/officeDocument/2006/relationships/hyperlink" Id="rId133" Target="https://arxiv.org/abs/2307.09702" TargetMode="External" /><Relationship Type="http://schemas.openxmlformats.org/officeDocument/2006/relationships/hyperlink" Id="rId107" Target="https://arxiv.org/abs/2308.08747" TargetMode="External" /><Relationship Type="http://schemas.openxmlformats.org/officeDocument/2006/relationships/hyperlink" Id="rId86" Target="https://arxiv.org/abs/2309.16797" TargetMode="External" /><Relationship Type="http://schemas.openxmlformats.org/officeDocument/2006/relationships/hyperlink" Id="rId147" Target="https://arxiv.org/abs/2402.11359" TargetMode="External" /><Relationship Type="http://schemas.openxmlformats.org/officeDocument/2006/relationships/hyperlink" Id="rId90" Target="https://arxiv.org/abs/2403.07714" TargetMode="External" /><Relationship Type="http://schemas.openxmlformats.org/officeDocument/2006/relationships/hyperlink" Id="rId135" Target="https://arxiv.org/abs/2404.01916" TargetMode="External" /><Relationship Type="http://schemas.openxmlformats.org/officeDocument/2006/relationships/hyperlink" Id="rId142" Target="https://arxiv.org/abs/2406.12045" TargetMode="External" /><Relationship Type="http://schemas.openxmlformats.org/officeDocument/2006/relationships/hyperlink" Id="rId84" Target="https://arxiv.org/abs/2406.18403" TargetMode="External" /><Relationship Type="http://schemas.openxmlformats.org/officeDocument/2006/relationships/hyperlink" Id="rId82" Target="https://arxiv.org/abs/2410.05434" TargetMode="External" /><Relationship Type="http://schemas.openxmlformats.org/officeDocument/2006/relationships/hyperlink" Id="rId152" Target="https://arxiv.org/abs/2410.10934" TargetMode="External" /><Relationship Type="http://schemas.openxmlformats.org/officeDocument/2006/relationships/hyperlink" Id="rId76" Target="https://arxiv.org/abs/2502.16452" TargetMode="External" /><Relationship Type="http://schemas.openxmlformats.org/officeDocument/2006/relationships/hyperlink" Id="rId119" Target="https://arxiv.org/abs/2505.09388" TargetMode="External" /><Relationship Type="http://schemas.openxmlformats.org/officeDocument/2006/relationships/hyperlink" Id="rId74" Target="https://arxiv.org/abs/2506.07982" TargetMode="External" /><Relationship Type="http://schemas.openxmlformats.org/officeDocument/2006/relationships/hyperlink" Id="rId70" Target="https://arxiv.org/abs/2507.19457" TargetMode="External" /><Relationship Type="http://schemas.openxmlformats.org/officeDocument/2006/relationships/hyperlink" Id="rId115" Target="https://arxiv.org/abs/2512.15374" TargetMode="External" /><Relationship Type="http://schemas.openxmlformats.org/officeDocument/2006/relationships/hyperlink" Id="rId121" Target="https://arxiv.org/abs/2602.16666" TargetMode="External" /><Relationship Type="http://schemas.openxmlformats.org/officeDocument/2006/relationships/hyperlink" Id="rId110" Target="https://openai.com/index/function-calling-and-other-api-upda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Self-Evolving LLM Agents via Reflective Prompt and Tool-Schema Patching</dc:title>
  <dc:creator>Gleb Dementev</dc:creator>
  <dc:language>en-US</dc:language>
  <cp:keywords/>
  <dcterms:created xsi:type="dcterms:W3CDTF">2026-03-07T19:30:17Z</dcterms:created>
  <dcterms:modified xsi:type="dcterms:W3CDTF">2026-03-07T19:30:17Z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apa.csl</vt:lpwstr>
  </property>
  <property fmtid="{D5CDD505-2E9C-101B-9397-08002B2CF9AE}" pid="4" name="fontsize">
    <vt:lpwstr>12pt</vt:lpwstr>
  </property>
  <property fmtid="{D5CDD505-2E9C-101B-9397-08002B2CF9AE}" pid="5" name="geometry">
    <vt:lpwstr>margin=1in</vt:lpwstr>
  </property>
  <property fmtid="{D5CDD505-2E9C-101B-9397-08002B2CF9AE}" pid="6" name="linestretch">
    <vt:lpwstr>1.5</vt:lpwstr>
  </property>
  <property fmtid="{D5CDD505-2E9C-101B-9397-08002B2CF9AE}" pid="7" name="mainfont">
    <vt:lpwstr>Times New Roman</vt:lpwstr>
  </property>
  <property fmtid="{D5CDD505-2E9C-101B-9397-08002B2CF9AE}" pid="8" name="reference-section-title">
    <vt:lpwstr>References</vt:lpwstr>
  </property>
</Properties>
</file>