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Root Cause Report — Refund Investigation</w:t>
      </w:r>
    </w:p>
    <w:p>
      <w:pPr>
        <w:pStyle w:val="Heading1"/>
      </w:pPr>
      <w:r>
        <w:t>Executive Summary</w:t>
      </w:r>
    </w:p>
    <w:p>
      <w:r>
        <w:t>Analysis of refund activity from the InSales store identified 13 refunds totalling $4,407.83. Severity breakdown: 10 Critical (&gt;$50), 1 Major ($20–$50), 2 Minor (&lt;$20). A total of 24 distinct products were affected. Cross-matching with product reviews classified 0 products as Quality Issues and 24 as Service Issues (24 of 24 products had reviews). 4 products have 2+ refunds and require formal supplier investigation.</w:t>
      </w:r>
    </w:p>
    <w:p>
      <w:pPr>
        <w:pStyle w:val="Heading1"/>
      </w:pPr>
      <w:r>
        <w:t>Refund Trend Analysis</w:t>
      </w:r>
    </w:p>
    <w:p>
      <w:r>
        <w:t>Refunds split by stated reason: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Refund_Reason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Share</w:t>
            </w:r>
          </w:p>
        </w:tc>
      </w:tr>
      <w:tr>
        <w:tc>
          <w:tcPr>
            <w:tcW w:type="dxa" w:w="2880"/>
          </w:tcPr>
          <w:p>
            <w:r>
              <w:t>Duplicate order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30.8%</w:t>
            </w:r>
          </w:p>
        </w:tc>
      </w:tr>
      <w:tr>
        <w:tc>
          <w:tcPr>
            <w:tcW w:type="dxa" w:w="2880"/>
          </w:tcPr>
          <w:p>
            <w:r>
              <w:t>Product defective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15.4%</w:t>
            </w:r>
          </w:p>
        </w:tc>
      </w:tr>
      <w:tr>
        <w:tc>
          <w:tcPr>
            <w:tcW w:type="dxa" w:w="2880"/>
          </w:tcPr>
          <w:p>
            <w:r>
              <w:t>Wrong item received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15.4%</w:t>
            </w:r>
          </w:p>
        </w:tc>
      </w:tr>
      <w:tr>
        <w:tc>
          <w:tcPr>
            <w:tcW w:type="dxa" w:w="2880"/>
          </w:tcPr>
          <w:p>
            <w:r>
              <w:t>Item not as described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15.4%</w:t>
            </w:r>
          </w:p>
        </w:tc>
      </w:tr>
      <w:tr>
        <w:tc>
          <w:tcPr>
            <w:tcW w:type="dxa" w:w="2880"/>
          </w:tcPr>
          <w:p>
            <w:r>
              <w:t>Product arrived damaged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15.4%</w:t>
            </w:r>
          </w:p>
        </w:tc>
      </w:tr>
      <w:tr>
        <w:tc>
          <w:tcPr>
            <w:tcW w:type="dxa" w:w="2880"/>
          </w:tcPr>
          <w:p>
            <w:r>
              <w:t>Changed my mind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7.7%</w:t>
            </w:r>
          </w:p>
        </w:tc>
      </w:tr>
    </w:tbl>
    <w:p>
      <w:r>
        <w:t>Total refund amount is skewed by a small number of high-value orders; the median severity class is Critical (10 of 13 refunds). Duplicate-order and expectation-driven causes dominate by count.</w:t>
      </w:r>
    </w:p>
    <w:p>
      <w:pPr>
        <w:pStyle w:val="Heading1"/>
      </w:pPr>
      <w:r>
        <w:t>Product-Level Findings</w:t>
      </w:r>
    </w:p>
    <w:p>
      <w:r>
        <w:t>The following products crossed the 2+ refund threshold and require supplier investigation: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Product_Name</w:t>
            </w:r>
          </w:p>
        </w:tc>
        <w:tc>
          <w:tcPr>
            <w:tcW w:type="dxa" w:w="2160"/>
          </w:tcPr>
          <w:p>
            <w:r>
              <w:t>Refund_Count</w:t>
            </w:r>
          </w:p>
        </w:tc>
        <w:tc>
          <w:tcPr>
            <w:tcW w:type="dxa" w:w="2160"/>
          </w:tcPr>
          <w:p>
            <w:r>
              <w:t>Total_Refund_Amount</w:t>
            </w:r>
          </w:p>
        </w:tc>
        <w:tc>
          <w:tcPr>
            <w:tcW w:type="dxa" w:w="2160"/>
          </w:tcPr>
          <w:p>
            <w:r>
              <w:t>Issue_Type</w:t>
            </w:r>
          </w:p>
        </w:tc>
      </w:tr>
      <w:tr>
        <w:tc>
          <w:tcPr>
            <w:tcW w:type="dxa" w:w="2160"/>
          </w:tcPr>
          <w:p>
            <w:r>
              <w:t>AGARO Adjustable Camera Tripod Stand with Mobile Phones Clip &amp; Camera Holder, Supports Up to 3 Kgs, 66 inches (167 cm) Tall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$332.00</w:t>
            </w:r>
          </w:p>
        </w:tc>
        <w:tc>
          <w:tcPr>
            <w:tcW w:type="dxa" w:w="2160"/>
          </w:tcPr>
          <w:p>
            <w:r>
              <w:t>Service Issue</w:t>
            </w:r>
          </w:p>
        </w:tc>
      </w:tr>
      <w:tr>
        <w:tc>
          <w:tcPr>
            <w:tcW w:type="dxa" w:w="2160"/>
          </w:tcPr>
          <w:p>
            <w:r>
              <w:t>MICROSMT Smart LED TV (32-SMT-FL/512/04-KSR-22),32 Inches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$545.89</w:t>
            </w:r>
          </w:p>
        </w:tc>
        <w:tc>
          <w:tcPr>
            <w:tcW w:type="dxa" w:w="2160"/>
          </w:tcPr>
          <w:p>
            <w:r>
              <w:t>Service Issue</w:t>
            </w:r>
          </w:p>
        </w:tc>
      </w:tr>
      <w:tr>
        <w:tc>
          <w:tcPr>
            <w:tcW w:type="dxa" w:w="2160"/>
          </w:tcPr>
          <w:p>
            <w:r>
              <w:t>MYJAS - Inverter battery cap level indicator white with warranty (30mm - set of 6)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$23.72</w:t>
            </w:r>
          </w:p>
        </w:tc>
        <w:tc>
          <w:tcPr>
            <w:tcW w:type="dxa" w:w="2160"/>
          </w:tcPr>
          <w:p>
            <w:r>
              <w:t>Service Issue</w:t>
            </w:r>
          </w:p>
        </w:tc>
      </w:tr>
      <w:tr>
        <w:tc>
          <w:tcPr>
            <w:tcW w:type="dxa" w:w="2160"/>
          </w:tcPr>
          <w:p>
            <w:r>
              <w:t>Silencer Panels, Flame Retardant Sound‑Absorption, Polyester Fiber Stable for Recording Studio Home Theater Black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$360.22</w:t>
            </w:r>
          </w:p>
        </w:tc>
        <w:tc>
          <w:tcPr>
            <w:tcW w:type="dxa" w:w="2160"/>
          </w:tcPr>
          <w:p>
            <w:r>
              <w:t>Service Issue</w:t>
            </w:r>
          </w:p>
        </w:tc>
      </w:tr>
    </w:tbl>
    <w:p>
      <w:pPr>
        <w:pStyle w:val="Heading1"/>
      </w:pPr>
      <w:r>
        <w:t>Root Cause Classification</w:t>
      </w:r>
    </w:p>
    <w:p>
      <w:r>
        <w:t>Stated reasons mapped to root-cause categories per policy: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Root Cause Category</w:t>
            </w:r>
          </w:p>
        </w:tc>
        <w:tc>
          <w:tcPr>
            <w:tcW w:type="dxa" w:w="4320"/>
          </w:tcPr>
          <w:p>
            <w:r>
              <w:t>Count</w:t>
            </w:r>
          </w:p>
        </w:tc>
      </w:tr>
      <w:tr>
        <w:tc>
          <w:tcPr>
            <w:tcW w:type="dxa" w:w="4320"/>
          </w:tcPr>
          <w:p>
            <w:r>
              <w:t>Manufacturing Defect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Shipping Damage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Wrong Item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Customer Expectations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Other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</w:tbl>
    <w:p>
      <w:pPr>
        <w:pStyle w:val="Heading1"/>
      </w:pPr>
      <w:r>
        <w:t>Recommendations</w:t>
      </w:r>
    </w:p>
    <w:p>
      <w:pPr>
        <w:pStyle w:val="ListBullet"/>
      </w:pPr>
      <w:r>
        <w:t>Prioritise Critical refunds (&gt;$50) for immediate review — 10 refunds fall in this class.</w:t>
      </w:r>
    </w:p>
    <w:p>
      <w:pPr>
        <w:pStyle w:val="ListBullet"/>
      </w:pPr>
      <w:r>
        <w:t>Launch formal supplier investigation for the 4 flagged products (2+ refunds).</w:t>
      </w:r>
    </w:p>
    <w:p>
      <w:pPr>
        <w:pStyle w:val="ListBullet"/>
      </w:pPr>
      <w:r>
        <w:t>Audit the packing/shipping process for 'Product arrived damaged' refunds (Shipping Damage).</w:t>
      </w:r>
    </w:p>
    <w:p>
      <w:pPr>
        <w:pStyle w:val="ListBullet"/>
      </w:pPr>
      <w:r>
        <w:t>Review QC at source for 'Product defective' refunds (Manufacturing Defect).</w:t>
      </w:r>
    </w:p>
    <w:p>
      <w:pPr>
        <w:pStyle w:val="ListBullet"/>
      </w:pPr>
      <w:r>
        <w:t>Tighten order-fulfilment checks to reduce 'Wrong item received' and 'Duplicate order' refunds.</w:t>
      </w:r>
    </w:p>
    <w:p>
      <w:pPr>
        <w:pStyle w:val="ListBullet"/>
      </w:pPr>
      <w:r>
        <w:t>Refresh product listings to close expectation gaps behind 'Item not as described'.</w:t>
      </w:r>
    </w:p>
    <w:p>
      <w:pPr>
        <w:pStyle w:val="Heading1"/>
      </w:pPr>
      <w:r>
        <w:t>Action Plan</w:t>
      </w:r>
    </w:p>
    <w:p>
      <w:pPr>
        <w:pStyle w:val="ListBullet"/>
      </w:pPr>
      <w:r>
        <w:t>Immediate (0–7 days):</w:t>
      </w:r>
    </w:p>
    <w:p>
      <w:pPr>
        <w:pStyle w:val="ListBullet"/>
      </w:pPr>
      <w:r>
        <w:t>Notify supplier relations about flagged products; hold/verify affected stock.</w:t>
      </w:r>
    </w:p>
    <w:p>
      <w:pPr>
        <w:pStyle w:val="ListBullet"/>
      </w:pPr>
      <w:r>
        <w:t>Short-term (1–4 weeks):</w:t>
      </w:r>
    </w:p>
    <w:p>
      <w:pPr>
        <w:pStyle w:val="ListBullet"/>
      </w:pPr>
      <w:r>
        <w:t>Run root-cause reviews on Critical refunds; audit packaging and QC checkpoints.</w:t>
      </w:r>
    </w:p>
    <w:p>
      <w:pPr>
        <w:pStyle w:val="ListBullet"/>
      </w:pPr>
      <w:r>
        <w:t>Long-term (1–3 months):</w:t>
      </w:r>
    </w:p>
    <w:p>
      <w:pPr>
        <w:pStyle w:val="ListBullet"/>
      </w:pPr>
      <w:r>
        <w:t>Introduce supplier scorecards, listing accuracy standards and monthly refund monitoring.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