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00"/>
      </w:pPr>
    </w:p>
    <w:p>
      <w:pPr>
        <w:spacing w:after="40"/>
        <w:jc w:val="center"/>
      </w:pPr>
      <w:r>
        <w:rPr>
          <w:b/>
          <w:i w:val="0"/>
          <w:color w:val="D40011"/>
          <w:sz w:val="26"/>
        </w:rPr>
        <w:t>PROJECT OTM</w:t>
      </w:r>
    </w:p>
    <w:p>
      <w:pPr>
        <w:spacing w:after="40"/>
        <w:jc w:val="center"/>
      </w:pPr>
      <w:r>
        <w:rPr>
          <w:b/>
          <w:i w:val="0"/>
          <w:color w:val="222222"/>
          <w:sz w:val="44"/>
        </w:rPr>
        <w:t>Future-State Operational Design</w:t>
      </w:r>
    </w:p>
    <w:p>
      <w:pPr>
        <w:spacing w:after="520"/>
        <w:jc w:val="center"/>
      </w:pPr>
      <w:r>
        <w:rPr>
          <w:b w:val="0"/>
          <w:i w:val="0"/>
          <w:color w:val="666666"/>
          <w:sz w:val="24"/>
        </w:rPr>
        <w:t>Assa Abloy operation · DHL Supply Chain, Bemmel (NL_0032)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9"/>
              </w:rPr>
              <w:t>Detail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Deliverable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2 — Proposed future state for the in-scope processes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Due date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07-10-2026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Concept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Option B — Hybrid density + velocity slotting + zone/batch picking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Envelope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≤ 7,000 m² · ≤ 12.2 m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Author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________________________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Version</w:t>
            </w:r>
          </w:p>
        </w:tc>
        <w:tc>
          <w:tcPr>
            <w:tcW w:type="dxa" w:w="6236"/>
          </w:tcPr>
          <w:p>
            <w:pPr>
              <w:jc w:val="right"/>
            </w:pPr>
            <w:r/>
            <w:r>
              <w:rPr>
                <w:sz w:val="19"/>
              </w:rPr>
              <w:t>DRAFT — processes, flowcharts, layout (3D), capacity plan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Future-state design for the recommended Option B (Deliverable 1). Workload drivers are measured from the Assa Abloy Q2-2025 data; productivities are benchmarked assumptions (Section 6) to be validated with DHL. Reproducible from analysis/*.py.</w:t>
      </w:r>
    </w:p>
    <w:p>
      <w:r>
        <w:br w:type="page"/>
      </w:r>
    </w:p>
    <w:p>
      <w:pPr>
        <w:pStyle w:val="Heading1"/>
      </w:pPr>
      <w:r>
        <w:t>1. Recommended concept (recap)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Option B was selected via the Deliverable-1 decision matrix (robust across base and cost-driven weightings). It combines double-deep reserve racking for A/B stock, selective + cantilever racking for irregular and long goods, and a forward-pick module (carton-flow / shelving) for the case- and each-heavy demand, operated with velocity-based slotting and zone + batch/wave picking.</w:t>
      </w:r>
    </w:p>
    <w:p>
      <w:pPr>
        <w:pStyle w:val="Heading1"/>
      </w:pPr>
      <w:r>
        <w:t>2. Future-state processes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Each in-scope process below states the steps, the system transaction, the physical movement, the equipment, and where the Deliverable-1 design choices are applied. Flowcharts follow.</w:t>
      </w:r>
    </w:p>
    <w:p>
      <w:pPr>
        <w:pStyle w:val="Heading2"/>
      </w:pPr>
      <w:r>
        <w:t>2.1 Receiving &amp; putaway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trailer arrival → unload &amp; RF-scan (ASN check) → quality/qty check → register stock (LODNUM) → system-directed putaway → reach-truck move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velocity-based directed putaway (A/B to double-deep reserve near pick faces; C to deep/upper); cantilever for XLONG goods (43 SKUs &gt;240 cm).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4448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ceiving_putaw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444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1. Receiving &amp; putaway flow.</w:t>
      </w:r>
    </w:p>
    <w:p>
      <w:pPr>
        <w:pStyle w:val="Heading2"/>
      </w:pPr>
      <w:r>
        <w:t>2.2 Replenishment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forward face below min → WMS replen task → pull reserve pallet → top-up carton-flow/pick face → confirm.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min/max replenishment; FIFO via FIF DATE where relevant.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4709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replenish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470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2. Replenishment flow.</w:t>
      </w:r>
    </w:p>
    <w:p>
      <w:pPr>
        <w:pStyle w:val="Heading2"/>
      </w:pPr>
      <w:r>
        <w:t>2.3 Picking (zone + batch / wave)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orders allocated → wave release by carrier cut-off → route by profile → full-pallet / case (batched) / each pick → to consolidation.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batch the 50% single-line orders; A-movers in a golden-zone forward pick; voice/RF direction; zone picking across areas.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723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icki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72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3. Picking flow (zone + batch/wave).</w:t>
      </w:r>
    </w:p>
    <w:p>
      <w:pPr>
        <w:pStyle w:val="Heading2"/>
      </w:pPr>
      <w:r>
        <w:t>2.4 Consolidation, packing &amp; shipping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Steps:</w:t>
      </w:r>
      <w:r>
        <w:rPr>
          <w:b w:val="0"/>
          <w:sz w:val="21"/>
        </w:rPr>
        <w:t xml:space="preserve"> picked totes/pallets → put-to-light sort by order → pack &amp; print-and-apply → parcel vs pallet → stage by carrier → load &amp; dispatch.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Policy applied:</w:t>
      </w:r>
      <w:r>
        <w:rPr>
          <w:b w:val="0"/>
          <w:sz w:val="21"/>
        </w:rPr>
        <w:t xml:space="preserve"> put-to-light consolidation of multi-zone picks; pack sized to peak (labour bottleneck); parcel-heavy outbound (~18 palletised shipments/day).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11533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pack_shi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11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4. Consolidation, packing &amp; shipping flow.</w:t>
      </w:r>
    </w:p>
    <w:p>
      <w:pPr>
        <w:pStyle w:val="Heading1"/>
      </w:pPr>
      <w:r>
        <w:t>3. Warehouse policies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r/>
            <w:r>
              <w:rPr>
                <w:b/>
                <w:sz w:val="19"/>
              </w:rPr>
              <w:t>Policy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9"/>
              </w:rPr>
              <w:t>Decision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9"/>
              </w:rPr>
              <w:t>Why (data)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Storage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Hybrid: random within velocity zones; fixed forward-pick faces + random reserve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73% single-load tail; 48.6% ABC mismatch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Slotting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Velocity/demand-ABC (hot/med/cold); A in golden zone; heavy low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13% of SKUs = 80% of volume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Zoning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Forward-pick vs reserve; pick zones by area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case-dominant picking (83% of lifts)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Batching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Batch single-line/single-unit orders; wave by carrier cut-off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50% single-line, 24% single-unit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Routing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S-shape / return within aisles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reduce travel in reserve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Putaway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System-directed, velocity-based to zone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align stock to demand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Min/max forward-pick top-up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keep pick faces filled at peak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FIFO/FEFO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FIFO via FIF DATE where relevant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stock age present; most parts not date-critical (confirm)</w:t>
            </w:r>
          </w:p>
        </w:tc>
      </w:tr>
    </w:tbl>
    <w:p>
      <w:pPr>
        <w:spacing w:after="40"/>
      </w:pPr>
    </w:p>
    <w:p>
      <w:pPr>
        <w:pStyle w:val="Heading1"/>
      </w:pPr>
      <w:r>
        <w:t>4. Layout &amp; zoning (3-dimensional)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The zones are sized from the capacity analysis and laid out flow-through (receiving one side, shipping the other). Building ≈ 108 m × 70 m, providing ~14,074 pallet positions against the ~14,074 target.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Zone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Area m²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9"/>
              </w:rPr>
              <w:t>% of building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Receiving &amp; inbound staging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9%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Offices &amp; amenities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Returns / VAS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Double-deep reserve (A/B)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3,505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47%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Selective + cantilever (irregular/XLONG/C)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728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10%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Forward-pick module (carton-flow/shelving)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Packing &amp; consolidation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9%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Outbound staging &amp; shipping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300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4%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Circulation / aisles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560</w:t>
            </w:r>
          </w:p>
        </w:tc>
        <w:tc>
          <w:tcPr>
            <w:tcW w:type="dxa" w:w="1984"/>
          </w:tcPr>
          <w:p>
            <w:pPr>
              <w:jc w:val="right"/>
            </w:pPr>
            <w:r/>
            <w:r>
              <w:rPr>
                <w:sz w:val="19"/>
              </w:rPr>
              <w:t>7%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floor area 7,493 m² = 107% of a 7,000 m² envelope.**</w:t>
      </w:r>
    </w:p>
    <w:p>
      <w:pPr>
        <w:pStyle w:val="ListBullet"/>
      </w:pPr>
      <w:r>
        <w:rPr>
          <w:b w:val="0"/>
          <w:sz w:val="21"/>
        </w:rPr>
        <w:t xml:space="preserve">At the detailed zoning level Option B lands </w:t>
      </w:r>
      <w:r>
        <w:rPr>
          <w:b/>
          <w:sz w:val="21"/>
        </w:rPr>
        <w:t>slightly over 7,000 m² (107%)</w:t>
      </w:r>
      <w:r>
        <w:rPr>
          <w:b w:val="0"/>
          <w:sz w:val="21"/>
        </w:rPr>
        <w:t xml:space="preserve"> once full functional areas are included — tighter than the concept-level estimate.</w:t>
      </w:r>
    </w:p>
    <w:p>
      <w:pPr>
        <w:pStyle w:val="ListBullet"/>
      </w:pPr>
      <w:r>
        <w:rPr>
          <w:b w:val="0"/>
          <w:sz w:val="21"/>
        </w:rPr>
      </w:r>
      <w:r>
        <w:rPr>
          <w:b/>
          <w:sz w:val="21"/>
        </w:rPr>
        <w:t>Mitigations if 7,000 m² is the binding Assa-only envelope (A008):</w:t>
      </w:r>
      <w:r>
        <w:rPr>
          <w:b w:val="0"/>
          <w:sz w:val="21"/>
        </w:rPr>
        <w:t xml:space="preserve"> (a) raise the double-deep share or add an 8th rack level (12.2 m height allows it, subject to truck reach); (b) trim office/returns/staging; (c) switch reserve to </w:t>
      </w:r>
      <w:r>
        <w:rPr>
          <w:b/>
          <w:sz w:val="21"/>
        </w:rPr>
        <w:t>VNA (Option C)</w:t>
      </w:r>
      <w:r>
        <w:rPr>
          <w:b w:val="0"/>
          <w:sz w:val="21"/>
        </w:rPr>
        <w:t>, which frees ~2,000 m² and gives real headroom.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166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pl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6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5. Option B layout &amp; zoning, to scale, with material flow.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2868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_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8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6. Option B 3D massing — reserve racking ≈ 11.5 m within the 12.2 m limit.</w:t>
      </w:r>
    </w:p>
    <w:p>
      <w:pPr>
        <w:pStyle w:val="Heading1"/>
      </w:pPr>
      <w:r>
        <w:t>5. Capacity plan — labour &amp; equipment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Workload drivers (measured): outbound ≈ 18 palletised shipments/day (rest parcel), inbound ≈ 32 pallets/day, forward-pick replen ≈ 22 pallets/day. Productivities are benchmark assumptions (A014).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685"/>
          </w:tcPr>
          <w:p>
            <w:r/>
            <w:r>
              <w:rPr>
                <w:b/>
                <w:sz w:val="19"/>
              </w:rPr>
              <w:t>Process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Rate/h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avg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FTE peak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Receiving (unload+check)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Putaway (reach)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0.60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Replenishment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0.47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Case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80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0.87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1.59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Each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55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0.45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Full-pallet picking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0.18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Packing/consolidation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1.85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3.38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19"/>
              </w:rPr>
              <w:t>Shipping/loading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0.08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0.22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222222"/>
          <w:sz w:val="21"/>
        </w:rPr>
        <w:t>**Total direct labour ≈ 3.7 FTE average, 7.4 FTE at peak** (≈ 12 if each process is staffed separately; cross-training reduces this). Add supervision/admin and value-add separately.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4797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_plan_f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79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666666"/>
          <w:sz w:val="17"/>
        </w:rPr>
        <w:t>Fig 7. Labour requirement by process (average vs peak).</w:t>
      </w:r>
    </w:p>
    <w:p>
      <w:pPr>
        <w:spacing w:after="80"/>
      </w:pPr>
      <w:r>
        <w:rPr>
          <w:b w:val="0"/>
          <w:i w:val="0"/>
          <w:color w:val="222222"/>
          <w:sz w:val="21"/>
        </w:rPr>
        <w:t>Material-handling equipment (peak):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819"/>
          </w:tcPr>
          <w:p>
            <w:r/>
            <w:r>
              <w:rPr>
                <w:b/>
                <w:sz w:val="19"/>
              </w:rPr>
              <w:t>Equipment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Peak equip-hours/day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Units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Reach truck (putaway/replen/pallet pick)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9.4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Low-level order picker (case/each)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15.3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9"/>
              </w:rPr>
              <w:t>Pallet truck (receiving/shipping)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9"/>
              </w:rPr>
              <w:t>5.3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color w:val="666666"/>
          <w:sz w:val="18"/>
        </w:rPr>
        <w:t>Plus RF/voice terminals per picker, print-and-apply at pack, and a small spares allowance. Peak may need overtime or a partial second shift rather than extra permanent FTE.</w:t>
      </w:r>
    </w:p>
    <w:p>
      <w:pPr>
        <w:pStyle w:val="Heading1"/>
      </w:pPr>
      <w:r>
        <w:t>6. Assumptions &amp; open questions</w:t>
      </w:r>
    </w:p>
    <w:p>
      <w:pPr>
        <w:spacing w:after="120"/>
      </w:pPr>
      <w:r>
        <w:rPr>
          <w:b w:val="0"/>
          <w:i w:val="0"/>
          <w:color w:val="222222"/>
          <w:sz w:val="21"/>
        </w:rPr>
        <w:t>Full register in data/assumptions.json. High-impact items for the future state: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r/>
            <w:r>
              <w:rPr>
                <w:b/>
                <w:sz w:val="19"/>
              </w:rPr>
              <w:t>ID</w:t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9"/>
              </w:rPr>
              <w:t>Assumption / open question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19"/>
              </w:rPr>
              <w:t>Impact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A001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facility footprint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A002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Max clear/building height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A003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Analysis period is representative of normal operation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One LODNUM (load) occupies one pallet position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A005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STAGED STATUS 'LATE' reflects staging vs the LATE SHIP window, i.e. a genuine on-time-staging miss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A006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No labour-productivity, MHE-fleet or cost data was provided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A008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The 7,000 m2 / 12.2 m envelope is the space available to DESIGN THE ASSA ABLOY operation within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A010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Design pallet-position target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9"/>
              </w:rPr>
              <w:t>A014</w:t>
            </w:r>
          </w:p>
        </w:tc>
        <w:tc>
          <w:tcPr>
            <w:tcW w:type="dxa" w:w="6520"/>
          </w:tcPr>
          <w:p>
            <w:r/>
            <w:r>
              <w:rPr>
                <w:sz w:val="19"/>
              </w:rPr>
              <w:t>Labour productivity benchmarks (units/person-hour)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HIGH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Project OTM — Assa Abloy @ DHL Bemmel  ·  Deliverable 2 (Future State) DRAFT  · 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D40011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