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spacing w:after="40"/>
        <w:jc w:val="center"/>
      </w:pPr>
      <w:r>
        <w:rPr>
          <w:b/>
          <w:i w:val="0"/>
          <w:color w:val="D40011"/>
          <w:sz w:val="26"/>
        </w:rPr>
        <w:t>PROJECT OTM</w:t>
      </w:r>
    </w:p>
    <w:p>
      <w:pPr>
        <w:spacing w:after="40"/>
        <w:jc w:val="center"/>
      </w:pPr>
      <w:r>
        <w:rPr>
          <w:b/>
          <w:i w:val="0"/>
          <w:color w:val="222222"/>
          <w:sz w:val="44"/>
        </w:rPr>
        <w:t>Warehouse Design — Analysis &amp; Policy Pre-selection</w:t>
      </w:r>
    </w:p>
    <w:p>
      <w:pPr>
        <w:spacing w:after="600"/>
        <w:jc w:val="center"/>
      </w:pPr>
      <w:r>
        <w:rPr>
          <w:b w:val="0"/>
          <w:i w:val="0"/>
          <w:color w:val="666666"/>
          <w:sz w:val="24"/>
        </w:rPr>
        <w:t>Assa Abloy operation · DHL Supply Chain, Bemmel (NL_0032)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1 — Analysis of data, pre-selection &amp; justification of policies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Due date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16-09-2026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Data period analysed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Q2 2025 (01 Apr – 30 Jun)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Site constraints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≤ 7,000 m² footprint · ≤ 12.2 m height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Scope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Receiving · Storage · Picking · Shipping (end-to-end)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Author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236"/>
          </w:tcPr>
          <w:p>
            <w:pPr>
              <w:jc w:val="right"/>
            </w:pPr>
            <w:r/>
            <w:r>
              <w:rPr>
                <w:sz w:val="19"/>
              </w:rPr>
              <w:t>DRAFT — analysis, design options, policies &amp; recommendation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8"/>
        </w:rPr>
        <w:t>This draft covers Deliverable 1 end-to-end: data analysis, storage-capacity feasibility, three design options, policy pre-selection, equipment, and a recommended concept with a decision matrix. All figures are measured from the provided Assa Abloy data or computed by the analysis scripts; nothing is fabricated, and open assumptions are listed in Section 13.</w:t>
      </w:r>
    </w:p>
    <w:p>
      <w:r>
        <w:br w:type="page"/>
      </w:r>
    </w:p>
    <w:p>
      <w:pPr>
        <w:pStyle w:val="Heading1"/>
      </w:pPr>
      <w:r>
        <w:t>1. Introduction &amp; scope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DHL Supply Chain previously ran warehouse operations for four clients in Tiel and recently relocated to a new site in Bemmel under significant time pressure. The Operations Manager considers the current (post-move) design sub-optimal. The objective of this project is to develop an alternative, more efficient and effective warehouse design for the Assa Abloy operation, based on a thorough analysis of the operational data.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The design covers four processes end-to-end — receiving, storage, picking and shipping — with all choices aligned across them. Facility architecture is out of scope; legal aspects (fire safety, compliance) are considered. The site envelope is a maximum footprint of 7,000 m² and a maximum height of 12.2 m.</w:t>
      </w:r>
    </w:p>
    <w:p>
      <w:pPr>
        <w:pStyle w:val="Heading1"/>
      </w:pPr>
      <w:r>
        <w:t>2. Data sources &amp; method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Two datasets from the Assa Abloy operation (warehouse NL_0032) form the primary source of truth: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Files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Grain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Volume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Storage / inventory</w:t>
            </w:r>
          </w:p>
        </w:tc>
        <w:tc>
          <w:tcPr>
            <w:tcW w:type="dxa" w:w="2608"/>
          </w:tcPr>
          <w:p>
            <w:pPr>
              <w:jc w:val="right"/>
            </w:pPr>
            <w:r/>
            <w:r>
              <w:rPr>
                <w:sz w:val="19"/>
              </w:rPr>
              <w:t>3 snapshots (01-04/05/06-2025)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9"/>
              </w:rPr>
              <w:t>Inventory detail (DTLNUM)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16,575–17,290 records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Outbound shipping &amp; picking</w:t>
            </w:r>
          </w:p>
        </w:tc>
        <w:tc>
          <w:tcPr>
            <w:tcW w:type="dxa" w:w="2608"/>
          </w:tcPr>
          <w:p>
            <w:pPr>
              <w:jc w:val="right"/>
            </w:pPr>
            <w:r/>
            <w:r>
              <w:rPr>
                <w:sz w:val="19"/>
              </w:rPr>
              <w:t>3 months (Apr–Jun 2025)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9"/>
              </w:rPr>
              <w:t>Order line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39,069 lines · 8,781 orders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9"/>
        </w:rPr>
        <w:t>Analysis is performed in Python (pandas). Every headline number is reproducible from the scripts in /analysis and cached in outputs/reports/phase1_metrics.json. Data-quality issues are flagged (Section 8), not silently corrected.</w:t>
      </w:r>
    </w:p>
    <w:p>
      <w:pPr>
        <w:pStyle w:val="Heading1"/>
      </w:pPr>
      <w:r>
        <w:t>3. SKU profile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5,291 SKUs</w:t>
      </w:r>
      <w:r>
        <w:rPr>
          <w:b w:val="0"/>
          <w:sz w:val="21"/>
        </w:rPr>
        <w:t xml:space="preserve"> in stock across </w:t>
      </w:r>
      <w:r>
        <w:rPr>
          <w:b/>
          <w:sz w:val="21"/>
        </w:rPr>
        <w:t>11 product families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3,115 SKUs have a case pack; 2,176 are each-only</w:t>
      </w:r>
      <w:r>
        <w:rPr>
          <w:b w:val="0"/>
          <w:sz w:val="21"/>
        </w:rPr>
        <w:t xml:space="preserve"> (≈41%) — confirming real each-pick demand.</w:t>
      </w:r>
    </w:p>
    <w:p>
      <w:pPr>
        <w:pStyle w:val="ListBullet"/>
      </w:pPr>
      <w:r>
        <w:rPr>
          <w:sz w:val="21"/>
        </w:rPr>
        <w:t>Each size is small: median cube 0.0005 m³ (~500 cm³) — typical for locks, cylinders and fittings.</w:t>
      </w:r>
    </w:p>
    <w:p>
      <w:pPr>
        <w:pStyle w:val="ListBullet"/>
      </w:pPr>
      <w:r>
        <w:rPr>
          <w:b w:val="0"/>
          <w:sz w:val="21"/>
        </w:rPr>
        <w:t xml:space="preserve">Units per pallet: median </w:t>
      </w:r>
      <w:r>
        <w:rPr>
          <w:b/>
          <w:sz w:val="21"/>
        </w:rPr>
        <w:t>1000</w:t>
      </w:r>
      <w:r>
        <w:rPr>
          <w:b w:val="0"/>
          <w:sz w:val="21"/>
        </w:rPr>
        <w:t xml:space="preserve"> (mean skewed by high-count small parts).</w:t>
      </w:r>
    </w:p>
    <w:p>
      <w:pPr>
        <w:pStyle w:val="ListBullet"/>
      </w:pPr>
      <w:r>
        <w:rPr>
          <w:b w:val="0"/>
          <w:sz w:val="21"/>
        </w:rPr>
        <w:t xml:space="preserve">Pallet weight: median </w:t>
      </w:r>
      <w:r>
        <w:rPr>
          <w:b/>
          <w:sz w:val="21"/>
        </w:rPr>
        <w:t>431 kg</w:t>
      </w:r>
      <w:r>
        <w:rPr>
          <w:b w:val="0"/>
          <w:sz w:val="21"/>
        </w:rPr>
        <w:t xml:space="preserve"> — realistic for a EURO pallet (see data-quality flag on sentinel maxima).</w:t>
      </w:r>
    </w:p>
    <w:p>
      <w:pPr>
        <w:pStyle w:val="ListBullet"/>
      </w:pPr>
      <w:r>
        <w:rPr>
          <w:sz w:val="21"/>
        </w:rPr>
        <w:t>Pallet-type mix (SKU level): EURO 2,864, K3 2,040, XLONGPALLET 168 (long goods), plus K1/K2/K5/CONS.</w:t>
      </w:r>
    </w:p>
    <w:p>
      <w:pPr>
        <w:pStyle w:val="ListBullet"/>
      </w:pPr>
      <w:r>
        <w:rPr>
          <w:sz w:val="21"/>
        </w:rPr>
        <w:t>Hazardous SKUs: 138 — require segregation/compliance consideration.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98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u_pallet_weight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1. Pallet-weight distribution at SKU level (&lt;p99).</w:t>
      </w:r>
    </w:p>
    <w:p>
      <w:pPr>
        <w:pStyle w:val="Heading1"/>
      </w:pPr>
      <w:r>
        <w:t>4. Inventory &amp; storage-position requirement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31"/>
          </w:tcPr>
          <w:p>
            <w:r/>
            <w:r>
              <w:rPr>
                <w:b/>
                <w:sz w:val="19"/>
              </w:rPr>
              <w:t>Snapshot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Detail recs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Loads (positions)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Occupied locations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Active SKUs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Cube (m³)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9"/>
              </w:rPr>
              <w:t>2025-04-01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16,575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10,176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7,715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5,164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3,209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9"/>
              </w:rPr>
              <w:t>2025-05-01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16,793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10,534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8,149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5,273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3,434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9"/>
              </w:rPr>
              <w:t>2025-06-01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17,290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11,015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8,512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5,291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3,679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  <w:t xml:space="preserve">Loads (≈ pallet positions) grew </w:t>
      </w:r>
      <w:r>
        <w:rPr>
          <w:b/>
          <w:sz w:val="21"/>
        </w:rPr>
        <w:t>+8.2% in one quarter</w:t>
      </w:r>
      <w:r>
        <w:rPr>
          <w:b w:val="0"/>
          <w:sz w:val="21"/>
        </w:rPr>
        <w:t xml:space="preserve"> (10,176 → 11,015); cube +15%.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Peak concurrent loads = 11,015</w:t>
      </w:r>
      <w:r>
        <w:rPr>
          <w:b w:val="0"/>
          <w:sz w:val="21"/>
        </w:rPr>
        <w:t xml:space="preserve"> → baseline storage-position requirement (before growth buffer and honeycombing losses).</w:t>
      </w:r>
    </w:p>
    <w:p>
      <w:pPr>
        <w:pStyle w:val="ListBullet"/>
      </w:pPr>
      <w:r>
        <w:rPr>
          <w:b w:val="0"/>
          <w:sz w:val="21"/>
        </w:rPr>
        <w:t xml:space="preserve">Loads per SKU: mean 2.07, median 1, max 337; </w:t>
      </w:r>
      <w:r>
        <w:rPr>
          <w:b/>
          <w:sz w:val="21"/>
        </w:rPr>
        <w:t>72.7% of SKUs occupy a single load</w:t>
      </w:r>
      <w:r>
        <w:rPr>
          <w:b w:val="0"/>
          <w:sz w:val="21"/>
        </w:rPr>
        <w:t xml:space="preserve"> — a long slow-moving tail one pallet deep.</w:t>
      </w:r>
    </w:p>
    <w:p>
      <w:pPr>
        <w:pStyle w:val="ListBullet"/>
      </w:pPr>
      <w:r>
        <w:rPr>
          <w:sz w:val="21"/>
        </w:rPr>
        <w:t>Eaches held roughly flat (~2.9M) while loads rose → stock is fragmenting into more, less-full locations: a current-design inefficiency to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65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2. Inventory footprint trend, Q2 2025 (loads and occupied locations).</w:t>
      </w:r>
    </w:p>
    <w:p>
      <w:pPr>
        <w:pStyle w:val="Heading1"/>
      </w:pPr>
      <w:r>
        <w:t>5. Order &amp; picking profile and lead 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Mean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Median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p95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Max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Lines per order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4.45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191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Units per line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34.77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12020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Units per order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154.7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20480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8,781 orders / 39,069 lines</w:t>
      </w:r>
      <w:r>
        <w:rPr>
          <w:b w:val="0"/>
          <w:sz w:val="21"/>
        </w:rPr>
        <w:t xml:space="preserve">; </w:t>
      </w:r>
      <w:r>
        <w:rPr>
          <w:b/>
          <w:sz w:val="21"/>
        </w:rPr>
        <w:t>50.5% single-line</w:t>
      </w:r>
      <w:r>
        <w:rPr>
          <w:b w:val="0"/>
          <w:sz w:val="21"/>
        </w:rPr>
        <w:t xml:space="preserve"> orders and </w:t>
      </w:r>
      <w:r>
        <w:rPr>
          <w:b/>
          <w:sz w:val="21"/>
        </w:rPr>
        <w:t>23.6% single-unit</w:t>
      </w:r>
      <w:r>
        <w:rPr>
          <w:b w:val="0"/>
          <w:sz w:val="21"/>
        </w:rPr>
        <w:t xml:space="preserve"> lines — a small-order-heavy profile.</w:t>
      </w:r>
    </w:p>
    <w:p>
      <w:pPr>
        <w:pStyle w:val="ListBullet"/>
      </w:pPr>
      <w:r>
        <w:rPr>
          <w:b w:val="0"/>
          <w:sz w:val="21"/>
        </w:rPr>
        <w:t xml:space="preserve">Pick-type split by lines: case/list </w:t>
      </w:r>
      <w:r>
        <w:rPr>
          <w:b/>
          <w:sz w:val="21"/>
        </w:rPr>
        <w:t>60.8%</w:t>
      </w:r>
      <w:r>
        <w:rPr>
          <w:b w:val="0"/>
          <w:sz w:val="21"/>
        </w:rPr>
        <w:t xml:space="preserve">, each </w:t>
      </w:r>
      <w:r>
        <w:rPr>
          <w:b/>
          <w:sz w:val="21"/>
        </w:rPr>
        <w:t>16.0%</w:t>
      </w:r>
      <w:r>
        <w:rPr>
          <w:b w:val="0"/>
          <w:sz w:val="21"/>
        </w:rPr>
        <w:t xml:space="preserve">, full-pallet </w:t>
      </w:r>
      <w:r>
        <w:rPr>
          <w:b/>
          <w:sz w:val="21"/>
        </w:rPr>
        <w:t>2.6%</w:t>
      </w:r>
      <w:r>
        <w:rPr>
          <w:b w:val="0"/>
          <w:sz w:val="21"/>
        </w:rPr>
        <w:t>, unflagged/other 20.6% (see DQ flag).</w:t>
      </w:r>
    </w:p>
    <w:p>
      <w:pPr>
        <w:pStyle w:val="ListBullet"/>
      </w:pPr>
      <w:r>
        <w:rPr>
          <w:b w:val="0"/>
          <w:sz w:val="21"/>
        </w:rPr>
        <w:t xml:space="preserve">Pick effort (lifts): case/list </w:t>
      </w:r>
      <w:r>
        <w:rPr>
          <w:b/>
          <w:sz w:val="21"/>
        </w:rPr>
        <w:t>279,669</w:t>
      </w:r>
      <w:r>
        <w:rPr>
          <w:b w:val="0"/>
          <w:sz w:val="21"/>
        </w:rPr>
        <w:t xml:space="preserve"> vs each 30,165 vs pallet 27,801 → </w:t>
      </w:r>
      <w:r>
        <w:rPr>
          <w:b/>
          <w:sz w:val="21"/>
        </w:rPr>
        <w:t>case picking is the dominant labour driver (~83% of lifts).</w:t>
      </w:r>
      <w:r>
        <w:rPr>
          <w:b w:val="0"/>
          <w:sz w:val="21"/>
        </w:rPr>
      </w:r>
    </w:p>
    <w:p>
      <w:pPr>
        <w:pStyle w:val="ListBullet"/>
      </w:pPr>
      <w:r>
        <w:rPr>
          <w:b w:val="0"/>
          <w:sz w:val="21"/>
        </w:rPr>
        <w:t xml:space="preserve">Delivery lead time (order received → dispatched): median </w:t>
      </w:r>
      <w:r>
        <w:rPr>
          <w:b/>
          <w:sz w:val="21"/>
        </w:rPr>
        <w:t>52.4 h (~2.2 days)</w:t>
      </w:r>
      <w:r>
        <w:rPr>
          <w:b w:val="0"/>
          <w:sz w:val="21"/>
        </w:rPr>
        <w:t>, p90 166.9 h.</w:t>
      </w:r>
    </w:p>
    <w:p>
      <w:pPr>
        <w:pStyle w:val="ListBullet"/>
      </w:pPr>
      <w:r>
        <w:rPr>
          <w:sz w:val="21"/>
        </w:rPr>
        <w:t>Channel mix (order type): NLD 20,944, EDC 4,703, BEL 4,596, DIRECT 4,003, AMADE 2,216.</w:t>
      </w:r>
    </w:p>
    <w:p>
      <w:pPr>
        <w:pStyle w:val="ListBullet"/>
      </w:pPr>
      <w:r>
        <w:rPr>
          <w:sz w:val="21"/>
        </w:rPr>
        <w:t>Geography: NLD 22,510, BEL 6,386, DEU 3,534, FRA 1,041, POL 911 — an NL hub serving Western Europe.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pick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3. Order lines by pick type.</w:t>
      </w:r>
    </w:p>
    <w:p>
      <w:pPr>
        <w:pStyle w:val="Heading1"/>
      </w:pPr>
      <w:r>
        <w:t>6. Demand-based ABC classification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ABC is recomputed from actual outbound demand (picked quantity), not assumed. The distribution is steeper than the classic 80/20 rule: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Top X% of SKUs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% of picked volume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5%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58.9%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10%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74.5%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20%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88.1%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30%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94.0%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50% of SKUs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9"/>
              </w:rPr>
              <w:t>98.5%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222222"/>
          <w:sz w:val="21"/>
        </w:rPr>
        <w:t>A/B/C by demand volume (A ≤ 80% cumulative, B ≤ 95%, C remainder):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Class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SKUs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% SKUs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% volume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% pick-lines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565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13.0%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80.0%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41.8%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858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19.7%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15.0%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30.0%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2,931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67.3%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5.0%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28.3%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~13% of SKUs drive 80% of volume</w:t>
      </w:r>
      <w:r>
        <w:rPr>
          <w:b w:val="0"/>
          <w:sz w:val="21"/>
        </w:rPr>
        <w:t>, yet C-class is 67% of SKUs and still 28% of picks → forward-pick / fast-lane slotting is high-value.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Demand-ABC agrees with the WMS classification on only 48.6% of SKUs</w:t>
      </w:r>
      <w:r>
        <w:rPr>
          <w:b w:val="0"/>
          <w:sz w:val="21"/>
        </w:rPr>
        <w:t xml:space="preserve"> → strong evidence the current slotting is misaligned with real demand (re-slot).</w:t>
      </w:r>
    </w:p>
    <w:p>
      <w:pPr>
        <w:pStyle w:val="ListBullet"/>
      </w:pPr>
      <w:r>
        <w:rPr>
          <w:sz w:val="21"/>
        </w:rPr>
        <w:t>4,354 SKUs shipped in Q2; 855 shipped were not in the latest stock snapshot (transient/cross-dock — to confirm).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66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6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4. Demand Pareto — cumulative picked quantity vs ranked SKUs.</w:t>
      </w:r>
    </w:p>
    <w:p>
      <w:pPr>
        <w:pStyle w:val="Heading1"/>
      </w:pPr>
      <w:r>
        <w:t>7. Peak activity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Average / day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PEAK / day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Peak ÷ Avg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Peak date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Order lines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640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1171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1.83×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2025-05-27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Units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22269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63469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2.85×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2025-05-27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Orders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144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1.74×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2025-04-29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Shipments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9"/>
              </w:rPr>
              <w:t>134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229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1.71×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2025-04-29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Design to peak, not average.</w:t>
      </w:r>
      <w:r>
        <w:rPr>
          <w:b w:val="0"/>
          <w:sz w:val="21"/>
        </w:rPr>
        <w:t xml:space="preserve"> Units peak (2.85×) is far spikier than lines (1.83×), so sizing on lines alone understates pick/pack surges.</w:t>
      </w:r>
    </w:p>
    <w:p>
      <w:pPr>
        <w:pStyle w:val="ListBullet"/>
      </w:pPr>
      <w:r>
        <w:rPr>
          <w:sz w:val="21"/>
        </w:rPr>
        <w:t>Weekly peak 3563 lines (week of 2025-06-01) vs ~2791 average.</w:t>
      </w:r>
    </w:p>
    <w:p>
      <w:pPr>
        <w:pStyle w:val="ListBullet"/>
      </w:pPr>
      <w:r>
        <w:rPr>
          <w:b w:val="0"/>
          <w:sz w:val="21"/>
        </w:rPr>
        <w:t xml:space="preserve">Intraday peak around </w:t>
      </w:r>
      <w:r>
        <w:rPr>
          <w:b/>
          <w:sz w:val="21"/>
        </w:rPr>
        <w:t>08:00</w:t>
      </w:r>
      <w:r>
        <w:rPr>
          <w:b w:val="0"/>
          <w:sz w:val="21"/>
        </w:rPr>
        <w:t>; Monday–Friday only (no weekend operations), weekdays fairly even.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12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dai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5. Daily shipped order-lines with average and peak.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68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k_hourly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6. Average picks per hour of day.</w:t>
      </w:r>
    </w:p>
    <w:p>
      <w:pPr>
        <w:pStyle w:val="Heading1"/>
      </w:pPr>
      <w:r>
        <w:t>8. Data-quality flags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Raised, not silently corrected: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PA WGT sentinel/impossible values</w:t>
      </w:r>
      <w:r>
        <w:rPr>
          <w:b w:val="0"/>
          <w:sz w:val="21"/>
        </w:rPr>
        <w:t xml:space="preserve"> — median 431 kg is fine, but p95 = 9999 kg and max = 60423 kg are impossible for one pallet (9,999 looks like a placeholder). To be cleaned before rack load-rating.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units_per_pallet extreme mean</w:t>
      </w:r>
      <w:r>
        <w:rPr>
          <w:b w:val="0"/>
          <w:sz w:val="21"/>
        </w:rPr>
        <w:t xml:space="preserve"> (15171 vs median 1000) — use robust statistics.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"Other" pick class = 20.6% of lines</w:t>
      </w:r>
      <w:r>
        <w:rPr>
          <w:b w:val="0"/>
          <w:sz w:val="21"/>
        </w:rPr>
        <w:t xml:space="preserve"> — no PALL/LIST/TROLLEY flag set; method needs a definition from DHL/WMS.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Stock vs demand mismatch</w:t>
      </w:r>
      <w:r>
        <w:rPr>
          <w:b w:val="0"/>
          <w:sz w:val="21"/>
        </w:rPr>
        <w:t xml:space="preserve"> — 855 shipped-not-stocked; a further set of stocked-not-shipped SKUs are dead-stock candidates. To confirm handling (cross-dock vs obsolete).</w:t>
      </w:r>
    </w:p>
    <w:p>
      <w:pPr>
        <w:pStyle w:val="Heading1"/>
      </w:pPr>
      <w:r>
        <w:t>9. Headline design requirements (input to design options)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Storage:</w:t>
      </w:r>
      <w:r>
        <w:rPr>
          <w:b w:val="0"/>
          <w:sz w:val="21"/>
        </w:rPr>
        <w:t xml:space="preserve"> ~11,015 pallet positions today, growing ~+8.2%/quarter → target ≈ 12,000–13,000 positions incl. buffer, within the 12.2 m / 7,000 m² envelope (A008).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Long slow tail:</w:t>
      </w:r>
      <w:r>
        <w:rPr>
          <w:b w:val="0"/>
          <w:sz w:val="21"/>
        </w:rPr>
        <w:t xml:space="preserve"> 67.3% C-SKUs and 72.7% single-load SKUs → high-density/deep storage for the tail, fast forward-pick for A/B.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Picking is case-dominant</w:t>
      </w:r>
      <w:r>
        <w:rPr>
          <w:b w:val="0"/>
          <w:sz w:val="21"/>
        </w:rPr>
        <w:t xml:space="preserve"> (~83% of lifts) with meaningful each (16% of lines) and minor full-pallet (2.6%) → mixed pick methods; case-pick productivity is the key labour lever.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Re-slot to demand</w:t>
      </w:r>
      <w:r>
        <w:rPr>
          <w:b w:val="0"/>
          <w:sz w:val="21"/>
        </w:rPr>
        <w:t xml:space="preserve"> — only 48.6% ABC agreement today.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Capacity to peak</w:t>
      </w:r>
      <w:r>
        <w:rPr>
          <w:b w:val="0"/>
          <w:sz w:val="21"/>
        </w:rPr>
        <w:t xml:space="preserve"> — 1171 lines / 63469 units on the peak day; ~08:00 intraday peak.</w:t>
      </w:r>
    </w:p>
    <w:p>
      <w:pPr>
        <w:pStyle w:val="Heading1"/>
      </w:pPr>
      <w:r>
        <w:t>10. Storage capacity feasibility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Design target: peak 11,015 concurrent loads × 1.15 growth/safety buffer ÷ 0.90 target utilisation = **~14,074 pallet positions**. Measured pallet+load height is low (p90 116 cm), giving a 1.41 m level pitch and up to 8 levels under 12.2 m.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Bottom-up floor area needed to hold that target, by storage concept: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Concept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9"/>
              </w:rPr>
              <w:t>MHE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9"/>
              </w:rPr>
              <w:t>Levels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Total area m² *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% of 7,000 m²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Fits?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Selective - wide aisle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9"/>
              </w:rPr>
              <w:t>Counterbalance FLT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10,085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144%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TIGHT/NO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Selective - narrow aisle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9"/>
              </w:rPr>
              <w:t>Reach truck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7,472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107%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TIGHT/NO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Double-deep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9"/>
              </w:rPr>
              <w:t>Reach truck (deep)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6,351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91%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VNA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9"/>
              </w:rPr>
              <w:t>VNA turret truck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5,022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72%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Drive-in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9"/>
              </w:rPr>
              <w:t>Counterbalance FLT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9,369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134%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TIGHT/NO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7"/>
        </w:rPr>
        <w:t>* includes a 35% allowance for receiving, staging, pick, pack, ship, offices and circulation.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Conventional wide-aisle racking does not fit</w:t>
      </w:r>
      <w:r>
        <w:rPr>
          <w:b w:val="0"/>
          <w:sz w:val="21"/>
        </w:rPr>
        <w:t xml:space="preserve"> (144% of the envelope); drive-in is also too space-hungry given the many single-load SKUs.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Double-deep (91%) and VNA (72%) fit comfortably</w:t>
      </w:r>
      <w:r>
        <w:rPr>
          <w:b w:val="0"/>
          <w:sz w:val="21"/>
        </w:rPr>
        <w:t>; narrow-aisle single-deep is borderline (107%).</w:t>
      </w:r>
    </w:p>
    <w:p>
      <w:pPr>
        <w:pStyle w:val="ListBullet"/>
      </w:pPr>
      <w:r>
        <w:rPr>
          <w:sz w:val="21"/>
        </w:rPr>
        <w:t>→ Higher-density storage is required, not optional — this shapes the options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059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concep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5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7. Floor area to hold the position target, by concept, vs the 7,000 m² envelope.</w:t>
      </w:r>
    </w:p>
    <w:p>
      <w:pPr>
        <w:pStyle w:val="Heading1"/>
      </w:pPr>
      <w:r>
        <w:t>11. Design options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Three end-to-end options (storage × picking × MHE × policies), each aligned across the four processes.</w:t>
      </w:r>
    </w:p>
    <w:p>
      <w:pPr>
        <w:pStyle w:val="Heading2"/>
      </w:pPr>
      <w:r>
        <w:t>Option A — Conventional+ (improve the current concept)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Storage:</w:t>
      </w:r>
      <w:r>
        <w:rPr>
          <w:b w:val="0"/>
          <w:sz w:val="21"/>
        </w:rPr>
        <w:t xml:space="preserve"> selective single-deep, narrow-aisle (reach), 7 levels; two-zone ABC. ~7,500 m² (borderline).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Picking:</w:t>
      </w:r>
      <w:r>
        <w:rPr>
          <w:b w:val="0"/>
          <w:sz w:val="21"/>
        </w:rPr>
        <w:t xml:space="preserve"> RF-directed discrete + simple batch; case pick from pick-face; pallet from reserve.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MHE:</w:t>
      </w:r>
      <w:r>
        <w:rPr>
          <w:b w:val="0"/>
          <w:sz w:val="21"/>
        </w:rPr>
        <w:t xml:space="preserve"> reach trucks, low-level order pickers, pallet trucks, RF scanners.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Verdict:</w:t>
      </w:r>
      <w:r>
        <w:rPr>
          <w:b w:val="0"/>
          <w:sz w:val="21"/>
        </w:rPr>
        <w:t xml:space="preserve"> cheapest and simplest, but only just fits, with the highest travel and labour.</w:t>
      </w:r>
    </w:p>
    <w:p>
      <w:pPr>
        <w:pStyle w:val="Heading2"/>
      </w:pPr>
      <w:r>
        <w:t>Option B — Hybrid density + velocity slotting + zone/batch picking  (recommended)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Storage:</w:t>
      </w:r>
      <w:r>
        <w:rPr>
          <w:b w:val="0"/>
          <w:sz w:val="21"/>
        </w:rPr>
        <w:t xml:space="preserve"> double-deep reach racking for A/B reserve + selective single-deep for irregular SKUs + a forward-pick module (carton-flow / shelving) for fast case/each; cantilever for XLONG goods. ~6,000–6,400 m².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Picking:</w:t>
      </w:r>
      <w:r>
        <w:rPr>
          <w:b w:val="0"/>
          <w:sz w:val="21"/>
        </w:rPr>
        <w:t xml:space="preserve"> zone + batch/wave picking (batches the 50% single-line orders); A-movers in a golden-zone forward pick; voice/RF; put-to-light consolidation at pack.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MHE:</w:t>
      </w:r>
      <w:r>
        <w:rPr>
          <w:b w:val="0"/>
          <w:sz w:val="21"/>
        </w:rPr>
        <w:t xml:space="preserve"> deep-reach trucks, order pickers, pallet trucks, voice/RF, print-and-apply.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Policies:</w:t>
      </w:r>
      <w:r>
        <w:rPr>
          <w:b w:val="0"/>
          <w:sz w:val="21"/>
        </w:rPr>
        <w:t xml:space="preserve"> velocity (demand-ABC) slotting, hybrid random-within-zone storage, min/max replenishment, FIFO via FIF DATE where relevant.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Verdict:</w:t>
      </w:r>
      <w:r>
        <w:rPr>
          <w:b w:val="0"/>
          <w:sz w:val="21"/>
        </w:rPr>
        <w:t xml:space="preserve"> fits with buffer, materially lower travel/labour than A, moderate CAPEX — strongest business case.</w:t>
      </w:r>
    </w:p>
    <w:p>
      <w:pPr>
        <w:pStyle w:val="Heading2"/>
      </w:pPr>
      <w:r>
        <w:t>Option C — High-density / semi-automated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Storage:</w:t>
      </w:r>
      <w:r>
        <w:rPr>
          <w:b w:val="0"/>
          <w:sz w:val="21"/>
        </w:rPr>
        <w:t xml:space="preserve"> VNA (man-up turret) for reserve + automated small-parts store (shuttle/AutoStore-style) for the large C each-pick tail. ~5,000 m².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Picking:</w:t>
      </w:r>
      <w:r>
        <w:rPr>
          <w:b w:val="0"/>
          <w:sz w:val="21"/>
        </w:rPr>
        <w:t xml:space="preserve"> goods-to-person / pick-to-light for smalls; VNA combined storage+pick; automated sortation.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MHE:</w:t>
      </w:r>
      <w:r>
        <w:rPr>
          <w:b w:val="0"/>
          <w:sz w:val="21"/>
        </w:rPr>
        <w:t xml:space="preserve"> VNA turret trucks + guidance, automation modules, minimal manual MHE.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Verdict:</w:t>
      </w:r>
      <w:r>
        <w:rPr>
          <w:b w:val="0"/>
          <w:sz w:val="21"/>
        </w:rPr>
        <w:t xml:space="preserve"> densest and lowest labour, but highest CAPEX and complexity; ROI depends on labour cost.</w:t>
      </w:r>
    </w:p>
    <w:p>
      <w:pPr>
        <w:pStyle w:val="Heading1"/>
      </w:pPr>
      <w:r>
        <w:t>12. Decision matrix &amp; recommendation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Weighted score (max 5)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 - Hybrid density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9"/>
              </w:rPr>
              <w:t>3.75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9"/>
              </w:rPr>
              <w:t>RECOMMENDED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 - Semi-automated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9"/>
              </w:rPr>
              <w:t>3.70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9"/>
              </w:rPr>
              <w:t>Strong alternative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 - Conventional+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9"/>
              </w:rPr>
              <w:t>3.05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9"/>
              </w:rPr>
              <w:t>Baseline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222222"/>
          <w:sz w:val="21"/>
        </w:rPr>
        <w:t>Weight-sensitivity (robustness):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Option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Base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Cost-driven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Space-driven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 - Hybrid density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 - Semi-automated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3.35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4.85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 - Conventional+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3.35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3.55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718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666666"/>
          <w:sz w:val="17"/>
        </w:rPr>
        <w:t>Fig 8. Weighted decision-matrix scores.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Recommended: B - Hybrid density.</w:t>
      </w:r>
      <w:r>
        <w:rPr>
          <w:b w:val="0"/>
          <w:sz w:val="21"/>
        </w:rPr>
        <w:t xml:space="preserve"> It wins on base and cost-driven weightings; C overtakes only when space is the dominant criterion — likely if A008 resolves to a small Assa-only envelope.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Why (data):</w:t>
      </w:r>
      <w:r>
        <w:rPr>
          <w:b w:val="0"/>
          <w:sz w:val="21"/>
        </w:rPr>
        <w:t xml:space="preserve"> double-deep fits at 91% where wide-aisle (144%) does not; 83% of lifts are case picking and 50% of orders single-line → batch/zone picking is the biggest labour lever; 48.6% ABC mismatch → velocity slotting is a cheap, high-value win; 73% single-load tail → dense reserve + fast forward pick.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Conditions before locking:</w:t>
      </w:r>
      <w:r>
        <w:rPr>
          <w:b w:val="0"/>
          <w:sz w:val="21"/>
        </w:rPr>
        <w:t xml:space="preserve"> confirm the 7,000 m² scope (A008); obtain labour/equipment costs (A006) to confirm B vs C in the financial model; validate double-deep against the EURO/K3/XLONG pallet mix.</w:t>
      </w:r>
    </w:p>
    <w:p>
      <w:pPr>
        <w:pStyle w:val="Heading1"/>
      </w:pPr>
      <w:r>
        <w:t>13. Assumptions &amp; open questions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Logged in data/assumptions.json. Items that materially affect the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Assumption / open question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Max facility footprint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A002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Max clear/building height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Analysis period is representative of normal operation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A004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One LODNUM (load) occupies one pallet position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STAGED STATUS 'LATE' reflects staging vs the LATE SHIP window, i.e. a genuine on-time-staging miss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 labour-productivity, MHE-fleet or cost data was provided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A008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7,000 m2 / 12.2 m envelope is the space available to DESIGN THE ASSA ABLOY operation within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A010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Design pallet-position target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9"/>
              </w:rPr>
              <w:t>HIGH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18"/>
        </w:rPr>
        <w:t>Sources: project brief (client/university) and the Assa Abloy data files. External benchmarks (productivity, equipment specs, costs, safety codes) will be added with citations as later phases use them.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Project OTM — Assa Abloy @ DHL Bemmel  ·  Deliverable 1 (Analysis) DRAFT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400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