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p>
    <w:p>
      <w:pPr>
        <w:spacing w:after="40"/>
        <w:jc w:val="center"/>
      </w:pPr>
      <w:r>
        <w:rPr>
          <w:b/>
          <w:i w:val="0"/>
          <w:color w:val="D40011"/>
          <w:sz w:val="26"/>
        </w:rPr>
        <w:t>PROJECT OTM</w:t>
      </w:r>
    </w:p>
    <w:p>
      <w:pPr>
        <w:spacing w:after="40"/>
        <w:jc w:val="center"/>
      </w:pPr>
      <w:r>
        <w:rPr>
          <w:b/>
          <w:i w:val="0"/>
          <w:color w:val="222222"/>
          <w:sz w:val="44"/>
        </w:rPr>
        <w:t>Future-State Operational Design</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pPr>
            <w:r/>
            <w:r>
              <w:rPr>
                <w:sz w:val="19"/>
              </w:rPr>
              <w:t>2 — Proposed future state for the in-scope processes</w:t>
            </w:r>
          </w:p>
        </w:tc>
      </w:tr>
      <w:tr>
        <w:trPr>
          <w:cantSplit/>
        </w:trPr>
        <w:tc>
          <w:tcPr>
            <w:tcW w:type="dxa" w:w="2551"/>
          </w:tcPr>
          <w:p>
            <w:pPr>
              <w:keepNext/>
            </w:pPr>
            <w:r/>
            <w:r>
              <w:rPr>
                <w:sz w:val="19"/>
              </w:rPr>
              <w:t>Due date</w:t>
            </w:r>
          </w:p>
        </w:tc>
        <w:tc>
          <w:tcPr>
            <w:tcW w:type="dxa" w:w="6236"/>
          </w:tcPr>
          <w:p>
            <w:pPr>
              <w:keepNext/>
            </w:pPr>
            <w:r/>
            <w:r>
              <w:rPr>
                <w:sz w:val="19"/>
              </w:rPr>
              <w:t>07-10-2026</w:t>
            </w:r>
          </w:p>
        </w:tc>
      </w:tr>
      <w:tr>
        <w:trPr>
          <w:cantSplit/>
        </w:trPr>
        <w:tc>
          <w:tcPr>
            <w:tcW w:type="dxa" w:w="2551"/>
          </w:tcPr>
          <w:p>
            <w:pPr>
              <w:keepNext/>
            </w:pPr>
            <w:r/>
            <w:r>
              <w:rPr>
                <w:sz w:val="19"/>
              </w:rPr>
              <w:t>Concept</w:t>
            </w:r>
          </w:p>
        </w:tc>
        <w:tc>
          <w:tcPr>
            <w:tcW w:type="dxa" w:w="6236"/>
          </w:tcPr>
          <w:p>
            <w:pPr>
              <w:keepNext/>
            </w:pPr>
            <w:r/>
            <w:r>
              <w:rPr>
                <w:sz w:val="19"/>
              </w:rPr>
              <w:t>Option B — Hybrid density + velocity slotting + zone/batch picking</w:t>
            </w:r>
          </w:p>
        </w:tc>
      </w:tr>
      <w:tr>
        <w:trPr>
          <w:cantSplit/>
        </w:trPr>
        <w:tc>
          <w:tcPr>
            <w:tcW w:type="dxa" w:w="2551"/>
          </w:tcPr>
          <w:p>
            <w:pPr>
              <w:keepNext/>
            </w:pPr>
            <w:r/>
            <w:r>
              <w:rPr>
                <w:sz w:val="19"/>
              </w:rPr>
              <w:t>Envelope</w:t>
            </w:r>
          </w:p>
        </w:tc>
        <w:tc>
          <w:tcPr>
            <w:tcW w:type="dxa" w:w="6236"/>
          </w:tcPr>
          <w:p>
            <w:pPr>
              <w:keepNext/>
            </w:pPr>
            <w:r/>
            <w:r>
              <w:rPr>
                <w:sz w:val="19"/>
              </w:rPr>
              <w:t>≤ 7,000 m² · ≤ 12.2 m</w:t>
            </w:r>
          </w:p>
        </w:tc>
      </w:tr>
      <w:tr>
        <w:trPr>
          <w:cantSplit/>
        </w:trPr>
        <w:tc>
          <w:tcPr>
            <w:tcW w:type="dxa" w:w="2551"/>
          </w:tcPr>
          <w:p>
            <w:pPr>
              <w:keepNext/>
            </w:pPr>
            <w:r/>
            <w:r>
              <w:rPr>
                <w:sz w:val="19"/>
              </w:rPr>
              <w:t>Team</w:t>
            </w:r>
          </w:p>
        </w:tc>
        <w:tc>
          <w:tcPr>
            <w:tcW w:type="dxa" w:w="6236"/>
          </w:tcPr>
          <w:p>
            <w:pPr>
              <w:keepNext/>
            </w:pPr>
            <w:r/>
            <w:r>
              <w:rPr>
                <w:sz w:val="19"/>
              </w:rPr>
              <w:t>Group 3 — Gleb, Rachel Selvarathnam, Arnau, Vidhi</w:t>
            </w:r>
          </w:p>
        </w:tc>
      </w:tr>
      <w:tr>
        <w:trPr>
          <w:cantSplit/>
        </w:trPr>
        <w:tc>
          <w:tcPr>
            <w:tcW w:type="dxa" w:w="2551"/>
          </w:tcPr>
          <w:p>
            <w:r/>
            <w:r>
              <w:rPr>
                <w:sz w:val="19"/>
              </w:rPr>
              <w:t>Version</w:t>
            </w:r>
          </w:p>
        </w:tc>
        <w:tc>
          <w:tcPr>
            <w:tcW w:type="dxa" w:w="6236"/>
          </w:tcPr>
          <w:p>
            <w:r/>
            <w:r>
              <w:rPr>
                <w:sz w:val="19"/>
              </w:rPr>
              <w:t>v3 (with Deliverable 3) — single-deep back-to-back racks, loose-container zone, machinery review</w:t>
            </w:r>
          </w:p>
        </w:tc>
      </w:tr>
    </w:tbl>
    <w:p>
      <w:pPr>
        <w:spacing w:after="40"/>
      </w:pPr>
    </w:p>
    <w:p>
      <w:pPr>
        <w:spacing w:after="120"/>
      </w:pPr>
      <w:r>
        <w:rPr>
          <w:b w:val="0"/>
          <w:i/>
          <w:color w:val="666666"/>
          <w:sz w:val="18"/>
        </w:rPr>
        <w:t>Future-state design for the recommended Option B (Deliverable 1). Workload drivers are measured from the Assa Abloy Q2-2025 data; equipment data come from Jungheinrich; productivities and handling allowances are documented assumptions (Section 7) to be validated with DHL. Reproducible from analysis/*.py.</w:t>
      </w:r>
    </w:p>
    <w:p>
      <w:r>
        <w:br w:type="page"/>
      </w:r>
    </w:p>
    <w:p>
      <w:pPr>
        <w:pStyle w:val="Heading1"/>
      </w:pPr>
      <w:r>
        <w:t>Contents</w:t>
      </w:r>
    </w:p>
    <w:p>
      <w:fldSimple w:instr="TOC \o &quot;1-2&quot; \h \z \u">
        <w:r>
          <w:t>(In Word: right-click → Update Field to build the table of contents.)</w:t>
        </w:r>
      </w:fldSimple>
    </w:p>
    <w:p>
      <w:r>
        <w:br w:type="page"/>
      </w:r>
    </w:p>
    <w:p>
      <w:pPr>
        <w:pStyle w:val="Heading1"/>
      </w:pPr>
      <w:r>
        <w:t>1. Recommended concept and what changed</w:t>
      </w:r>
    </w:p>
    <w:p>
      <w:pPr>
        <w:spacing w:after="120"/>
      </w:pPr>
      <w:r>
        <w:rPr>
          <w:b w:val="0"/>
          <w:i w:val="0"/>
          <w:color w:val="222222"/>
          <w:sz w:val="21"/>
        </w:rPr>
        <w:t>Option B was selected in Deliverable 1. It combines single-deep pallet racking placed back-to-back (one pallet each side, every pallet reachable from an aisle), a module for odd items, a long-goods module with 4.5 m bays, bin shelving for small slow parts, and a fast-pick area (carton-flow / shelving) for the best-sellers, run with demand-based slotting and zone + batch picking. This version builds in the points agreed with the teacher and DHL:</w:t>
      </w:r>
    </w:p>
    <w:tbl>
      <w:tblPr>
        <w:tblStyle w:val="LightGrid-Accent1"/>
        <w:tblW w:type="auto" w:w="0"/>
        <w:jc w:val="center"/>
        <w:tblLayout w:type="fixed"/>
        <w:tblLook w:firstColumn="1" w:firstRow="1" w:lastColumn="0" w:lastRow="0" w:noHBand="0" w:noVBand="1" w:val="04A0"/>
      </w:tblPr>
      <w:tblGrid>
        <w:gridCol w:w="1701"/>
        <w:gridCol w:w="2835"/>
        <w:gridCol w:w="4535"/>
      </w:tblGrid>
      <w:tr>
        <w:trPr>
          <w:cantSplit/>
        </w:trPr>
        <w:tc>
          <w:tcPr>
            <w:tcW w:type="dxa" w:w="1701"/>
          </w:tcPr>
          <w:p>
            <w:pPr>
              <w:keepNext/>
            </w:pPr>
            <w:r/>
            <w:r>
              <w:rPr>
                <w:b/>
                <w:sz w:val="19"/>
              </w:rPr>
              <w:t>Topic</w:t>
            </w:r>
          </w:p>
        </w:tc>
        <w:tc>
          <w:tcPr>
            <w:tcW w:type="dxa" w:w="2835"/>
          </w:tcPr>
          <w:p>
            <w:pPr>
              <w:keepNext/>
            </w:pPr>
            <w:r/>
            <w:r>
              <w:rPr>
                <w:b/>
                <w:sz w:val="19"/>
              </w:rPr>
              <w:t>Before</w:t>
            </w:r>
          </w:p>
        </w:tc>
        <w:tc>
          <w:tcPr>
            <w:tcW w:type="dxa" w:w="4535"/>
          </w:tcPr>
          <w:p>
            <w:pPr>
              <w:keepNext/>
            </w:pPr>
            <w:r/>
            <w:r>
              <w:rPr>
                <w:b/>
                <w:sz w:val="19"/>
              </w:rPr>
              <w:t>Now (this version)</w:t>
            </w:r>
          </w:p>
        </w:tc>
      </w:tr>
      <w:tr>
        <w:trPr>
          <w:cantSplit/>
        </w:trPr>
        <w:tc>
          <w:tcPr>
            <w:tcW w:type="dxa" w:w="1701"/>
          </w:tcPr>
          <w:p>
            <w:pPr>
              <w:keepNext/>
            </w:pPr>
            <w:r/>
            <w:r>
              <w:rPr>
                <w:sz w:val="19"/>
              </w:rPr>
              <w:t>Storage basis</w:t>
            </w:r>
          </w:p>
        </w:tc>
        <w:tc>
          <w:tcPr>
            <w:tcW w:type="dxa" w:w="2835"/>
          </w:tcPr>
          <w:p>
            <w:pPr>
              <w:keepNext/>
            </w:pPr>
            <w:r/>
            <w:r>
              <w:rPr>
                <w:sz w:val="19"/>
              </w:rPr>
              <w:t>14,074 positions (11,015 loads + buffer)</w:t>
            </w:r>
          </w:p>
        </w:tc>
        <w:tc>
          <w:tcPr>
            <w:tcW w:type="dxa" w:w="4535"/>
          </w:tcPr>
          <w:p>
            <w:pPr>
              <w:keepNext/>
            </w:pPr>
            <w:r/>
            <w:r>
              <w:rPr>
                <w:sz w:val="19"/>
              </w:rPr>
              <w:t>~9,500 positions: peak 8,512 occupied locations ÷ 0.90</w:t>
            </w:r>
          </w:p>
        </w:tc>
      </w:tr>
      <w:tr>
        <w:trPr>
          <w:cantSplit/>
        </w:trPr>
        <w:tc>
          <w:tcPr>
            <w:tcW w:type="dxa" w:w="1701"/>
          </w:tcPr>
          <w:p>
            <w:pPr>
              <w:keepNext/>
            </w:pPr>
            <w:r/>
            <w:r>
              <w:rPr>
                <w:sz w:val="19"/>
              </w:rPr>
              <w:t>Pick method</w:t>
            </w:r>
          </w:p>
        </w:tc>
        <w:tc>
          <w:tcPr>
            <w:tcW w:type="dxa" w:w="2835"/>
          </w:tcPr>
          <w:p>
            <w:pPr>
              <w:keepNext/>
            </w:pPr>
            <w:r/>
            <w:r>
              <w:rPr>
                <w:sz w:val="19"/>
              </w:rPr>
              <w:t>DHL's historical pick flags (61% case)</w:t>
            </w:r>
          </w:p>
        </w:tc>
        <w:tc>
          <w:tcPr>
            <w:tcW w:type="dxa" w:w="4535"/>
          </w:tcPr>
          <w:p>
            <w:pPr>
              <w:keepNext/>
            </w:pPr>
            <w:r/>
            <w:r>
              <w:rPr>
                <w:sz w:val="19"/>
              </w:rPr>
              <w:t>Derived from the orders: 75% each / 24% case / 1% full-pallet lines</w:t>
            </w:r>
          </w:p>
        </w:tc>
      </w:tr>
      <w:tr>
        <w:trPr>
          <w:cantSplit/>
        </w:trPr>
        <w:tc>
          <w:tcPr>
            <w:tcW w:type="dxa" w:w="1701"/>
          </w:tcPr>
          <w:p>
            <w:pPr>
              <w:keepNext/>
            </w:pPr>
            <w:r/>
            <w:r>
              <w:rPr>
                <w:sz w:val="19"/>
              </w:rPr>
              <w:t>Inbound</w:t>
            </w:r>
          </w:p>
        </w:tc>
        <w:tc>
          <w:tcPr>
            <w:tcW w:type="dxa" w:w="2835"/>
          </w:tcPr>
          <w:p>
            <w:pPr>
              <w:keepNext/>
            </w:pPr>
            <w:r/>
            <w:r>
              <w:rPr>
                <w:sz w:val="19"/>
              </w:rPr>
              <w:t>Estimated from flow balance</w:t>
            </w:r>
          </w:p>
        </w:tc>
        <w:tc>
          <w:tcPr>
            <w:tcW w:type="dxa" w:w="4535"/>
          </w:tcPr>
          <w:p>
            <w:pPr>
              <w:keepNext/>
            </w:pPr>
            <w:r/>
            <w:r>
              <w:rPr>
                <w:sz w:val="19"/>
              </w:rPr>
              <w:t>Measured ~99 loads/day; 2 shipments/day from Assa Abloy factories, pallets + loose containers</w:t>
            </w:r>
          </w:p>
        </w:tc>
      </w:tr>
      <w:tr>
        <w:trPr>
          <w:cantSplit/>
        </w:trPr>
        <w:tc>
          <w:tcPr>
            <w:tcW w:type="dxa" w:w="1701"/>
          </w:tcPr>
          <w:p>
            <w:pPr>
              <w:keepNext/>
            </w:pPr>
            <w:r/>
            <w:r>
              <w:rPr>
                <w:sz w:val="19"/>
              </w:rPr>
              <w:t>Dock doors</w:t>
            </w:r>
          </w:p>
        </w:tc>
        <w:tc>
          <w:tcPr>
            <w:tcW w:type="dxa" w:w="2835"/>
          </w:tcPr>
          <w:p>
            <w:pPr>
              <w:keepNext/>
            </w:pPr>
            <w:r/>
            <w:r>
              <w:rPr>
                <w:sz w:val="19"/>
              </w:rPr>
              <w:t>3 + 3 assumed</w:t>
            </w:r>
          </w:p>
        </w:tc>
        <w:tc>
          <w:tcPr>
            <w:tcW w:type="dxa" w:w="4535"/>
          </w:tcPr>
          <w:p>
            <w:pPr>
              <w:keepNext/>
            </w:pPr>
            <w:r/>
            <w:r>
              <w:rPr>
                <w:sz w:val="19"/>
              </w:rPr>
              <w:t>Calculated: 3 receiving (west, 1 container dock) + 5 shipping (east)</w:t>
            </w:r>
          </w:p>
        </w:tc>
      </w:tr>
      <w:tr>
        <w:trPr>
          <w:cantSplit/>
        </w:trPr>
        <w:tc>
          <w:tcPr>
            <w:tcW w:type="dxa" w:w="1701"/>
          </w:tcPr>
          <w:p>
            <w:pPr>
              <w:keepNext/>
            </w:pPr>
            <w:r/>
            <w:r>
              <w:rPr>
                <w:sz w:val="19"/>
              </w:rPr>
              <w:t>Equipment</w:t>
            </w:r>
          </w:p>
        </w:tc>
        <w:tc>
          <w:tcPr>
            <w:tcW w:type="dxa" w:w="2835"/>
          </w:tcPr>
          <w:p>
            <w:pPr>
              <w:keepNext/>
            </w:pPr>
            <w:r/>
            <w:r>
              <w:rPr>
                <w:sz w:val="19"/>
              </w:rPr>
              <w:t>Generic truck types (then ECE 225 for picking)</w:t>
            </w:r>
          </w:p>
        </w:tc>
        <w:tc>
          <w:tcPr>
            <w:tcW w:type="dxa" w:w="4535"/>
          </w:tcPr>
          <w:p>
            <w:pPr>
              <w:keepNext/>
            </w:pPr>
            <w:r/>
            <w:r>
              <w:rPr>
                <w:sz w:val="19"/>
              </w:rPr>
              <w:t>Jungheinrich ETV 216i ×2, EJE 120i ×3, ERE 225 ×2 + 6 pick trolleys; ECE 225 dropped (too long for the aisles, 2 pallets far too big for the orders)</w:t>
            </w:r>
          </w:p>
        </w:tc>
      </w:tr>
      <w:tr>
        <w:trPr>
          <w:cantSplit/>
        </w:trPr>
        <w:tc>
          <w:tcPr>
            <w:tcW w:type="dxa" w:w="1701"/>
          </w:tcPr>
          <w:p>
            <w:pPr>
              <w:keepNext/>
            </w:pPr>
            <w:r/>
            <w:r>
              <w:rPr>
                <w:sz w:val="19"/>
              </w:rPr>
              <w:t>Picking</w:t>
            </w:r>
          </w:p>
        </w:tc>
        <w:tc>
          <w:tcPr>
            <w:tcW w:type="dxa" w:w="2835"/>
          </w:tcPr>
          <w:p>
            <w:pPr>
              <w:keepNext/>
            </w:pPr>
            <w:r/>
            <w:r>
              <w:rPr>
                <w:sz w:val="19"/>
              </w:rPr>
              <w:t>One method for all orders</w:t>
            </w:r>
          </w:p>
        </w:tc>
        <w:tc>
          <w:tcPr>
            <w:tcW w:type="dxa" w:w="4535"/>
          </w:tcPr>
          <w:p>
            <w:pPr>
              <w:keepNext/>
            </w:pPr>
            <w:r/>
            <w:r>
              <w:rPr>
                <w:sz w:val="19"/>
              </w:rPr>
              <w:t>Split by order size: 84% small orders on trolleys (batch), 16% large orders picked onto a pallet</w:t>
            </w:r>
          </w:p>
        </w:tc>
      </w:tr>
      <w:tr>
        <w:trPr>
          <w:cantSplit/>
        </w:trPr>
        <w:tc>
          <w:tcPr>
            <w:tcW w:type="dxa" w:w="1701"/>
          </w:tcPr>
          <w:p>
            <w:pPr>
              <w:keepNext/>
            </w:pPr>
            <w:r/>
            <w:r>
              <w:rPr>
                <w:sz w:val="19"/>
              </w:rPr>
              <w:t>Aisles</w:t>
            </w:r>
          </w:p>
        </w:tc>
        <w:tc>
          <w:tcPr>
            <w:tcW w:type="dxa" w:w="2835"/>
          </w:tcPr>
          <w:p>
            <w:pPr>
              <w:keepNext/>
            </w:pPr>
            <w:r/>
            <w:r>
              <w:rPr>
                <w:sz w:val="19"/>
              </w:rPr>
              <w:t>Racks run to 1.5 m from the wall (dead ends)</w:t>
            </w:r>
          </w:p>
        </w:tc>
        <w:tc>
          <w:tcPr>
            <w:tcW w:type="dxa" w:w="4535"/>
          </w:tcPr>
          <w:p>
            <w:pPr>
              <w:keepNext/>
            </w:pPr>
            <w:r/>
            <w:r>
              <w:rPr>
                <w:sz w:val="19"/>
              </w:rPr>
              <w:t>Front + rear cross-aisles: every aisle open at both ends — no U-turns</w:t>
            </w:r>
          </w:p>
        </w:tc>
      </w:tr>
      <w:tr>
        <w:trPr>
          <w:cantSplit/>
        </w:trPr>
        <w:tc>
          <w:tcPr>
            <w:tcW w:type="dxa" w:w="1701"/>
          </w:tcPr>
          <w:p>
            <w:pPr>
              <w:keepNext/>
            </w:pPr>
            <w:r/>
            <w:r>
              <w:rPr>
                <w:sz w:val="19"/>
              </w:rPr>
              <w:t>Trailers</w:t>
            </w:r>
          </w:p>
        </w:tc>
        <w:tc>
          <w:tcPr>
            <w:tcW w:type="dxa" w:w="2835"/>
          </w:tcPr>
          <w:p>
            <w:pPr>
              <w:keepNext/>
            </w:pPr>
            <w:r/>
            <w:r>
              <w:rPr>
                <w:sz w:val="19"/>
              </w:rPr>
              <w:t>Leave whenever loaded</w:t>
            </w:r>
          </w:p>
        </w:tc>
        <w:tc>
          <w:tcPr>
            <w:tcW w:type="dxa" w:w="4535"/>
          </w:tcPr>
          <w:p>
            <w:pPr>
              <w:keepNext/>
            </w:pPr>
            <w:r/>
            <w:r>
              <w:rPr>
                <w:sz w:val="19"/>
              </w:rPr>
              <w:t>Departure plan by carrier (14 slots); 3 pick waves planned backwards</w:t>
            </w:r>
          </w:p>
        </w:tc>
      </w:tr>
      <w:tr>
        <w:trPr>
          <w:cantSplit/>
        </w:trPr>
        <w:tc>
          <w:tcPr>
            <w:tcW w:type="dxa" w:w="1701"/>
          </w:tcPr>
          <w:p>
            <w:pPr>
              <w:keepNext/>
            </w:pPr>
            <w:r/>
            <w:r>
              <w:rPr>
                <w:sz w:val="19"/>
              </w:rPr>
              <w:t>Loose containers</w:t>
            </w:r>
          </w:p>
        </w:tc>
        <w:tc>
          <w:tcPr>
            <w:tcW w:type="dxa" w:w="2835"/>
          </w:tcPr>
          <w:p>
            <w:pPr>
              <w:keepNext/>
            </w:pPr>
            <w:r/>
            <w:r>
              <w:rPr>
                <w:sz w:val="19"/>
              </w:rPr>
              <w:t>Unpacked at the dock door</w:t>
            </w:r>
          </w:p>
        </w:tc>
        <w:tc>
          <w:tcPr>
            <w:tcW w:type="dxa" w:w="4535"/>
          </w:tcPr>
          <w:p>
            <w:pPr>
              <w:keepNext/>
            </w:pPr>
            <w:r/>
            <w:r>
              <w:rPr>
                <w:sz w:val="19"/>
              </w:rPr>
              <w:t>Own 190 m² loose-container zone at door R1: unpack, sort per SKU, build pallets</w:t>
            </w:r>
          </w:p>
        </w:tc>
      </w:tr>
      <w:tr>
        <w:trPr>
          <w:cantSplit/>
        </w:trPr>
        <w:tc>
          <w:tcPr>
            <w:tcW w:type="dxa" w:w="1701"/>
          </w:tcPr>
          <w:p>
            <w:pPr>
              <w:keepNext/>
            </w:pPr>
            <w:r/>
            <w:r>
              <w:rPr>
                <w:sz w:val="19"/>
              </w:rPr>
              <w:t>Racking</w:t>
            </w:r>
          </w:p>
        </w:tc>
        <w:tc>
          <w:tcPr>
            <w:tcW w:type="dxa" w:w="2835"/>
          </w:tcPr>
          <w:p>
            <w:pPr>
              <w:keepNext/>
            </w:pPr>
            <w:r/>
            <w:r>
              <w:rPr>
                <w:sz w:val="19"/>
              </w:rPr>
              <w:t>Double-deep (telescopic forks)</w:t>
            </w:r>
          </w:p>
        </w:tc>
        <w:tc>
          <w:tcPr>
            <w:tcW w:type="dxa" w:w="4535"/>
          </w:tcPr>
          <w:p>
            <w:pPr>
              <w:keepNext/>
            </w:pPr>
            <w:r/>
            <w:r>
              <w:rPr>
                <w:sz w:val="19"/>
              </w:rPr>
              <w:t>Single-deep back-to-back: 8,960 positions incl. 320 long-goods, standard forks</w:t>
            </w:r>
          </w:p>
        </w:tc>
      </w:tr>
      <w:tr>
        <w:trPr>
          <w:cantSplit/>
        </w:trPr>
        <w:tc>
          <w:tcPr>
            <w:tcW w:type="dxa" w:w="1701"/>
          </w:tcPr>
          <w:p>
            <w:pPr>
              <w:keepNext/>
            </w:pPr>
            <w:r/>
            <w:r>
              <w:rPr>
                <w:sz w:val="19"/>
              </w:rPr>
              <w:t>Small parts</w:t>
            </w:r>
          </w:p>
        </w:tc>
        <w:tc>
          <w:tcPr>
            <w:tcW w:type="dxa" w:w="2835"/>
          </w:tcPr>
          <w:p>
            <w:pPr>
              <w:keepNext/>
            </w:pPr>
            <w:r/>
            <w:r>
              <w:rPr>
                <w:sz w:val="19"/>
              </w:rPr>
              <w:t>A pallet location each</w:t>
            </w:r>
          </w:p>
        </w:tc>
        <w:tc>
          <w:tcPr>
            <w:tcW w:type="dxa" w:w="4535"/>
          </w:tcPr>
          <w:p>
            <w:pPr>
              <w:keepNext/>
            </w:pPr>
            <w:r/>
            <w:r>
              <w:rPr>
                <w:sz w:val="19"/>
              </w:rPr>
              <w:t>2,657 slow small SKUs in half-bins on 188 shelving bays next to the put-wall</w:t>
            </w:r>
          </w:p>
        </w:tc>
      </w:tr>
      <w:tr>
        <w:trPr>
          <w:cantSplit/>
        </w:trPr>
        <w:tc>
          <w:tcPr>
            <w:tcW w:type="dxa" w:w="1701"/>
          </w:tcPr>
          <w:p>
            <w:r/>
            <w:r>
              <w:rPr>
                <w:sz w:val="19"/>
              </w:rPr>
              <w:t>08:00 peak</w:t>
            </w:r>
          </w:p>
        </w:tc>
        <w:tc>
          <w:tcPr>
            <w:tcW w:type="dxa" w:w="2835"/>
          </w:tcPr>
          <w:p>
            <w:r/>
            <w:r>
              <w:rPr>
                <w:sz w:val="19"/>
              </w:rPr>
              <w:t>Treated as customer demand</w:t>
            </w:r>
          </w:p>
        </w:tc>
        <w:tc>
          <w:tcPr>
            <w:tcW w:type="dxa" w:w="4535"/>
          </w:tcPr>
          <w:p>
            <w:r/>
            <w:r>
              <w:rPr>
                <w:sz w:val="19"/>
              </w:rPr>
              <w:t>Caused by the order-release routine → release in waves</w:t>
            </w:r>
          </w:p>
        </w:tc>
      </w:tr>
    </w:tbl>
    <w:p>
      <w:pPr>
        <w:spacing w:after="40"/>
      </w:pPr>
    </w:p>
    <w:p>
      <w:pPr>
        <w:spacing w:after="80"/>
      </w:pPr>
      <w:r>
        <w:rPr>
          <w:b w:val="0"/>
          <w:i w:val="0"/>
          <w:color w:val="222222"/>
          <w:sz w:val="21"/>
        </w:rPr>
        <w:t>The design follows the steps of the Week 3 design approach (Baker &amp; Canessa, 2009, S017) and was iterated after each feedback round:</w:t>
      </w:r>
    </w:p>
    <w:tbl>
      <w:tblPr>
        <w:tblStyle w:val="LightGrid-Accent1"/>
        <w:tblW w:type="auto" w:w="0"/>
        <w:jc w:val="center"/>
        <w:tblLayout w:type="fixed"/>
        <w:tblLook w:firstColumn="1" w:firstRow="1" w:lastColumn="0" w:lastRow="0" w:noHBand="0" w:noVBand="1" w:val="04A0"/>
      </w:tblPr>
      <w:tblGrid>
        <w:gridCol w:w="3402"/>
        <w:gridCol w:w="5669"/>
      </w:tblGrid>
      <w:tr>
        <w:trPr>
          <w:cantSplit/>
        </w:trPr>
        <w:tc>
          <w:tcPr>
            <w:tcW w:type="dxa" w:w="3402"/>
          </w:tcPr>
          <w:p>
            <w:pPr>
              <w:keepNext/>
            </w:pPr>
            <w:r/>
            <w:r>
              <w:rPr>
                <w:b/>
                <w:sz w:val="19"/>
              </w:rPr>
              <w:t>Design step (W3)</w:t>
            </w:r>
          </w:p>
        </w:tc>
        <w:tc>
          <w:tcPr>
            <w:tcW w:type="dxa" w:w="5669"/>
          </w:tcPr>
          <w:p>
            <w:pPr>
              <w:keepNext/>
            </w:pPr>
            <w:r/>
            <w:r>
              <w:rPr>
                <w:b/>
                <w:sz w:val="19"/>
              </w:rPr>
              <w:t>Where it is done</w:t>
            </w:r>
          </w:p>
        </w:tc>
      </w:tr>
      <w:tr>
        <w:trPr>
          <w:cantSplit/>
        </w:trPr>
        <w:tc>
          <w:tcPr>
            <w:tcW w:type="dxa" w:w="3402"/>
          </w:tcPr>
          <w:p>
            <w:pPr>
              <w:keepNext/>
            </w:pPr>
            <w:r/>
            <w:r>
              <w:rPr>
                <w:sz w:val="19"/>
              </w:rPr>
              <w:t>Define requirements and objective</w:t>
            </w:r>
          </w:p>
        </w:tc>
        <w:tc>
          <w:tcPr>
            <w:tcW w:type="dxa" w:w="5669"/>
          </w:tcPr>
          <w:p>
            <w:pPr>
              <w:keepNext/>
            </w:pPr>
            <w:r/>
            <w:r>
              <w:rPr>
                <w:sz w:val="19"/>
              </w:rPr>
              <w:t>D1 §9 requirements; brief limits 7,000 m² / 12.2 m</w:t>
            </w:r>
          </w:p>
        </w:tc>
      </w:tr>
      <w:tr>
        <w:trPr>
          <w:cantSplit/>
        </w:trPr>
        <w:tc>
          <w:tcPr>
            <w:tcW w:type="dxa" w:w="3402"/>
          </w:tcPr>
          <w:p>
            <w:pPr>
              <w:keepNext/>
            </w:pPr>
            <w:r/>
            <w:r>
              <w:rPr>
                <w:sz w:val="19"/>
              </w:rPr>
              <w:t>Collect and analyse data</w:t>
            </w:r>
          </w:p>
        </w:tc>
        <w:tc>
          <w:tcPr>
            <w:tcW w:type="dxa" w:w="5669"/>
          </w:tcPr>
          <w:p>
            <w:pPr>
              <w:keepNext/>
            </w:pPr>
            <w:r/>
            <w:r>
              <w:rPr>
                <w:sz w:val="19"/>
              </w:rPr>
              <w:t>D1 §3–8 (SKUs, stock, orders, ABC, peaks); D2 §4.1 inbound</w:t>
            </w:r>
          </w:p>
        </w:tc>
      </w:tr>
      <w:tr>
        <w:trPr>
          <w:cantSplit/>
        </w:trPr>
        <w:tc>
          <w:tcPr>
            <w:tcW w:type="dxa" w:w="3402"/>
          </w:tcPr>
          <w:p>
            <w:pPr>
              <w:keepNext/>
            </w:pPr>
            <w:r/>
            <w:r>
              <w:rPr>
                <w:sz w:val="19"/>
              </w:rPr>
              <w:t>Process flows, handling, storage and throughput</w:t>
            </w:r>
          </w:p>
        </w:tc>
        <w:tc>
          <w:tcPr>
            <w:tcW w:type="dxa" w:w="5669"/>
          </w:tcPr>
          <w:p>
            <w:pPr>
              <w:keepNext/>
            </w:pPr>
            <w:r/>
            <w:r>
              <w:rPr>
                <w:sz w:val="19"/>
              </w:rPr>
              <w:t>D2 §2 processes; §4 docks, departures, order release</w:t>
            </w:r>
          </w:p>
        </w:tc>
      </w:tr>
      <w:tr>
        <w:trPr>
          <w:cantSplit/>
        </w:trPr>
        <w:tc>
          <w:tcPr>
            <w:tcW w:type="dxa" w:w="3402"/>
          </w:tcPr>
          <w:p>
            <w:pPr>
              <w:keepNext/>
            </w:pPr>
            <w:r/>
            <w:r>
              <w:rPr>
                <w:sz w:val="19"/>
              </w:rPr>
              <w:t>Equipment, storage and handling systems, policies</w:t>
            </w:r>
          </w:p>
        </w:tc>
        <w:tc>
          <w:tcPr>
            <w:tcW w:type="dxa" w:w="5669"/>
          </w:tcPr>
          <w:p>
            <w:pPr>
              <w:keepNext/>
            </w:pPr>
            <w:r/>
            <w:r>
              <w:rPr>
                <w:sz w:val="19"/>
              </w:rPr>
              <w:t>D2 §3 policies and COI slotting; §6.2–6.3 picking and machinery</w:t>
            </w:r>
          </w:p>
        </w:tc>
      </w:tr>
      <w:tr>
        <w:trPr>
          <w:cantSplit/>
        </w:trPr>
        <w:tc>
          <w:tcPr>
            <w:tcW w:type="dxa" w:w="3402"/>
          </w:tcPr>
          <w:p>
            <w:pPr>
              <w:keepNext/>
            </w:pPr>
            <w:r/>
            <w:r>
              <w:rPr>
                <w:sz w:val="19"/>
              </w:rPr>
              <w:t>Layout, zones and flows</w:t>
            </w:r>
          </w:p>
        </w:tc>
        <w:tc>
          <w:tcPr>
            <w:tcW w:type="dxa" w:w="5669"/>
          </w:tcPr>
          <w:p>
            <w:pPr>
              <w:keepNext/>
            </w:pPr>
            <w:r/>
            <w:r>
              <w:rPr>
                <w:sz w:val="19"/>
              </w:rPr>
              <w:t>D2 §5, incl. the U-shaped vs flow-through evaluation</w:t>
            </w:r>
          </w:p>
        </w:tc>
      </w:tr>
      <w:tr>
        <w:trPr>
          <w:cantSplit/>
        </w:trPr>
        <w:tc>
          <w:tcPr>
            <w:tcW w:type="dxa" w:w="3402"/>
          </w:tcPr>
          <w:p>
            <w:pPr>
              <w:keepNext/>
            </w:pPr>
            <w:r/>
            <w:r>
              <w:rPr>
                <w:sz w:val="19"/>
              </w:rPr>
              <w:t>Evaluate (cost, performance)</w:t>
            </w:r>
          </w:p>
        </w:tc>
        <w:tc>
          <w:tcPr>
            <w:tcW w:type="dxa" w:w="5669"/>
          </w:tcPr>
          <w:p>
            <w:pPr>
              <w:keepNext/>
            </w:pPr>
            <w:r/>
            <w:r>
              <w:rPr>
                <w:sz w:val="19"/>
              </w:rPr>
              <w:t>D2 §6 capacity and W3 KPIs; Deliverable 3 CAPEX/OPEX</w:t>
            </w:r>
          </w:p>
        </w:tc>
      </w:tr>
      <w:tr>
        <w:trPr>
          <w:cantSplit/>
        </w:trPr>
        <w:tc>
          <w:tcPr>
            <w:tcW w:type="dxa" w:w="3402"/>
          </w:tcPr>
          <w:p>
            <w:r/>
            <w:r>
              <w:rPr>
                <w:sz w:val="19"/>
              </w:rPr>
              <w:t>Iterate</w:t>
            </w:r>
          </w:p>
        </w:tc>
        <w:tc>
          <w:tcPr>
            <w:tcW w:type="dxa" w:w="5669"/>
          </w:tcPr>
          <w:p>
            <w:r/>
            <w:r>
              <w:rPr>
                <w:sz w:val="19"/>
              </w:rPr>
              <w:t>14,074 → 9,500 positions; ECE 225 → trolleys + EJE 120i; front/rear cross-aisles; docks to side walls</w:t>
            </w:r>
          </w:p>
        </w:tc>
      </w:tr>
    </w:tbl>
    <w:p>
      <w:pPr>
        <w:spacing w:after="40"/>
      </w:pPr>
    </w:p>
    <w:p>
      <w:pPr>
        <w:pStyle w:val="Heading1"/>
      </w:pPr>
      <w:r>
        <w:t>2. Future-state processes</w:t>
      </w:r>
    </w:p>
    <w:p>
      <w:pPr>
        <w:spacing w:after="120"/>
      </w:pPr>
      <w:r>
        <w:rPr>
          <w:b w:val="0"/>
          <w:i w:val="0"/>
          <w:color w:val="222222"/>
          <w:sz w:val="21"/>
        </w:rPr>
        <w:t>Each process below states the steps, the system transaction, the physical movement, the equipment, and where the Deliverable-1 design choices are applied. The swimlane (Fig 1) gives the end-to-end overview; per-process flowcharts follow.</w:t>
      </w:r>
    </w:p>
    <w:p>
      <w:pPr>
        <w:jc w:val="center"/>
      </w:pPr>
      <w:r>
        <w:drawing>
          <wp:inline xmlns:a="http://schemas.openxmlformats.org/drawingml/2006/main" xmlns:pic="http://schemas.openxmlformats.org/drawingml/2006/picture">
            <wp:extent cx="6120000" cy="3731241"/>
            <wp:docPr id="1" name="Picture 1"/>
            <wp:cNvGraphicFramePr>
              <a:graphicFrameLocks noChangeAspect="1"/>
            </wp:cNvGraphicFramePr>
            <a:graphic>
              <a:graphicData uri="http://schemas.openxmlformats.org/drawingml/2006/picture">
                <pic:pic>
                  <pic:nvPicPr>
                    <pic:cNvPr id="0" name="flow_swimlane.png"/>
                    <pic:cNvPicPr/>
                  </pic:nvPicPr>
                  <pic:blipFill>
                    <a:blip r:embed="rId9"/>
                    <a:stretch>
                      <a:fillRect/>
                    </a:stretch>
                  </pic:blipFill>
                  <pic:spPr>
                    <a:xfrm>
                      <a:off x="0" y="0"/>
                      <a:ext cx="6120000" cy="3731241"/>
                    </a:xfrm>
                    <a:prstGeom prst="rect"/>
                  </pic:spPr>
                </pic:pic>
              </a:graphicData>
            </a:graphic>
          </wp:inline>
        </w:drawing>
      </w:r>
    </w:p>
    <w:p>
      <w:pPr>
        <w:spacing w:after="200"/>
        <w:jc w:val="center"/>
      </w:pPr>
      <w:r>
        <w:rPr>
          <w:b w:val="0"/>
          <w:i/>
          <w:color w:val="666666"/>
          <w:sz w:val="17"/>
        </w:rPr>
        <w:t>Fig 1. End-to-end future-state process — cross-functional swimlane.</w:t>
      </w:r>
    </w:p>
    <w:p>
      <w:pPr>
        <w:pStyle w:val="Heading2"/>
      </w:pPr>
      <w:r>
        <w:t>2.1 Receiving &amp; putaway</w:t>
      </w:r>
    </w:p>
    <w:p>
      <w:pPr>
        <w:pStyle w:val="ListBullet"/>
      </w:pPr>
      <w:r>
        <w:rPr>
          <w:b w:val="0"/>
          <w:sz w:val="21"/>
        </w:rPr>
      </w:r>
      <w:r>
        <w:rPr>
          <w:b/>
          <w:sz w:val="21"/>
        </w:rPr>
        <w:t>What arrives:</w:t>
      </w:r>
      <w:r>
        <w:rPr>
          <w:b w:val="0"/>
          <w:sz w:val="21"/>
        </w:rPr>
        <w:t xml:space="preserve"> 2 shipments a day straight from Assa Abloy factories (S004). Trailers from the European plants arrive palletised; sea containers from Asia (~41% of loads) arrive loose — cartons stacked on the container floor.</w:t>
      </w:r>
    </w:p>
    <w:p>
      <w:pPr>
        <w:pStyle w:val="ListBullet"/>
      </w:pPr>
      <w:r>
        <w:rPr>
          <w:b w:val="0"/>
          <w:sz w:val="21"/>
        </w:rPr>
      </w:r>
      <w:r>
        <w:rPr>
          <w:b/>
          <w:sz w:val="21"/>
        </w:rPr>
        <w:t>Palletised trailer (doors R2–R3):</w:t>
      </w:r>
      <w:r>
        <w:rPr>
          <w:b w:val="0"/>
          <w:sz w:val="21"/>
        </w:rPr>
        <w:t xml:space="preserve"> dock → unload with ERE 225 pallet truck → RF-scan against the ASN → quantity/quality check → register the load (LPN) → system-directed putaway with an ETV 216i reach truck → confirm.</w:t>
      </w:r>
    </w:p>
    <w:p>
      <w:pPr>
        <w:pStyle w:val="ListBullet"/>
      </w:pPr>
      <w:r>
        <w:rPr>
          <w:b w:val="0"/>
          <w:sz w:val="21"/>
        </w:rPr>
      </w:r>
      <w:r>
        <w:rPr>
          <w:b/>
          <w:sz w:val="21"/>
        </w:rPr>
        <w:t>Loose container (door R1, next to the loose-container zone):</w:t>
      </w:r>
      <w:r>
        <w:rPr>
          <w:b w:val="0"/>
          <w:sz w:val="21"/>
        </w:rPr>
        <w:t xml:space="preserve"> dock → a 2-person crew rolls the cartons out on an extendable roller conveyor, sorts them by SKU and builds pallets on the build spots → stretch-wrap, print LPN labels, scan against the ASN → the pallet goes to normal putaway. About 3 h per 40 ft container (A019, A026, Section 4.6).</w:t>
      </w:r>
    </w:p>
    <w:p>
      <w:pPr>
        <w:pStyle w:val="ListBullet"/>
      </w:pPr>
      <w:r>
        <w:rPr>
          <w:b w:val="0"/>
          <w:sz w:val="21"/>
        </w:rPr>
      </w:r>
      <w:r>
        <w:rPr>
          <w:b/>
          <w:sz w:val="21"/>
        </w:rPr>
        <w:t>Policy applied:</w:t>
      </w:r>
      <w:r>
        <w:rPr>
          <w:b w:val="0"/>
          <w:sz w:val="21"/>
        </w:rPr>
        <w:t xml:space="preserve"> demand-based directed putaway (A/B close to their fast-pick faces, C further away); pallets over 1 t on low levels; long goods (up to 2.05 m) in the long-goods module via its 3.2 m aisle.</w:t>
      </w:r>
    </w:p>
    <w:p>
      <w:pPr>
        <w:pStyle w:val="ListBullet"/>
      </w:pPr>
      <w:r>
        <w:rPr>
          <w:b w:val="0"/>
          <w:sz w:val="21"/>
        </w:rPr>
      </w:r>
      <w:r>
        <w:rPr>
          <w:b/>
          <w:sz w:val="21"/>
        </w:rPr>
        <w:t>Truck route:</w:t>
      </w:r>
      <w:r>
        <w:rPr>
          <w:b w:val="0"/>
          <w:sz w:val="21"/>
        </w:rPr>
        <w:t xml:space="preserve"> reach trucks use the left perimeter aisle and the cross-aisle, never the fast-pick area — Jungheinrich's 'clear traffic guidance' principle (S009).</w:t>
      </w:r>
    </w:p>
    <w:p>
      <w:pPr>
        <w:jc w:val="center"/>
      </w:pPr>
      <w:r>
        <w:drawing>
          <wp:inline xmlns:a="http://schemas.openxmlformats.org/drawingml/2006/main" xmlns:pic="http://schemas.openxmlformats.org/drawingml/2006/picture">
            <wp:extent cx="4320000" cy="3635122"/>
            <wp:docPr id="2" name="Picture 2"/>
            <wp:cNvGraphicFramePr>
              <a:graphicFrameLocks noChangeAspect="1"/>
            </wp:cNvGraphicFramePr>
            <a:graphic>
              <a:graphicData uri="http://schemas.openxmlformats.org/drawingml/2006/picture">
                <pic:pic>
                  <pic:nvPicPr>
                    <pic:cNvPr id="0" name="flow_receiving_putaway.png"/>
                    <pic:cNvPicPr/>
                  </pic:nvPicPr>
                  <pic:blipFill>
                    <a:blip r:embed="rId10"/>
                    <a:stretch>
                      <a:fillRect/>
                    </a:stretch>
                  </pic:blipFill>
                  <pic:spPr>
                    <a:xfrm>
                      <a:off x="0" y="0"/>
                      <a:ext cx="4320000" cy="3635122"/>
                    </a:xfrm>
                    <a:prstGeom prst="rect"/>
                  </pic:spPr>
                </pic:pic>
              </a:graphicData>
            </a:graphic>
          </wp:inline>
        </w:drawing>
      </w:r>
    </w:p>
    <w:p>
      <w:pPr>
        <w:spacing w:after="200"/>
        <w:jc w:val="center"/>
      </w:pPr>
      <w:r>
        <w:rPr>
          <w:b w:val="0"/>
          <w:i/>
          <w:color w:val="666666"/>
          <w:sz w:val="17"/>
        </w:rPr>
        <w:t>Fig 2. Receiving &amp; putaway flow.</w:t>
      </w:r>
    </w:p>
    <w:p>
      <w:pPr>
        <w:pStyle w:val="Heading2"/>
      </w:pPr>
      <w:r>
        <w:t>2.2 Replenishment</w:t>
      </w:r>
    </w:p>
    <w:p>
      <w:pPr>
        <w:pStyle w:val="ListBullet"/>
      </w:pPr>
      <w:r>
        <w:rPr>
          <w:b w:val="0"/>
          <w:sz w:val="21"/>
        </w:rPr>
      </w:r>
      <w:r>
        <w:rPr>
          <w:b/>
          <w:sz w:val="21"/>
        </w:rPr>
        <w:t>Steps:</w:t>
      </w:r>
      <w:r>
        <w:rPr>
          <w:b w:val="0"/>
          <w:sz w:val="21"/>
        </w:rPr>
        <w:t xml:space="preserve"> fast-pick face below minimum → WMS replenishment task → ETV 216i takes the reserve pallet down the storage aisle → feeds the carton-flow lane from the rear → confirm (~24 pallets/day on average).</w:t>
      </w:r>
    </w:p>
    <w:p>
      <w:pPr>
        <w:pStyle w:val="ListBullet"/>
      </w:pPr>
      <w:r>
        <w:rPr>
          <w:b w:val="0"/>
          <w:sz w:val="21"/>
        </w:rPr>
      </w:r>
      <w:r>
        <w:rPr>
          <w:b/>
          <w:sz w:val="21"/>
        </w:rPr>
        <w:t>Policy applied:</w:t>
      </w:r>
      <w:r>
        <w:rPr>
          <w:b w:val="0"/>
          <w:sz w:val="21"/>
        </w:rPr>
        <w:t xml:space="preserve"> min/max replenishment; FIFO via FIF DATE where relevant. Pickers work the front of the lanes and trucks the rear, so people and reach trucks never share a face.</w:t>
      </w:r>
    </w:p>
    <w:p>
      <w:pPr>
        <w:jc w:val="center"/>
      </w:pPr>
      <w:r>
        <w:drawing>
          <wp:inline xmlns:a="http://schemas.openxmlformats.org/drawingml/2006/main" xmlns:pic="http://schemas.openxmlformats.org/drawingml/2006/picture">
            <wp:extent cx="3960000" cy="3470916"/>
            <wp:docPr id="3" name="Picture 3"/>
            <wp:cNvGraphicFramePr>
              <a:graphicFrameLocks noChangeAspect="1"/>
            </wp:cNvGraphicFramePr>
            <a:graphic>
              <a:graphicData uri="http://schemas.openxmlformats.org/drawingml/2006/picture">
                <pic:pic>
                  <pic:nvPicPr>
                    <pic:cNvPr id="0" name="flow_replenishment.png"/>
                    <pic:cNvPicPr/>
                  </pic:nvPicPr>
                  <pic:blipFill>
                    <a:blip r:embed="rId11"/>
                    <a:stretch>
                      <a:fillRect/>
                    </a:stretch>
                  </pic:blipFill>
                  <pic:spPr>
                    <a:xfrm>
                      <a:off x="0" y="0"/>
                      <a:ext cx="3960000" cy="3470916"/>
                    </a:xfrm>
                    <a:prstGeom prst="rect"/>
                  </pic:spPr>
                </pic:pic>
              </a:graphicData>
            </a:graphic>
          </wp:inline>
        </w:drawing>
      </w:r>
    </w:p>
    <w:p>
      <w:pPr>
        <w:spacing w:after="200"/>
        <w:jc w:val="center"/>
      </w:pPr>
      <w:r>
        <w:rPr>
          <w:b w:val="0"/>
          <w:i/>
          <w:color w:val="666666"/>
          <w:sz w:val="17"/>
        </w:rPr>
        <w:t>Fig 3. Replenishment flow.</w:t>
      </w:r>
    </w:p>
    <w:p>
      <w:pPr>
        <w:pStyle w:val="Heading2"/>
      </w:pPr>
      <w:r>
        <w:t>2.3 Picking (zone + batch / wave)</w:t>
      </w:r>
    </w:p>
    <w:p>
      <w:pPr>
        <w:pStyle w:val="ListBullet"/>
      </w:pPr>
      <w:r>
        <w:rPr>
          <w:b w:val="0"/>
          <w:sz w:val="21"/>
        </w:rPr>
      </w:r>
      <w:r>
        <w:rPr>
          <w:b/>
          <w:sz w:val="21"/>
        </w:rPr>
        <w:t>The order decides the method (A022, A024).</w:t>
      </w:r>
      <w:r>
        <w:rPr>
          <w:b w:val="0"/>
          <w:sz w:val="21"/>
        </w:rPr>
        <w:t xml:space="preserve"> The typical order is only 7 litres (75% fit in one tote), while the biggest orders carry most of the volume. At release the WMS computes each order's volume and weight from the SKU data and sends it down one of three routes:</w:t>
      </w:r>
    </w:p>
    <w:p>
      <w:pPr>
        <w:pStyle w:val="ListBullet"/>
      </w:pPr>
      <w:r>
        <w:rPr>
          <w:b w:val="0"/>
          <w:sz w:val="21"/>
        </w:rPr>
      </w:r>
      <w:r>
        <w:rPr>
          <w:b/>
          <w:sz w:val="21"/>
        </w:rPr>
        <w:t>Small orders → pick trolley (84% of orders, 46% of lines):</w:t>
      </w:r>
      <w:r>
        <w:rPr>
          <w:b w:val="0"/>
          <w:sz w:val="21"/>
        </w:rPr>
        <w:t xml:space="preserve"> zone batch picking — a picker per zone fills a 6-tote trolley with the wave's lines up to its volume/weight limit (~31 lines per tour); the put-to-light wall sorts them per order.</w:t>
      </w:r>
    </w:p>
    <w:p>
      <w:pPr>
        <w:pStyle w:val="ListBullet"/>
      </w:pPr>
      <w:r>
        <w:rPr>
          <w:b w:val="0"/>
          <w:sz w:val="21"/>
        </w:rPr>
      </w:r>
      <w:r>
        <w:rPr>
          <w:b/>
          <w:sz w:val="21"/>
        </w:rPr>
        <w:t>Large orders → pick-to-pallet with an EJE 120i (16% of orders, 88% of volume):</w:t>
      </w:r>
      <w:r>
        <w:rPr>
          <w:b w:val="0"/>
          <w:sz w:val="21"/>
        </w:rPr>
        <w:t xml:space="preserve"> one order per pallet (median 234 L, 140 kg), dropped at packing.</w:t>
      </w:r>
    </w:p>
    <w:p>
      <w:pPr>
        <w:pStyle w:val="ListBullet"/>
      </w:pPr>
      <w:r>
        <w:rPr>
          <w:b w:val="0"/>
          <w:sz w:val="21"/>
        </w:rPr>
      </w:r>
      <w:r>
        <w:rPr>
          <w:b/>
          <w:sz w:val="21"/>
        </w:rPr>
        <w:t>Full-pallet lines (1% of lines) → ETV 216i</w:t>
      </w:r>
      <w:r>
        <w:rPr>
          <w:b w:val="0"/>
          <w:sz w:val="21"/>
        </w:rPr>
        <w:t xml:space="preserve"> straight from reserve to outbound.</w:t>
      </w:r>
    </w:p>
    <w:p>
      <w:pPr>
        <w:pStyle w:val="ListBullet"/>
      </w:pPr>
      <w:r>
        <w:rPr>
          <w:b w:val="0"/>
          <w:sz w:val="21"/>
        </w:rPr>
      </w:r>
      <w:r>
        <w:rPr>
          <w:b/>
          <w:sz w:val="21"/>
        </w:rPr>
        <w:t>Small slow parts (2,657 SKUs, ~93 lines/day) → bin shelving next to the put-wall:</w:t>
      </w:r>
      <w:r>
        <w:rPr>
          <w:b w:val="0"/>
          <w:sz w:val="21"/>
        </w:rPr>
        <w:t xml:space="preserve"> the item is picked into the order's tote and goes straight into the put-wall — no walk into the reserve aisles.</w:t>
      </w:r>
    </w:p>
    <w:p>
      <w:pPr>
        <w:pStyle w:val="ListBullet"/>
      </w:pPr>
      <w:r>
        <w:rPr>
          <w:b w:val="0"/>
          <w:sz w:val="21"/>
        </w:rPr>
      </w:r>
      <w:r>
        <w:rPr>
          <w:b/>
          <w:sz w:val="21"/>
        </w:rPr>
        <w:t>Where:</w:t>
      </w:r>
      <w:r>
        <w:rPr>
          <w:b w:val="0"/>
          <w:sz w:val="21"/>
        </w:rPr>
        <w:t xml:space="preserve"> A/B items in the fast-pick area (zone 1); other C items at the low levels of the reserve aisles (zones 2–3). Aisles are open at both ends, so pickers and pallet trucks walk straight through — no U-turns.</w:t>
      </w:r>
    </w:p>
    <w:p>
      <w:pPr>
        <w:pStyle w:val="ListBullet"/>
      </w:pPr>
      <w:r>
        <w:rPr>
          <w:b w:val="0"/>
          <w:sz w:val="21"/>
        </w:rPr>
      </w:r>
      <w:r>
        <w:rPr>
          <w:b/>
          <w:sz w:val="21"/>
        </w:rPr>
        <w:t>Why not the ECE 225:</w:t>
      </w:r>
      <w:r>
        <w:rPr>
          <w:b w:val="0"/>
          <w:sz w:val="21"/>
        </w:rPr>
        <w:t xml:space="preserve"> 3.7 m long with 2.4 m forks, it cannot turn in 3.0 m aisles, and its 2 pallets (~2,300 L) would need ~333 typical orders to fill one trip (Section 6.3).</w:t>
      </w:r>
    </w:p>
    <w:p>
      <w:pPr>
        <w:jc w:val="center"/>
      </w:pPr>
      <w:r>
        <w:drawing>
          <wp:inline xmlns:a="http://schemas.openxmlformats.org/drawingml/2006/main" xmlns:pic="http://schemas.openxmlformats.org/drawingml/2006/picture">
            <wp:extent cx="4320000" cy="3853813"/>
            <wp:docPr id="4" name="Picture 4"/>
            <wp:cNvGraphicFramePr>
              <a:graphicFrameLocks noChangeAspect="1"/>
            </wp:cNvGraphicFramePr>
            <a:graphic>
              <a:graphicData uri="http://schemas.openxmlformats.org/drawingml/2006/picture">
                <pic:pic>
                  <pic:nvPicPr>
                    <pic:cNvPr id="0" name="flow_picking.png"/>
                    <pic:cNvPicPr/>
                  </pic:nvPicPr>
                  <pic:blipFill>
                    <a:blip r:embed="rId12"/>
                    <a:stretch>
                      <a:fillRect/>
                    </a:stretch>
                  </pic:blipFill>
                  <pic:spPr>
                    <a:xfrm>
                      <a:off x="0" y="0"/>
                      <a:ext cx="4320000" cy="3853813"/>
                    </a:xfrm>
                    <a:prstGeom prst="rect"/>
                  </pic:spPr>
                </pic:pic>
              </a:graphicData>
            </a:graphic>
          </wp:inline>
        </w:drawing>
      </w:r>
    </w:p>
    <w:p>
      <w:pPr>
        <w:spacing w:after="200"/>
        <w:jc w:val="center"/>
      </w:pPr>
      <w:r>
        <w:rPr>
          <w:b w:val="0"/>
          <w:i/>
          <w:color w:val="666666"/>
          <w:sz w:val="17"/>
        </w:rPr>
        <w:t>Fig 4. Picking flow (zone + batch/wave).</w:t>
      </w:r>
    </w:p>
    <w:p>
      <w:pPr>
        <w:pStyle w:val="Heading2"/>
      </w:pPr>
      <w:r>
        <w:t>2.4 Consolidation, packing &amp; shipping</w:t>
      </w:r>
    </w:p>
    <w:p>
      <w:pPr>
        <w:pStyle w:val="ListBullet"/>
      </w:pPr>
      <w:r>
        <w:rPr>
          <w:b w:val="0"/>
          <w:sz w:val="21"/>
        </w:rPr>
      </w:r>
      <w:r>
        <w:rPr>
          <w:b/>
          <w:sz w:val="21"/>
        </w:rPr>
        <w:t>Steps:</w:t>
      </w:r>
      <w:r>
        <w:rPr>
          <w:b w:val="0"/>
          <w:sz w:val="21"/>
        </w:rPr>
        <w:t xml:space="preserve"> full trolleys of batch-picked totes → put-to-light wall sorts the items into orders → pack, print-and-apply → parcel cartons onto roll cages by carrier / large-order pallets wrapped → stage by carrier → live-load at the booked time → dispatch.</w:t>
      </w:r>
    </w:p>
    <w:p>
      <w:pPr>
        <w:pStyle w:val="ListBullet"/>
      </w:pPr>
      <w:r>
        <w:rPr>
          <w:b w:val="0"/>
          <w:sz w:val="21"/>
        </w:rPr>
      </w:r>
      <w:r>
        <w:rPr>
          <w:b/>
          <w:sz w:val="21"/>
        </w:rPr>
        <w:t>The put-to-light wall (Fig 5b):</w:t>
      </w:r>
      <w:r>
        <w:rPr>
          <w:b w:val="0"/>
          <w:sz w:val="21"/>
        </w:rPr>
        <w:t xml:space="preserve"> 24 × 5 = 120 slots, 10.8 m long, open on both sides; each slot holds one order tote. The putter scans an item, the slot of its order lights up with the quantity, the item goes in and the light is pressed. When an order is complete the light on the pack side goes on and the packer takes the tote out. Small slow parts are picked from the bin shelving directly behind the wall (Deliverable 3, §3.1).</w:t>
      </w:r>
    </w:p>
    <w:p>
      <w:pPr>
        <w:pStyle w:val="ListBullet"/>
      </w:pPr>
      <w:r>
        <w:rPr>
          <w:b w:val="0"/>
          <w:sz w:val="21"/>
        </w:rPr>
      </w:r>
      <w:r>
        <w:rPr>
          <w:b/>
          <w:sz w:val="21"/>
        </w:rPr>
        <w:t>Measured outbound:</w:t>
      </w:r>
      <w:r>
        <w:rPr>
          <w:b w:val="0"/>
          <w:sz w:val="21"/>
        </w:rPr>
        <w:t xml:space="preserve"> 15 trailers/day (p90 19), carrying on average only 1.2 pallets + 15 cartons; 73% of trailers carry no pallets at all (DHL Parcel routes).</w:t>
      </w:r>
    </w:p>
    <w:p>
      <w:pPr>
        <w:pStyle w:val="ListBullet"/>
      </w:pPr>
      <w:r>
        <w:rPr>
          <w:b w:val="0"/>
          <w:sz w:val="21"/>
        </w:rPr>
      </w:r>
      <w:r>
        <w:rPr>
          <w:b/>
          <w:sz w:val="21"/>
        </w:rPr>
        <w:t>Policy applied:</w:t>
      </w:r>
      <w:r>
        <w:rPr>
          <w:b w:val="0"/>
          <w:sz w:val="21"/>
        </w:rPr>
        <w:t xml:space="preserve"> carriers book collection time slots from a fixed departure plan (Section 4.5); goods wait in the outbound staging lanes, not in parked trailers; 5 shipping doors on the east wall (Section 4.4).</w:t>
      </w:r>
    </w:p>
    <w:p>
      <w:pPr>
        <w:jc w:val="center"/>
      </w:pPr>
      <w:r>
        <w:drawing>
          <wp:inline xmlns:a="http://schemas.openxmlformats.org/drawingml/2006/main" xmlns:pic="http://schemas.openxmlformats.org/drawingml/2006/picture">
            <wp:extent cx="4320000" cy="4099592"/>
            <wp:docPr id="5" name="Picture 5"/>
            <wp:cNvGraphicFramePr>
              <a:graphicFrameLocks noChangeAspect="1"/>
            </wp:cNvGraphicFramePr>
            <a:graphic>
              <a:graphicData uri="http://schemas.openxmlformats.org/drawingml/2006/picture">
                <pic:pic>
                  <pic:nvPicPr>
                    <pic:cNvPr id="0" name="flow_pack_ship.png"/>
                    <pic:cNvPicPr/>
                  </pic:nvPicPr>
                  <pic:blipFill>
                    <a:blip r:embed="rId13"/>
                    <a:stretch>
                      <a:fillRect/>
                    </a:stretch>
                  </pic:blipFill>
                  <pic:spPr>
                    <a:xfrm>
                      <a:off x="0" y="0"/>
                      <a:ext cx="4320000" cy="4099592"/>
                    </a:xfrm>
                    <a:prstGeom prst="rect"/>
                  </pic:spPr>
                </pic:pic>
              </a:graphicData>
            </a:graphic>
          </wp:inline>
        </w:drawing>
      </w:r>
    </w:p>
    <w:p>
      <w:pPr>
        <w:spacing w:after="200"/>
        <w:jc w:val="center"/>
      </w:pPr>
      <w:r>
        <w:rPr>
          <w:b w:val="0"/>
          <w:i/>
          <w:color w:val="666666"/>
          <w:sz w:val="17"/>
        </w:rPr>
        <w:t>Fig 5. Consolidation, packing &amp; shipping flow.</w:t>
      </w:r>
    </w:p>
    <w:p>
      <w:pPr>
        <w:jc w:val="center"/>
      </w:pPr>
      <w:r>
        <w:drawing>
          <wp:inline xmlns:a="http://schemas.openxmlformats.org/drawingml/2006/main" xmlns:pic="http://schemas.openxmlformats.org/drawingml/2006/picture">
            <wp:extent cx="6120000" cy="3405088"/>
            <wp:docPr id="6" name="Picture 6"/>
            <wp:cNvGraphicFramePr>
              <a:graphicFrameLocks noChangeAspect="1"/>
            </wp:cNvGraphicFramePr>
            <a:graphic>
              <a:graphicData uri="http://schemas.openxmlformats.org/drawingml/2006/picture">
                <pic:pic>
                  <pic:nvPicPr>
                    <pic:cNvPr id="0" name="putwall_layout.png"/>
                    <pic:cNvPicPr/>
                  </pic:nvPicPr>
                  <pic:blipFill>
                    <a:blip r:embed="rId14"/>
                    <a:stretch>
                      <a:fillRect/>
                    </a:stretch>
                  </pic:blipFill>
                  <pic:spPr>
                    <a:xfrm>
                      <a:off x="0" y="0"/>
                      <a:ext cx="6120000" cy="3405088"/>
                    </a:xfrm>
                    <a:prstGeom prst="rect"/>
                  </pic:spPr>
                </pic:pic>
              </a:graphicData>
            </a:graphic>
          </wp:inline>
        </w:drawing>
      </w:r>
    </w:p>
    <w:p>
      <w:pPr>
        <w:spacing w:after="200"/>
        <w:jc w:val="center"/>
      </w:pPr>
      <w:r>
        <w:rPr>
          <w:b w:val="0"/>
          <w:i/>
          <w:color w:val="666666"/>
          <w:sz w:val="17"/>
        </w:rPr>
        <w:t>Fig 5b. Put-to-light wall: the packing area from above with the worker steps, and the front of the wall.</w:t>
      </w:r>
    </w:p>
    <w:p>
      <w:pPr>
        <w:pStyle w:val="Heading2"/>
      </w:pPr>
      <w:r>
        <w:t>2.5 Returns (reverse logistics)</w:t>
      </w:r>
    </w:p>
    <w:p>
      <w:pPr>
        <w:pStyle w:val="ListBullet"/>
      </w:pPr>
      <w:r>
        <w:rPr>
          <w:b w:val="0"/>
          <w:sz w:val="21"/>
        </w:rPr>
      </w:r>
      <w:r>
        <w:rPr>
          <w:b/>
          <w:sz w:val="21"/>
        </w:rPr>
        <w:t>Steps:</w:t>
      </w:r>
      <w:r>
        <w:rPr>
          <w:b w:val="0"/>
          <w:sz w:val="21"/>
        </w:rPr>
        <w:t xml:space="preserve"> customer return arrives through the receiving doors → receive &amp; scan (RMA) → inspect and grade in the Returns area → sellable: restock · reworkable: rework, then restock · otherwise scrap / return to vendor → update inventory and credit.</w:t>
      </w:r>
    </w:p>
    <w:p>
      <w:pPr>
        <w:pStyle w:val="ListBullet"/>
      </w:pPr>
      <w:r>
        <w:rPr>
          <w:b w:val="0"/>
          <w:sz w:val="21"/>
        </w:rPr>
      </w:r>
      <w:r>
        <w:rPr>
          <w:b/>
          <w:sz w:val="21"/>
        </w:rPr>
        <w:t>Policy applied:</w:t>
      </w:r>
      <w:r>
        <w:rPr>
          <w:b w:val="0"/>
          <w:sz w:val="21"/>
        </w:rPr>
        <w:t xml:space="preserve"> returns re-enter through the same demand-based putaway, so graded stock rejoins the reserve.</w:t>
      </w:r>
    </w:p>
    <w:p>
      <w:pPr>
        <w:jc w:val="center"/>
      </w:pPr>
      <w:r>
        <w:drawing>
          <wp:inline xmlns:a="http://schemas.openxmlformats.org/drawingml/2006/main" xmlns:pic="http://schemas.openxmlformats.org/drawingml/2006/picture">
            <wp:extent cx="4320000" cy="4750279"/>
            <wp:docPr id="7" name="Picture 7"/>
            <wp:cNvGraphicFramePr>
              <a:graphicFrameLocks noChangeAspect="1"/>
            </wp:cNvGraphicFramePr>
            <a:graphic>
              <a:graphicData uri="http://schemas.openxmlformats.org/drawingml/2006/picture">
                <pic:pic>
                  <pic:nvPicPr>
                    <pic:cNvPr id="0" name="flow_returns.png"/>
                    <pic:cNvPicPr/>
                  </pic:nvPicPr>
                  <pic:blipFill>
                    <a:blip r:embed="rId15"/>
                    <a:stretch>
                      <a:fillRect/>
                    </a:stretch>
                  </pic:blipFill>
                  <pic:spPr>
                    <a:xfrm>
                      <a:off x="0" y="0"/>
                      <a:ext cx="4320000" cy="4750279"/>
                    </a:xfrm>
                    <a:prstGeom prst="rect"/>
                  </pic:spPr>
                </pic:pic>
              </a:graphicData>
            </a:graphic>
          </wp:inline>
        </w:drawing>
      </w:r>
    </w:p>
    <w:p>
      <w:pPr>
        <w:spacing w:after="200"/>
        <w:jc w:val="center"/>
      </w:pPr>
      <w:r>
        <w:rPr>
          <w:b w:val="0"/>
          <w:i/>
          <w:color w:val="666666"/>
          <w:sz w:val="17"/>
        </w:rPr>
        <w:t>Fig 6. Returns / reverse-logistics flow.</w:t>
      </w:r>
    </w:p>
    <w:p>
      <w:pPr>
        <w:pStyle w:val="Heading1"/>
      </w:pPr>
      <w:r>
        <w:t>3. Warehouse policies</w:t>
      </w:r>
    </w:p>
    <w:tbl>
      <w:tblPr>
        <w:tblStyle w:val="LightGrid-Accent1"/>
        <w:tblW w:type="auto" w:w="0"/>
        <w:jc w:val="center"/>
        <w:tblLayout w:type="fixed"/>
        <w:tblLook w:firstColumn="1" w:firstRow="1" w:lastColumn="0" w:lastRow="0" w:noHBand="0" w:noVBand="1" w:val="04A0"/>
      </w:tblPr>
      <w:tblGrid>
        <w:gridCol w:w="1701"/>
        <w:gridCol w:w="4252"/>
        <w:gridCol w:w="3118"/>
      </w:tblGrid>
      <w:tr>
        <w:trPr>
          <w:cantSplit/>
        </w:trPr>
        <w:tc>
          <w:tcPr>
            <w:tcW w:type="dxa" w:w="1701"/>
          </w:tcPr>
          <w:p>
            <w:pPr>
              <w:keepNext/>
            </w:pPr>
            <w:r/>
            <w:r>
              <w:rPr>
                <w:b/>
                <w:sz w:val="19"/>
              </w:rPr>
              <w:t>Policy</w:t>
            </w:r>
          </w:p>
        </w:tc>
        <w:tc>
          <w:tcPr>
            <w:tcW w:type="dxa" w:w="4252"/>
          </w:tcPr>
          <w:p>
            <w:pPr>
              <w:keepNext/>
            </w:pPr>
            <w:r/>
            <w:r>
              <w:rPr>
                <w:b/>
                <w:sz w:val="19"/>
              </w:rPr>
              <w:t>Decision</w:t>
            </w:r>
          </w:p>
        </w:tc>
        <w:tc>
          <w:tcPr>
            <w:tcW w:type="dxa" w:w="3118"/>
          </w:tcPr>
          <w:p>
            <w:pPr>
              <w:keepNext/>
            </w:pPr>
            <w:r/>
            <w:r>
              <w:rPr>
                <w:b/>
                <w:sz w:val="19"/>
              </w:rPr>
              <w:t>Why (data)</w:t>
            </w:r>
          </w:p>
        </w:tc>
      </w:tr>
      <w:tr>
        <w:trPr>
          <w:cantSplit/>
        </w:trPr>
        <w:tc>
          <w:tcPr>
            <w:tcW w:type="dxa" w:w="1701"/>
          </w:tcPr>
          <w:p>
            <w:pPr>
              <w:keepNext/>
            </w:pPr>
            <w:r/>
            <w:r>
              <w:rPr>
                <w:sz w:val="19"/>
              </w:rPr>
              <w:t>Storage</w:t>
            </w:r>
          </w:p>
        </w:tc>
        <w:tc>
          <w:tcPr>
            <w:tcW w:type="dxa" w:w="4252"/>
          </w:tcPr>
          <w:p>
            <w:pPr>
              <w:keepNext/>
            </w:pPr>
            <w:r/>
            <w:r>
              <w:rPr>
                <w:sz w:val="19"/>
              </w:rPr>
              <w:t>Random within velocity zones; fixed fast-pick faces + random reserve; small slow parts in bins, not on pallets</w:t>
            </w:r>
          </w:p>
        </w:tc>
        <w:tc>
          <w:tcPr>
            <w:tcW w:type="dxa" w:w="3118"/>
          </w:tcPr>
          <w:p>
            <w:pPr>
              <w:keepNext/>
            </w:pPr>
            <w:r/>
            <w:r>
              <w:rPr>
                <w:sz w:val="19"/>
              </w:rPr>
              <w:t>73% single-load tail; 48.6% ABC mismatch; 2,657 SKUs have ≤ 50 L of stock</w:t>
            </w:r>
          </w:p>
        </w:tc>
      </w:tr>
      <w:tr>
        <w:trPr>
          <w:cantSplit/>
        </w:trPr>
        <w:tc>
          <w:tcPr>
            <w:tcW w:type="dxa" w:w="1701"/>
          </w:tcPr>
          <w:p>
            <w:pPr>
              <w:keepNext/>
            </w:pPr>
            <w:r/>
            <w:r>
              <w:rPr>
                <w:sz w:val="19"/>
              </w:rPr>
              <w:t>Slotting</w:t>
            </w:r>
          </w:p>
        </w:tc>
        <w:tc>
          <w:tcPr>
            <w:tcW w:type="dxa" w:w="4252"/>
          </w:tcPr>
          <w:p>
            <w:pPr>
              <w:keepNext/>
            </w:pPr>
            <w:r/>
            <w:r>
              <w:rPr>
                <w:sz w:val="19"/>
              </w:rPr>
              <w:t>Demand-ABC; fast movers spread across zones, extreme SKUs duplicated; heavy low</w:t>
            </w:r>
          </w:p>
        </w:tc>
        <w:tc>
          <w:tcPr>
            <w:tcW w:type="dxa" w:w="3118"/>
          </w:tcPr>
          <w:p>
            <w:pPr>
              <w:keepNext/>
            </w:pPr>
            <w:r/>
            <w:r>
              <w:rPr>
                <w:sz w:val="19"/>
              </w:rPr>
              <w:t>13% SKUs = 80% volume; A = 60% of picks (S003)</w:t>
            </w:r>
          </w:p>
        </w:tc>
      </w:tr>
      <w:tr>
        <w:trPr>
          <w:cantSplit/>
        </w:trPr>
        <w:tc>
          <w:tcPr>
            <w:tcW w:type="dxa" w:w="1701"/>
          </w:tcPr>
          <w:p>
            <w:pPr>
              <w:keepNext/>
            </w:pPr>
            <w:r/>
            <w:r>
              <w:rPr>
                <w:sz w:val="19"/>
              </w:rPr>
              <w:t>Zoning</w:t>
            </w:r>
          </w:p>
        </w:tc>
        <w:tc>
          <w:tcPr>
            <w:tcW w:type="dxa" w:w="4252"/>
          </w:tcPr>
          <w:p>
            <w:pPr>
              <w:keepNext/>
            </w:pPr>
            <w:r/>
            <w:r>
              <w:rPr>
                <w:sz w:val="19"/>
              </w:rPr>
              <w:t>Fast-pick (A/B) vs reserve; truck routes kept out of the pick zone</w:t>
            </w:r>
          </w:p>
        </w:tc>
        <w:tc>
          <w:tcPr>
            <w:tcW w:type="dxa" w:w="3118"/>
          </w:tcPr>
          <w:p>
            <w:pPr>
              <w:keepNext/>
            </w:pPr>
            <w:r/>
            <w:r>
              <w:rPr>
                <w:sz w:val="19"/>
              </w:rPr>
              <w:t>75% of order lines are each-picks; safety (S009)</w:t>
            </w:r>
          </w:p>
        </w:tc>
      </w:tr>
      <w:tr>
        <w:trPr>
          <w:cantSplit/>
        </w:trPr>
        <w:tc>
          <w:tcPr>
            <w:tcW w:type="dxa" w:w="1701"/>
          </w:tcPr>
          <w:p>
            <w:pPr>
              <w:keepNext/>
            </w:pPr>
            <w:r/>
            <w:r>
              <w:rPr>
                <w:sz w:val="19"/>
              </w:rPr>
              <w:t>Batching</w:t>
            </w:r>
          </w:p>
        </w:tc>
        <w:tc>
          <w:tcPr>
            <w:tcW w:type="dxa" w:w="4252"/>
          </w:tcPr>
          <w:p>
            <w:pPr>
              <w:keepNext/>
            </w:pPr>
            <w:r/>
            <w:r>
              <w:rPr>
                <w:sz w:val="19"/>
              </w:rPr>
              <w:t>Small orders: zone batch picking, trolley filled to volume/weight; large: one order per pallet</w:t>
            </w:r>
          </w:p>
        </w:tc>
        <w:tc>
          <w:tcPr>
            <w:tcW w:type="dxa" w:w="3118"/>
          </w:tcPr>
          <w:p>
            <w:pPr>
              <w:keepNext/>
            </w:pPr>
            <w:r/>
            <w:r>
              <w:rPr>
                <w:sz w:val="19"/>
              </w:rPr>
              <w:t>median order 7 L; 88% of volume in large orders</w:t>
            </w:r>
          </w:p>
        </w:tc>
      </w:tr>
      <w:tr>
        <w:trPr>
          <w:cantSplit/>
        </w:trPr>
        <w:tc>
          <w:tcPr>
            <w:tcW w:type="dxa" w:w="1701"/>
          </w:tcPr>
          <w:p>
            <w:pPr>
              <w:keepNext/>
            </w:pPr>
            <w:r/>
            <w:r>
              <w:rPr>
                <w:sz w:val="19"/>
              </w:rPr>
              <w:t>Order release</w:t>
            </w:r>
          </w:p>
        </w:tc>
        <w:tc>
          <w:tcPr>
            <w:tcW w:type="dxa" w:w="4252"/>
          </w:tcPr>
          <w:p>
            <w:pPr>
              <w:keepNext/>
            </w:pPr>
            <w:r/>
            <w:r>
              <w:rPr>
                <w:sz w:val="19"/>
              </w:rPr>
              <w:t>3 waves (06:00, 09:30, 12:45) planned backwards from trailer departures</w:t>
            </w:r>
          </w:p>
        </w:tc>
        <w:tc>
          <w:tcPr>
            <w:tcW w:type="dxa" w:w="3118"/>
          </w:tcPr>
          <w:p>
            <w:pPr>
              <w:keepNext/>
            </w:pPr>
            <w:r/>
            <w:r>
              <w:rPr>
                <w:sz w:val="19"/>
              </w:rPr>
              <w:t>08:00 = 1.31× the mean hour (A023)</w:t>
            </w:r>
          </w:p>
        </w:tc>
      </w:tr>
      <w:tr>
        <w:trPr>
          <w:cantSplit/>
        </w:trPr>
        <w:tc>
          <w:tcPr>
            <w:tcW w:type="dxa" w:w="1701"/>
          </w:tcPr>
          <w:p>
            <w:pPr>
              <w:keepNext/>
            </w:pPr>
            <w:r/>
            <w:r>
              <w:rPr>
                <w:sz w:val="19"/>
              </w:rPr>
              <w:t>Routing</w:t>
            </w:r>
          </w:p>
        </w:tc>
        <w:tc>
          <w:tcPr>
            <w:tcW w:type="dxa" w:w="4252"/>
          </w:tcPr>
          <w:p>
            <w:pPr>
              <w:keepNext/>
            </w:pPr>
            <w:r/>
            <w:r>
              <w:rPr>
                <w:sz w:val="19"/>
              </w:rPr>
              <w:t>Largest gap in the reserve aisles; return route in the fast-pick area</w:t>
            </w:r>
          </w:p>
        </w:tc>
        <w:tc>
          <w:tcPr>
            <w:tcW w:type="dxa" w:w="3118"/>
          </w:tcPr>
          <w:p>
            <w:pPr>
              <w:keepNext/>
            </w:pPr>
            <w:r/>
            <w:r>
              <w:rPr>
                <w:sz w:val="19"/>
              </w:rPr>
              <w:t>shortest walk of 4 W3 policies tested (Section 6.2)</w:t>
            </w:r>
          </w:p>
        </w:tc>
      </w:tr>
      <w:tr>
        <w:trPr>
          <w:cantSplit/>
        </w:trPr>
        <w:tc>
          <w:tcPr>
            <w:tcW w:type="dxa" w:w="1701"/>
          </w:tcPr>
          <w:p>
            <w:pPr>
              <w:keepNext/>
            </w:pPr>
            <w:r/>
            <w:r>
              <w:rPr>
                <w:sz w:val="19"/>
              </w:rPr>
              <w:t>Putaway</w:t>
            </w:r>
          </w:p>
        </w:tc>
        <w:tc>
          <w:tcPr>
            <w:tcW w:type="dxa" w:w="4252"/>
          </w:tcPr>
          <w:p>
            <w:pPr>
              <w:keepNext/>
            </w:pPr>
            <w:r/>
            <w:r>
              <w:rPr>
                <w:sz w:val="19"/>
              </w:rPr>
              <w:t>System-directed, velocity-based to zone</w:t>
            </w:r>
          </w:p>
        </w:tc>
        <w:tc>
          <w:tcPr>
            <w:tcW w:type="dxa" w:w="3118"/>
          </w:tcPr>
          <w:p>
            <w:pPr>
              <w:keepNext/>
            </w:pPr>
            <w:r/>
            <w:r>
              <w:rPr>
                <w:sz w:val="19"/>
              </w:rPr>
              <w:t>align stock to demand</w:t>
            </w:r>
          </w:p>
        </w:tc>
      </w:tr>
      <w:tr>
        <w:trPr>
          <w:cantSplit/>
        </w:trPr>
        <w:tc>
          <w:tcPr>
            <w:tcW w:type="dxa" w:w="1701"/>
          </w:tcPr>
          <w:p>
            <w:pPr>
              <w:keepNext/>
            </w:pPr>
            <w:r/>
            <w:r>
              <w:rPr>
                <w:sz w:val="19"/>
              </w:rPr>
              <w:t>Replenishment</w:t>
            </w:r>
          </w:p>
        </w:tc>
        <w:tc>
          <w:tcPr>
            <w:tcW w:type="dxa" w:w="4252"/>
          </w:tcPr>
          <w:p>
            <w:pPr>
              <w:keepNext/>
            </w:pPr>
            <w:r/>
            <w:r>
              <w:rPr>
                <w:sz w:val="19"/>
              </w:rPr>
              <w:t>Min/max top-up from the rear of the lanes</w:t>
            </w:r>
          </w:p>
        </w:tc>
        <w:tc>
          <w:tcPr>
            <w:tcW w:type="dxa" w:w="3118"/>
          </w:tcPr>
          <w:p>
            <w:pPr>
              <w:keepNext/>
            </w:pPr>
            <w:r/>
            <w:r>
              <w:rPr>
                <w:sz w:val="19"/>
              </w:rPr>
              <w:t>keep faces filled at peak</w:t>
            </w:r>
          </w:p>
        </w:tc>
      </w:tr>
      <w:tr>
        <w:trPr>
          <w:cantSplit/>
        </w:trPr>
        <w:tc>
          <w:tcPr>
            <w:tcW w:type="dxa" w:w="1701"/>
          </w:tcPr>
          <w:p>
            <w:pPr>
              <w:keepNext/>
            </w:pPr>
            <w:r/>
            <w:r>
              <w:rPr>
                <w:sz w:val="19"/>
              </w:rPr>
              <w:t>Dock scheduling</w:t>
            </w:r>
          </w:p>
        </w:tc>
        <w:tc>
          <w:tcPr>
            <w:tcW w:type="dxa" w:w="4252"/>
          </w:tcPr>
          <w:p>
            <w:pPr>
              <w:keepNext/>
            </w:pPr>
            <w:r/>
            <w:r>
              <w:rPr>
                <w:sz w:val="19"/>
              </w:rPr>
              <w:t>Carrier time slots; stage, then live-load; 1 container dock</w:t>
            </w:r>
          </w:p>
        </w:tc>
        <w:tc>
          <w:tcPr>
            <w:tcW w:type="dxa" w:w="3118"/>
          </w:tcPr>
          <w:p>
            <w:pPr>
              <w:keepNext/>
            </w:pPr>
            <w:r/>
            <w:r>
              <w:rPr>
                <w:sz w:val="19"/>
              </w:rPr>
              <w:t>15 trailers/day, 73% parcel-only; ~41% loose inbound</w:t>
            </w:r>
          </w:p>
        </w:tc>
      </w:tr>
      <w:tr>
        <w:trPr>
          <w:cantSplit/>
        </w:trPr>
        <w:tc>
          <w:tcPr>
            <w:tcW w:type="dxa" w:w="1701"/>
          </w:tcPr>
          <w:p>
            <w:r/>
            <w:r>
              <w:rPr>
                <w:sz w:val="19"/>
              </w:rPr>
              <w:t>FIFO / FEFO</w:t>
            </w:r>
          </w:p>
        </w:tc>
        <w:tc>
          <w:tcPr>
            <w:tcW w:type="dxa" w:w="4252"/>
          </w:tcPr>
          <w:p>
            <w:r/>
            <w:r>
              <w:rPr>
                <w:sz w:val="19"/>
              </w:rPr>
              <w:t>FIFO via FIF DATE where relevant</w:t>
            </w:r>
          </w:p>
        </w:tc>
        <w:tc>
          <w:tcPr>
            <w:tcW w:type="dxa" w:w="3118"/>
          </w:tcPr>
          <w:p>
            <w:r/>
            <w:r>
              <w:rPr>
                <w:sz w:val="19"/>
              </w:rPr>
              <w:t>parts mostly not date-critical</w:t>
            </w:r>
          </w:p>
        </w:tc>
      </w:tr>
    </w:tbl>
    <w:p>
      <w:pPr>
        <w:spacing w:after="40"/>
      </w:pPr>
    </w:p>
    <w:p>
      <w:pPr>
        <w:pStyle w:val="Heading2"/>
      </w:pPr>
      <w:r>
        <w:t>3.1 Peak-season slotting (congestion control)</w:t>
      </w:r>
    </w:p>
    <w:p>
      <w:pPr>
        <w:spacing w:after="120"/>
      </w:pPr>
      <w:r>
        <w:rPr>
          <w:b w:val="0"/>
          <w:i w:val="0"/>
          <w:color w:val="222222"/>
          <w:sz w:val="21"/>
        </w:rPr>
        <w:t>At peak, congestion — not walk distance — becomes the dominant cost (Gadeyne, S003). Because the peak is spiky (1.83× lines / 2.85× units) and picks are concentrated, clustering all fast movers in one golden zone would jam a single area. We therefore adopt peak-aware slotting:</w:t>
      </w:r>
    </w:p>
    <w:p>
      <w:pPr>
        <w:pStyle w:val="ListBullet"/>
      </w:pPr>
      <w:r>
        <w:rPr>
          <w:b w:val="0"/>
          <w:sz w:val="21"/>
        </w:rPr>
      </w:r>
      <w:r>
        <w:rPr>
          <w:b/>
          <w:sz w:val="21"/>
        </w:rPr>
        <w:t>Picks are concentrated:</w:t>
      </w:r>
      <w:r>
        <w:rPr>
          <w:b w:val="0"/>
          <w:sz w:val="21"/>
        </w:rPr>
        <w:t xml:space="preserve"> the top 1% of SKUs (~43) do ~15.0% of all picks, and A-class SKUs ~60.0% of picks.</w:t>
      </w:r>
    </w:p>
    <w:p>
      <w:pPr>
        <w:pStyle w:val="ListBullet"/>
      </w:pPr>
      <w:r>
        <w:rPr>
          <w:b w:val="0"/>
          <w:sz w:val="21"/>
        </w:rPr>
      </w:r>
      <w:r>
        <w:rPr>
          <w:b/>
          <w:sz w:val="21"/>
        </w:rPr>
        <w:t>Spread fast movers across all pick zones</w:t>
      </w:r>
      <w:r>
        <w:rPr>
          <w:b w:val="0"/>
          <w:sz w:val="21"/>
        </w:rPr>
        <w:t xml:space="preserve"> (balanced on peak-day pick frequency): one zone would carry ~60.0% of picks; spread over 3 zones each carries ~20.0%.</w:t>
      </w:r>
    </w:p>
    <w:p>
      <w:pPr>
        <w:pStyle w:val="ListBullet"/>
      </w:pPr>
      <w:r>
        <w:rPr>
          <w:b w:val="0"/>
          <w:sz w:val="21"/>
        </w:rPr>
      </w:r>
      <w:r>
        <w:rPr>
          <w:b/>
          <w:sz w:val="21"/>
        </w:rPr>
        <w:t>Duplicate the extreme SKUs</w:t>
      </w:r>
      <w:r>
        <w:rPr>
          <w:b w:val="0"/>
          <w:sz w:val="21"/>
        </w:rPr>
        <w:t xml:space="preserve"> (~43 items) in different zones to allow parallel picking.</w:t>
      </w:r>
    </w:p>
    <w:p>
      <w:pPr>
        <w:pStyle w:val="ListBullet"/>
      </w:pPr>
      <w:r>
        <w:rPr>
          <w:b w:val="0"/>
          <w:sz w:val="21"/>
        </w:rPr>
      </w:r>
      <w:r>
        <w:rPr>
          <w:b/>
          <w:sz w:val="21"/>
        </w:rPr>
        <w:t>Levers in priority order</w:t>
      </w:r>
      <w:r>
        <w:rPr>
          <w:b w:val="0"/>
          <w:sz w:val="21"/>
        </w:rPr>
        <w:t xml:space="preserve"> (S003): slotting → order batching → wave-release timing → pick-path sequencing.</w:t>
      </w:r>
    </w:p>
    <w:p>
      <w:pPr>
        <w:pStyle w:val="ListBullet"/>
      </w:pPr>
      <w:r>
        <w:rPr>
          <w:b w:val="0"/>
          <w:sz w:val="21"/>
        </w:rPr>
      </w:r>
      <w:r>
        <w:rPr>
          <w:b/>
          <w:sz w:val="21"/>
        </w:rPr>
        <w:t>Validate by simulation</w:t>
      </w:r>
      <w:r>
        <w:rPr>
          <w:b w:val="0"/>
          <w:sz w:val="21"/>
        </w:rPr>
        <w:t xml:space="preserve"> at 150% / 200% / 250% of normal volume (Deliverable 3).</w:t>
      </w:r>
    </w:p>
    <w:p>
      <w:pPr>
        <w:pStyle w:val="Heading2"/>
      </w:pPr>
      <w:r>
        <w:t>3.2 Slotting by Cube-per-Order Index (COI) and affinity</w:t>
      </w:r>
    </w:p>
    <w:p>
      <w:pPr>
        <w:spacing w:after="80"/>
      </w:pPr>
      <w:r>
        <w:rPr>
          <w:b w:val="0"/>
          <w:i w:val="0"/>
          <w:color w:val="222222"/>
          <w:sz w:val="21"/>
        </w:rPr>
        <w:t>W3 key principle: the racking configuration should match each product's turnover, using the COI = storage space a SKU needs ÷ how often it is picked (S017). Low COI = little space, many picks → closest to packing.</w:t>
      </w:r>
    </w:p>
    <w:tbl>
      <w:tblPr>
        <w:tblStyle w:val="LightGrid-Accent1"/>
        <w:tblW w:type="auto" w:w="0"/>
        <w:jc w:val="center"/>
        <w:tblLayout w:type="fixed"/>
        <w:tblLook w:firstColumn="1" w:firstRow="1" w:lastColumn="0" w:lastRow="0" w:noHBand="0" w:noVBand="1" w:val="04A0"/>
      </w:tblPr>
      <w:tblGrid>
        <w:gridCol w:w="2268"/>
        <w:gridCol w:w="1701"/>
        <w:gridCol w:w="1701"/>
        <w:gridCol w:w="1701"/>
      </w:tblGrid>
      <w:tr>
        <w:trPr>
          <w:cantSplit/>
        </w:trPr>
        <w:tc>
          <w:tcPr>
            <w:tcW w:type="dxa" w:w="2268"/>
          </w:tcPr>
          <w:p>
            <w:pPr>
              <w:keepNext/>
            </w:pPr>
            <w:r/>
            <w:r>
              <w:rPr>
                <w:b/>
                <w:sz w:val="19"/>
              </w:rPr>
              <w:t>COI quintile</w:t>
            </w:r>
          </w:p>
        </w:tc>
        <w:tc>
          <w:tcPr>
            <w:tcW w:type="dxa" w:w="1701"/>
          </w:tcPr>
          <w:p>
            <w:pPr>
              <w:keepNext/>
            </w:pPr>
            <w:r/>
            <w:r>
              <w:rPr>
                <w:b/>
                <w:sz w:val="19"/>
              </w:rPr>
              <w:t>A SKUs</w:t>
            </w:r>
          </w:p>
        </w:tc>
        <w:tc>
          <w:tcPr>
            <w:tcW w:type="dxa" w:w="1701"/>
          </w:tcPr>
          <w:p>
            <w:pPr>
              <w:keepNext/>
            </w:pPr>
            <w:r/>
            <w:r>
              <w:rPr>
                <w:b/>
                <w:sz w:val="19"/>
              </w:rPr>
              <w:t>B SKUs</w:t>
            </w:r>
          </w:p>
        </w:tc>
        <w:tc>
          <w:tcPr>
            <w:tcW w:type="dxa" w:w="1701"/>
          </w:tcPr>
          <w:p>
            <w:pPr>
              <w:keepNext/>
            </w:pPr>
            <w:r/>
            <w:r>
              <w:rPr>
                <w:b/>
                <w:sz w:val="19"/>
              </w:rPr>
              <w:t>C SKUs</w:t>
            </w:r>
          </w:p>
        </w:tc>
      </w:tr>
      <w:tr>
        <w:trPr>
          <w:cantSplit/>
        </w:trPr>
        <w:tc>
          <w:tcPr>
            <w:tcW w:type="dxa" w:w="2268"/>
          </w:tcPr>
          <w:p>
            <w:pPr>
              <w:keepNext/>
            </w:pPr>
            <w:r/>
            <w:r>
              <w:rPr>
                <w:sz w:val="19"/>
              </w:rPr>
              <w:t>Q1 (best)</w:t>
            </w:r>
          </w:p>
        </w:tc>
        <w:tc>
          <w:tcPr>
            <w:tcW w:type="dxa" w:w="1701"/>
          </w:tcPr>
          <w:p>
            <w:pPr>
              <w:keepNext/>
              <w:jc w:val="right"/>
            </w:pPr>
            <w:r/>
            <w:r>
              <w:rPr>
                <w:sz w:val="19"/>
              </w:rPr>
              <w:t>161</w:t>
            </w:r>
          </w:p>
        </w:tc>
        <w:tc>
          <w:tcPr>
            <w:tcW w:type="dxa" w:w="1701"/>
          </w:tcPr>
          <w:p>
            <w:pPr>
              <w:keepNext/>
              <w:jc w:val="right"/>
            </w:pPr>
            <w:r/>
            <w:r>
              <w:rPr>
                <w:sz w:val="19"/>
              </w:rPr>
              <w:t>172</w:t>
            </w:r>
          </w:p>
        </w:tc>
        <w:tc>
          <w:tcPr>
            <w:tcW w:type="dxa" w:w="1701"/>
          </w:tcPr>
          <w:p>
            <w:pPr>
              <w:keepNext/>
              <w:jc w:val="right"/>
            </w:pPr>
            <w:r/>
            <w:r>
              <w:rPr>
                <w:sz w:val="19"/>
              </w:rPr>
              <w:t>121</w:t>
            </w:r>
          </w:p>
        </w:tc>
      </w:tr>
      <w:tr>
        <w:trPr>
          <w:cantSplit/>
        </w:trPr>
        <w:tc>
          <w:tcPr>
            <w:tcW w:type="dxa" w:w="2268"/>
          </w:tcPr>
          <w:p>
            <w:pPr>
              <w:keepNext/>
            </w:pPr>
            <w:r/>
            <w:r>
              <w:rPr>
                <w:sz w:val="19"/>
              </w:rPr>
              <w:t>Q2</w:t>
            </w:r>
          </w:p>
        </w:tc>
        <w:tc>
          <w:tcPr>
            <w:tcW w:type="dxa" w:w="1701"/>
          </w:tcPr>
          <w:p>
            <w:pPr>
              <w:keepNext/>
              <w:jc w:val="right"/>
            </w:pPr>
            <w:r/>
            <w:r>
              <w:rPr>
                <w:sz w:val="19"/>
              </w:rPr>
              <w:t>111</w:t>
            </w:r>
          </w:p>
        </w:tc>
        <w:tc>
          <w:tcPr>
            <w:tcW w:type="dxa" w:w="1701"/>
          </w:tcPr>
          <w:p>
            <w:pPr>
              <w:keepNext/>
              <w:jc w:val="right"/>
            </w:pPr>
            <w:r/>
            <w:r>
              <w:rPr>
                <w:sz w:val="19"/>
              </w:rPr>
              <w:t>152</w:t>
            </w:r>
          </w:p>
        </w:tc>
        <w:tc>
          <w:tcPr>
            <w:tcW w:type="dxa" w:w="1701"/>
          </w:tcPr>
          <w:p>
            <w:pPr>
              <w:keepNext/>
              <w:jc w:val="right"/>
            </w:pPr>
            <w:r/>
            <w:r>
              <w:rPr>
                <w:sz w:val="19"/>
              </w:rPr>
              <w:t>191</w:t>
            </w:r>
          </w:p>
        </w:tc>
      </w:tr>
      <w:tr>
        <w:trPr>
          <w:cantSplit/>
        </w:trPr>
        <w:tc>
          <w:tcPr>
            <w:tcW w:type="dxa" w:w="2268"/>
          </w:tcPr>
          <w:p>
            <w:pPr>
              <w:keepNext/>
            </w:pPr>
            <w:r/>
            <w:r>
              <w:rPr>
                <w:sz w:val="19"/>
              </w:rPr>
              <w:t>Q3</w:t>
            </w:r>
          </w:p>
        </w:tc>
        <w:tc>
          <w:tcPr>
            <w:tcW w:type="dxa" w:w="1701"/>
          </w:tcPr>
          <w:p>
            <w:pPr>
              <w:keepNext/>
              <w:jc w:val="right"/>
            </w:pPr>
            <w:r/>
            <w:r>
              <w:rPr>
                <w:sz w:val="19"/>
              </w:rPr>
              <w:t>83</w:t>
            </w:r>
          </w:p>
        </w:tc>
        <w:tc>
          <w:tcPr>
            <w:tcW w:type="dxa" w:w="1701"/>
          </w:tcPr>
          <w:p>
            <w:pPr>
              <w:keepNext/>
              <w:jc w:val="right"/>
            </w:pPr>
            <w:r/>
            <w:r>
              <w:rPr>
                <w:sz w:val="19"/>
              </w:rPr>
              <w:t>124</w:t>
            </w:r>
          </w:p>
        </w:tc>
        <w:tc>
          <w:tcPr>
            <w:tcW w:type="dxa" w:w="1701"/>
          </w:tcPr>
          <w:p>
            <w:pPr>
              <w:keepNext/>
              <w:jc w:val="right"/>
            </w:pPr>
            <w:r/>
            <w:r>
              <w:rPr>
                <w:sz w:val="19"/>
              </w:rPr>
              <w:t>247</w:t>
            </w:r>
          </w:p>
        </w:tc>
      </w:tr>
      <w:tr>
        <w:trPr>
          <w:cantSplit/>
        </w:trPr>
        <w:tc>
          <w:tcPr>
            <w:tcW w:type="dxa" w:w="2268"/>
          </w:tcPr>
          <w:p>
            <w:pPr>
              <w:keepNext/>
            </w:pPr>
            <w:r/>
            <w:r>
              <w:rPr>
                <w:sz w:val="19"/>
              </w:rPr>
              <w:t>Q4</w:t>
            </w:r>
          </w:p>
        </w:tc>
        <w:tc>
          <w:tcPr>
            <w:tcW w:type="dxa" w:w="1701"/>
          </w:tcPr>
          <w:p>
            <w:pPr>
              <w:keepNext/>
              <w:jc w:val="right"/>
            </w:pPr>
            <w:r/>
            <w:r>
              <w:rPr>
                <w:sz w:val="19"/>
              </w:rPr>
              <w:t>73</w:t>
            </w:r>
          </w:p>
        </w:tc>
        <w:tc>
          <w:tcPr>
            <w:tcW w:type="dxa" w:w="1701"/>
          </w:tcPr>
          <w:p>
            <w:pPr>
              <w:keepNext/>
              <w:jc w:val="right"/>
            </w:pPr>
            <w:r/>
            <w:r>
              <w:rPr>
                <w:sz w:val="19"/>
              </w:rPr>
              <w:t>105</w:t>
            </w:r>
          </w:p>
        </w:tc>
        <w:tc>
          <w:tcPr>
            <w:tcW w:type="dxa" w:w="1701"/>
          </w:tcPr>
          <w:p>
            <w:pPr>
              <w:keepNext/>
              <w:jc w:val="right"/>
            </w:pPr>
            <w:r/>
            <w:r>
              <w:rPr>
                <w:sz w:val="19"/>
              </w:rPr>
              <w:t>276</w:t>
            </w:r>
          </w:p>
        </w:tc>
      </w:tr>
      <w:tr>
        <w:trPr>
          <w:cantSplit/>
        </w:trPr>
        <w:tc>
          <w:tcPr>
            <w:tcW w:type="dxa" w:w="2268"/>
          </w:tcPr>
          <w:p>
            <w:r/>
            <w:r>
              <w:rPr>
                <w:sz w:val="19"/>
              </w:rPr>
              <w:t>Q5 (worst)</w:t>
            </w:r>
          </w:p>
        </w:tc>
        <w:tc>
          <w:tcPr>
            <w:tcW w:type="dxa" w:w="1701"/>
          </w:tcPr>
          <w:p>
            <w:pPr>
              <w:jc w:val="right"/>
            </w:pPr>
            <w:r/>
            <w:r>
              <w:rPr>
                <w:sz w:val="19"/>
              </w:rPr>
              <w:t>56</w:t>
            </w:r>
          </w:p>
        </w:tc>
        <w:tc>
          <w:tcPr>
            <w:tcW w:type="dxa" w:w="1701"/>
          </w:tcPr>
          <w:p>
            <w:pPr>
              <w:jc w:val="right"/>
            </w:pPr>
            <w:r/>
            <w:r>
              <w:rPr>
                <w:sz w:val="19"/>
              </w:rPr>
              <w:t>70</w:t>
            </w:r>
          </w:p>
        </w:tc>
        <w:tc>
          <w:tcPr>
            <w:tcW w:type="dxa" w:w="1701"/>
          </w:tcPr>
          <w:p>
            <w:pPr>
              <w:jc w:val="right"/>
            </w:pPr>
            <w:r/>
            <w:r>
              <w:rPr>
                <w:sz w:val="19"/>
              </w:rPr>
              <w:t>328</w:t>
            </w:r>
          </w:p>
        </w:tc>
      </w:tr>
    </w:tbl>
    <w:p>
      <w:pPr>
        <w:spacing w:after="40"/>
      </w:pPr>
    </w:p>
    <w:p>
      <w:pPr>
        <w:pStyle w:val="ListBullet"/>
      </w:pPr>
      <w:r>
        <w:rPr>
          <w:b w:val="0"/>
          <w:sz w:val="21"/>
        </w:rPr>
      </w:r>
      <w:r>
        <w:rPr>
          <w:b/>
          <w:sz w:val="21"/>
        </w:rPr>
        <w:t>COI confirms the ABC slotting:</w:t>
      </w:r>
      <w:r>
        <w:rPr>
          <w:b w:val="0"/>
          <w:sz w:val="21"/>
        </w:rPr>
        <w:t xml:space="preserve"> the best COI fifth of SKUs carries 55% of all picks, the best two fifths 72% — these fill the fast-pick area first.</w:t>
      </w:r>
    </w:p>
    <w:p>
      <w:pPr>
        <w:pStyle w:val="ListBullet"/>
      </w:pPr>
      <w:r>
        <w:rPr>
          <w:b w:val="0"/>
          <w:sz w:val="21"/>
        </w:rPr>
      </w:r>
      <w:r>
        <w:rPr>
          <w:b/>
          <w:sz w:val="21"/>
        </w:rPr>
        <w:t>COI corrects ABC in two places:</w:t>
      </w:r>
      <w:r>
        <w:rPr>
          <w:b w:val="0"/>
          <w:sz w:val="21"/>
        </w:rPr>
        <w:t xml:space="preserve"> 129 A items are bulky (poor COI) → kept on pallet faces at ground level near packing, not in carton-flow; 121 C items are tiny but picked often (best COI) → moved into the fast-pick shelving.</w:t>
      </w:r>
    </w:p>
    <w:p>
      <w:pPr>
        <w:pStyle w:val="ListBullet"/>
      </w:pPr>
      <w:r>
        <w:rPr>
          <w:b w:val="0"/>
          <w:sz w:val="21"/>
        </w:rPr>
      </w:r>
      <w:r>
        <w:rPr>
          <w:b/>
          <w:sz w:val="21"/>
        </w:rPr>
        <w:t>Affinity:</w:t>
      </w:r>
      <w:r>
        <w:rPr>
          <w:b w:val="0"/>
          <w:sz w:val="21"/>
        </w:rPr>
        <w:t xml:space="preserve"> in multi-line orders, 62% of item pairs share a product family vs 40% by chance → families are slotted together within each zone. Half of all orders are single-line, so affinity refines COI rather than replacing it.</w:t>
      </w:r>
    </w:p>
    <w:p>
      <w:pPr>
        <w:pStyle w:val="Heading1"/>
      </w:pPr>
      <w:r>
        <w:t>4. Inbound, order release &amp; dock doors</w:t>
      </w:r>
    </w:p>
    <w:p>
      <w:pPr>
        <w:pStyle w:val="Heading2"/>
      </w:pPr>
      <w:r>
        <w:t>4.1 What comes in</w:t>
      </w:r>
    </w:p>
    <w:p>
      <w:pPr>
        <w:spacing w:after="120"/>
      </w:pPr>
      <w:r>
        <w:rPr>
          <w:b w:val="0"/>
          <w:i w:val="0"/>
          <w:color w:val="222222"/>
          <w:sz w:val="21"/>
        </w:rPr>
        <w:t>No separate receiving file was provided, so receipts are measured from the storage snapshots: loads with an ADD DATE in the 14 days before each snapshot (A007). Loads already shipped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701"/>
        <w:gridCol w:w="1474"/>
        <w:gridCol w:w="1587"/>
        <w:gridCol w:w="1361"/>
        <w:gridCol w:w="1361"/>
        <w:gridCol w:w="1361"/>
      </w:tblGrid>
      <w:tr>
        <w:trPr>
          <w:cantSplit/>
        </w:trPr>
        <w:tc>
          <w:tcPr>
            <w:tcW w:type="dxa" w:w="1701"/>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 %</w:t>
            </w:r>
          </w:p>
        </w:tc>
      </w:tr>
      <w:tr>
        <w:trPr>
          <w:cantSplit/>
        </w:trPr>
        <w:tc>
          <w:tcPr>
            <w:tcW w:type="dxa" w:w="1701"/>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701"/>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701"/>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(×1.7).</w:t>
      </w:r>
      <w:r>
        <w:rPr>
          <w:b w:val="0"/>
          <w:sz w:val="21"/>
        </w:rPr>
      </w:r>
    </w:p>
    <w:p>
      <w:pPr>
        <w:pStyle w:val="ListBullet"/>
      </w:pPr>
      <w:r>
        <w:rPr>
          <w:b w:val="0"/>
          <w:sz w:val="21"/>
        </w:rPr>
      </w:r>
      <w:r>
        <w:rPr>
          <w:b/>
          <w:sz w:val="21"/>
        </w:rPr>
        <w:t>2 shipments a day, direct from Assa Abloy factories</w:t>
      </w:r>
      <w:r>
        <w:rPr>
          <w:b w:val="0"/>
          <w:sz w:val="21"/>
        </w:rPr>
        <w:t xml:space="preserve"> (teacher/DHL, S004) — in China, Germany, Romania, the Netherlands, Spain, Finland and others.</w:t>
      </w:r>
    </w:p>
    <w:p>
      <w:pPr>
        <w:pStyle w:val="ListBullet"/>
      </w:pPr>
      <w:r>
        <w:rPr>
          <w:b w:val="0"/>
          <w:sz w:val="21"/>
        </w:rPr>
      </w:r>
      <w:r>
        <w:rPr>
          <w:b/>
          <w:sz w:val="21"/>
        </w:rPr>
        <w:t>~41% of loads come from Asia</w:t>
      </w:r>
      <w:r>
        <w:rPr>
          <w:b w:val="0"/>
          <w:sz w:val="21"/>
        </w:rPr>
        <w:t xml:space="preserve"> and arrive loose in sea containers. The largest receipts (70–100 loads, all from China) take 1–3 days to book in — consistent with de-stuffing and palletising by hand.</w:t>
      </w:r>
    </w:p>
    <w:p>
      <w:pPr>
        <w:pStyle w:val="Heading2"/>
      </w:pPr>
      <w:r>
        <w:t>4.2 Why picking peaks at 08:00</w:t>
      </w:r>
    </w:p>
    <w:p>
      <w:pPr>
        <w:jc w:val="center"/>
      </w:pPr>
      <w:r>
        <w:drawing>
          <wp:inline xmlns:a="http://schemas.openxmlformats.org/drawingml/2006/main" xmlns:pic="http://schemas.openxmlformats.org/drawingml/2006/picture">
            <wp:extent cx="5580000" cy="2262622"/>
            <wp:docPr id="8" name="Picture 8"/>
            <wp:cNvGraphicFramePr>
              <a:graphicFrameLocks noChangeAspect="1"/>
            </wp:cNvGraphicFramePr>
            <a:graphic>
              <a:graphicData uri="http://schemas.openxmlformats.org/drawingml/2006/picture">
                <pic:pic>
                  <pic:nvPicPr>
                    <pic:cNvPr id="0" name="order_release_profile.png"/>
                    <pic:cNvPicPr/>
                  </pic:nvPicPr>
                  <pic:blipFill>
                    <a:blip r:embed="rId16"/>
                    <a:stretch>
                      <a:fillRect/>
                    </a:stretch>
                  </pic:blipFill>
                  <pic:spPr>
                    <a:xfrm>
                      <a:off x="0" y="0"/>
                      <a:ext cx="5580000" cy="2262622"/>
                    </a:xfrm>
                    <a:prstGeom prst="rect"/>
                  </pic:spPr>
                </pic:pic>
              </a:graphicData>
            </a:graphic>
          </wp:inline>
        </w:drawing>
      </w:r>
    </w:p>
    <w:p>
      <w:pPr>
        <w:spacing w:after="200"/>
        <w:jc w:val="center"/>
      </w:pPr>
      <w:r>
        <w:rPr>
          <w:b w:val="0"/>
          <w:i/>
          <w:color w:val="666666"/>
          <w:sz w:val="17"/>
        </w:rPr>
        <w:t>Fig 7. Orders arrive in the afternoon, are released at 16:00–17:00 and are picked the next morning — the 08:00 peak is the release backlog.</w:t>
      </w:r>
    </w:p>
    <w:p>
      <w:pPr>
        <w:pStyle w:val="ListBullet"/>
      </w:pPr>
      <w:r>
        <w:rPr>
          <w:b w:val="0"/>
          <w:sz w:val="21"/>
        </w:rPr>
      </w:r>
      <w:r>
        <w:rPr>
          <w:b/>
          <w:sz w:val="21"/>
        </w:rPr>
        <w:t>55% of orders arrive between 15:00 and 17:00</w:t>
      </w:r>
      <w:r>
        <w:rPr>
          <w:b w:val="0"/>
          <w:sz w:val="21"/>
        </w:rPr>
        <w:t>, and ~43% are released (allocated) between 16:00 and 18:00.</w:t>
      </w:r>
    </w:p>
    <w:p>
      <w:pPr>
        <w:pStyle w:val="ListBullet"/>
      </w:pPr>
      <w:r>
        <w:rPr>
          <w:b w:val="0"/>
          <w:sz w:val="21"/>
        </w:rPr>
      </w:r>
      <w:r>
        <w:rPr>
          <w:b/>
          <w:sz w:val="21"/>
        </w:rPr>
        <w:t>Picking starts at 06:00 and peaks at 08:00</w:t>
      </w:r>
      <w:r>
        <w:rPr>
          <w:b w:val="0"/>
          <w:sz w:val="21"/>
        </w:rPr>
        <w:t xml:space="preserve"> at 1.31× the average working hour: the whole afternoon backlog lands on the floor at the start of the shift (A023).</w:t>
      </w:r>
    </w:p>
    <w:p>
      <w:pPr>
        <w:pStyle w:val="ListBullet"/>
      </w:pPr>
      <w:r>
        <w:rPr>
          <w:b w:val="0"/>
          <w:sz w:val="21"/>
        </w:rPr>
      </w:r>
      <w:r>
        <w:rPr>
          <w:b/>
          <w:sz w:val="21"/>
        </w:rPr>
        <w:t>Future state:</w:t>
      </w:r>
      <w:r>
        <w:rPr>
          <w:b w:val="0"/>
          <w:sz w:val="21"/>
        </w:rPr>
        <w:t xml:space="preserve"> release work in 3 waves — W1 at 06:00, W2 at 09:30, W3 at 12:45 (W3 is the same-day wave for orders received before 12:00, Section 4.5). Levelling the load frees ~24% of peak-hour picker capacity without any change in customer service.</w:t>
      </w:r>
    </w:p>
    <w:p>
      <w:pPr>
        <w:pStyle w:val="Heading2"/>
      </w:pPr>
      <w:r>
        <w:t>4.3 Inbound dock doors</w:t>
      </w:r>
    </w:p>
    <w:p>
      <w:pPr>
        <w:spacing w:after="120"/>
      </w:pPr>
      <w:r>
        <w:rPr>
          <w:b w:val="0"/>
          <w:i w:val="0"/>
          <w:color w:val="222222"/>
          <w:sz w:val="21"/>
        </w:rPr>
        <w:t>Doors needed = the larger of (a) door-hours ÷ (receiving window 8 h × 85% utilisation) and (b) the number of arrivals that can be at the dock at the same time. A palletised trailer occupies a door ~1.3 h (unload with ERE 225 at ~1 min per pallet + 20 min dock-on and paperwork); a loose container ~3.3 h.</w:t>
      </w:r>
    </w:p>
    <w:tbl>
      <w:tblPr>
        <w:tblStyle w:val="LightGrid-Accent1"/>
        <w:tblW w:type="auto" w:w="0"/>
        <w:jc w:val="center"/>
        <w:tblLayout w:type="fixed"/>
        <w:tblLook w:firstColumn="1" w:firstRow="1" w:lastColumn="0" w:lastRow="0" w:noHBand="0" w:noVBand="1" w:val="04A0"/>
      </w:tblPr>
      <w:tblGrid>
        <w:gridCol w:w="4195"/>
        <w:gridCol w:w="1361"/>
        <w:gridCol w:w="1361"/>
        <w:gridCol w:w="1247"/>
        <w:gridCol w:w="1134"/>
      </w:tblGrid>
      <w:tr>
        <w:trPr>
          <w:cantSplit/>
        </w:trPr>
        <w:tc>
          <w:tcPr>
            <w:tcW w:type="dxa" w:w="4195"/>
          </w:tcPr>
          <w:p>
            <w:pPr>
              <w:keepNext/>
            </w:pPr>
            <w:r/>
            <w:r>
              <w:rPr>
                <w:b/>
                <w:sz w:val="19"/>
              </w:rPr>
              <w:t>Scenario</w:t>
            </w:r>
          </w:p>
        </w:tc>
        <w:tc>
          <w:tcPr>
            <w:tcW w:type="dxa" w:w="1361"/>
          </w:tcPr>
          <w:p>
            <w:pPr>
              <w:keepNext/>
            </w:pPr>
            <w:r/>
            <w:r>
              <w:rPr>
                <w:b/>
                <w:sz w:val="19"/>
              </w:rPr>
              <w:t>Door-hours / day</w:t>
            </w:r>
          </w:p>
        </w:tc>
        <w:tc>
          <w:tcPr>
            <w:tcW w:type="dxa" w:w="1361"/>
          </w:tcPr>
          <w:p>
            <w:pPr>
              <w:keepNext/>
            </w:pPr>
            <w:r/>
            <w:r>
              <w:rPr>
                <w:b/>
                <w:sz w:val="19"/>
              </w:rPr>
              <w:t>Doors by capacity</w:t>
            </w:r>
          </w:p>
        </w:tc>
        <w:tc>
          <w:tcPr>
            <w:tcW w:type="dxa" w:w="1247"/>
          </w:tcPr>
          <w:p>
            <w:pPr>
              <w:keepNext/>
            </w:pPr>
            <w:r/>
            <w:r>
              <w:rPr>
                <w:b/>
                <w:sz w:val="19"/>
              </w:rPr>
              <w:t>Arrivals at once</w:t>
            </w:r>
          </w:p>
        </w:tc>
        <w:tc>
          <w:tcPr>
            <w:tcW w:type="dxa" w:w="1134"/>
          </w:tcPr>
          <w:p>
            <w:pPr>
              <w:keepNext/>
            </w:pPr>
            <w:r/>
            <w:r>
              <w:rPr>
                <w:b/>
                <w:sz w:val="19"/>
              </w:rPr>
              <w:t>Doors needed</w:t>
            </w:r>
          </w:p>
        </w:tc>
      </w:tr>
      <w:tr>
        <w:trPr>
          <w:cantSplit/>
        </w:trPr>
        <w:tc>
          <w:tcPr>
            <w:tcW w:type="dxa" w:w="4195"/>
          </w:tcPr>
          <w:p>
            <w:pPr>
              <w:keepNext/>
            </w:pPr>
            <w:r/>
            <w:r>
              <w:rPr>
                <w:sz w:val="19"/>
              </w:rPr>
              <w:t>Average day: 1 palletised trailer + 1 loose container</w:t>
            </w:r>
          </w:p>
        </w:tc>
        <w:tc>
          <w:tcPr>
            <w:tcW w:type="dxa" w:w="1361"/>
          </w:tcPr>
          <w:p>
            <w:pPr>
              <w:keepNext/>
              <w:jc w:val="right"/>
            </w:pPr>
            <w:r/>
            <w:r>
              <w:rPr>
                <w:sz w:val="19"/>
              </w:rPr>
              <w:t>4.6</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Peak day: palletised volume x1.7 + 1 loose container</w:t>
            </w:r>
          </w:p>
        </w:tc>
        <w:tc>
          <w:tcPr>
            <w:tcW w:type="dxa" w:w="1361"/>
          </w:tcPr>
          <w:p>
            <w:pPr>
              <w:keepNext/>
              <w:jc w:val="right"/>
            </w:pPr>
            <w:r/>
            <w:r>
              <w:rPr>
                <w:sz w:val="19"/>
              </w:rPr>
              <w:t>5.3</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Worst case: 2 loose containers (4 h de-stuff each)</w:t>
            </w:r>
          </w:p>
        </w:tc>
        <w:tc>
          <w:tcPr>
            <w:tcW w:type="dxa" w:w="1361"/>
          </w:tcPr>
          <w:p>
            <w:pPr>
              <w:keepNext/>
              <w:jc w:val="right"/>
            </w:pPr>
            <w:r/>
            <w:r>
              <w:rPr>
                <w:sz w:val="19"/>
              </w:rPr>
              <w:t>8.7</w:t>
            </w:r>
          </w:p>
        </w:tc>
        <w:tc>
          <w:tcPr>
            <w:tcW w:type="dxa" w:w="1361"/>
          </w:tcPr>
          <w:p>
            <w:pPr>
              <w:keepNext/>
              <w:jc w:val="right"/>
            </w:pPr>
            <w:r/>
            <w:r>
              <w:rPr>
                <w:sz w:val="19"/>
              </w:rPr>
              <w:t>2</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r/>
            <w:r>
              <w:rPr>
                <w:sz w:val="19"/>
              </w:rPr>
              <w:t>Sensitivity: ~8 smaller trucks/day (WMS truck IDs)</w:t>
            </w:r>
          </w:p>
        </w:tc>
        <w:tc>
          <w:tcPr>
            <w:tcW w:type="dxa" w:w="1361"/>
          </w:tcPr>
          <w:p>
            <w:pPr>
              <w:jc w:val="right"/>
            </w:pPr>
            <w:r/>
            <w:r>
              <w:rPr>
                <w:sz w:val="19"/>
              </w:rPr>
              <w:t>4.3</w:t>
            </w:r>
          </w:p>
        </w:tc>
        <w:tc>
          <w:tcPr>
            <w:tcW w:type="dxa" w:w="1361"/>
          </w:tcPr>
          <w:p>
            <w:pPr>
              <w:jc w:val="right"/>
            </w:pPr>
            <w:r/>
            <w:r>
              <w:rPr>
                <w:sz w:val="19"/>
              </w:rPr>
              <w:t>1</w:t>
            </w:r>
          </w:p>
        </w:tc>
        <w:tc>
          <w:tcPr>
            <w:tcW w:type="dxa" w:w="1247"/>
          </w:tcPr>
          <w:p>
            <w:pPr>
              <w:jc w:val="right"/>
            </w:pPr>
            <w:r/>
            <w:r>
              <w:rPr>
                <w:sz w:val="19"/>
              </w:rPr>
              <w:t>3</w:t>
            </w:r>
          </w:p>
        </w:tc>
        <w:tc>
          <w:tcPr>
            <w:tcW w:type="dxa" w:w="1134"/>
          </w:tcPr>
          <w:p>
            <w:pPr>
              <w:jc w:val="right"/>
            </w:pPr>
            <w:r/>
            <w:r>
              <w:rPr>
                <w:sz w:val="19"/>
              </w:rPr>
              <w:t>3</w:t>
            </w:r>
          </w:p>
        </w:tc>
      </w:tr>
    </w:tbl>
    <w:p>
      <w:pPr>
        <w:spacing w:after="40"/>
      </w:pPr>
    </w:p>
    <w:p>
      <w:pPr>
        <w:spacing w:after="80"/>
      </w:pPr>
      <w:r>
        <w:rPr>
          <w:b/>
          <w:i w:val="0"/>
          <w:color w:val="222222"/>
          <w:sz w:val="21"/>
        </w:rPr>
        <w:t>Result: 3 receiving doors on the west wall</w:t>
      </w:r>
      <w:r>
        <w:rPr>
          <w:b/>
          <w:i w:val="0"/>
          <w:color w:val="222222"/>
          <w:sz w:val="21"/>
        </w:rPr>
        <w:t xml:space="preserve"> — R1 a container dock (leveller with the range for container chassis), R2–R3 for trailers. The two daily shipments need 2 doors so a 3-hour container never blocks a trailer; the third door covers the 'many smaller trucks' case, customer returns and breakdowns.</w:t>
      </w:r>
    </w:p>
    <w:p>
      <w:pPr>
        <w:pStyle w:val="Heading2"/>
      </w:pPr>
      <w:r>
        <w:t>4.4 Outbound dock doors</w:t>
      </w:r>
    </w:p>
    <w:p>
      <w:pPr>
        <w:spacing w:after="120"/>
      </w:pPr>
      <w:r>
        <w:rPr>
          <w:b w:val="0"/>
          <w:i w:val="0"/>
          <w:color w:val="222222"/>
          <w:sz w:val="21"/>
        </w:rPr>
        <w:t>Sized trailer by trailer from the 912 outbound trailers in Q2. Dock time per trailer = 15 min dock-on and paperwork + loading of its actual pallets and roll cages with an ERE 225 (mean 18 min, p90 22 min). Doors are sized on the busiest hour: p90 9 trailers × 18 min ÷ (60 min × 85%) = 3.1 → 4 doors, plus 1 spare.</w:t>
      </w:r>
    </w:p>
    <w:p>
      <w:pPr>
        <w:jc w:val="center"/>
      </w:pPr>
      <w:r>
        <w:drawing>
          <wp:inline xmlns:a="http://schemas.openxmlformats.org/drawingml/2006/main" xmlns:pic="http://schemas.openxmlformats.org/drawingml/2006/picture">
            <wp:extent cx="5040000" cy="2622335"/>
            <wp:docPr id="9" name="Picture 9"/>
            <wp:cNvGraphicFramePr>
              <a:graphicFrameLocks noChangeAspect="1"/>
            </wp:cNvGraphicFramePr>
            <a:graphic>
              <a:graphicData uri="http://schemas.openxmlformats.org/drawingml/2006/picture">
                <pic:pic>
                  <pic:nvPicPr>
                    <pic:cNvPr id="0" name="dock_outbound_doors.png"/>
                    <pic:cNvPicPr/>
                  </pic:nvPicPr>
                  <pic:blipFill>
                    <a:blip r:embed="rId17"/>
                    <a:stretch>
                      <a:fillRect/>
                    </a:stretch>
                  </pic:blipFill>
                  <pic:spPr>
                    <a:xfrm>
                      <a:off x="0" y="0"/>
                      <a:ext cx="5040000" cy="2622335"/>
                    </a:xfrm>
                    <a:prstGeom prst="rect"/>
                  </pic:spPr>
                </pic:pic>
              </a:graphicData>
            </a:graphic>
          </wp:inline>
        </w:drawing>
      </w:r>
    </w:p>
    <w:p>
      <w:pPr>
        <w:spacing w:after="200"/>
        <w:jc w:val="center"/>
      </w:pPr>
      <w:r>
        <w:rPr>
          <w:b w:val="0"/>
          <w:i/>
          <w:color w:val="666666"/>
          <w:sz w:val="17"/>
        </w:rPr>
        <w:t>Fig 8. Outbound doors needed today vs in the future state (busy day, p90).</w:t>
      </w:r>
    </w:p>
    <w:tbl>
      <w:tblPr>
        <w:tblStyle w:val="LightGrid-Accent1"/>
        <w:tblW w:type="auto" w:w="0"/>
        <w:jc w:val="center"/>
        <w:tblLayout w:type="fixed"/>
        <w:tblLook w:firstColumn="1" w:firstRow="1" w:lastColumn="0" w:lastRow="0" w:noHBand="0" w:noVBand="1" w:val="04A0"/>
      </w:tblPr>
      <w:tblGrid>
        <w:gridCol w:w="5669"/>
        <w:gridCol w:w="3402"/>
      </w:tblGrid>
      <w:tr>
        <w:trPr>
          <w:cantSplit/>
        </w:trPr>
        <w:tc>
          <w:tcPr>
            <w:tcW w:type="dxa" w:w="5669"/>
          </w:tcPr>
          <w:p>
            <w:pPr>
              <w:keepNext/>
            </w:pPr>
            <w:r/>
            <w:r>
              <w:rPr>
                <w:b/>
                <w:sz w:val="19"/>
              </w:rPr>
              <w:t>Measure</w:t>
            </w:r>
          </w:p>
        </w:tc>
        <w:tc>
          <w:tcPr>
            <w:tcW w:type="dxa" w:w="3402"/>
          </w:tcPr>
          <w:p>
            <w:pPr>
              <w:keepNext/>
            </w:pPr>
            <w:r/>
            <w:r>
              <w:rPr>
                <w:b/>
                <w:sz w:val="19"/>
              </w:rPr>
              <w:t>Value</w:t>
            </w:r>
          </w:p>
        </w:tc>
      </w:tr>
      <w:tr>
        <w:trPr>
          <w:cantSplit/>
        </w:trPr>
        <w:tc>
          <w:tcPr>
            <w:tcW w:type="dxa" w:w="5669"/>
          </w:tcPr>
          <w:p>
            <w:pPr>
              <w:keepNext/>
            </w:pPr>
            <w:r/>
            <w:r>
              <w:rPr>
                <w:sz w:val="19"/>
              </w:rPr>
              <w:t>Trailers per day (mean / p90 / max)</w:t>
            </w:r>
          </w:p>
        </w:tc>
        <w:tc>
          <w:tcPr>
            <w:tcW w:type="dxa" w:w="3402"/>
          </w:tcPr>
          <w:p>
            <w:pPr>
              <w:keepNext/>
            </w:pPr>
            <w:r/>
            <w:r>
              <w:rPr>
                <w:sz w:val="19"/>
              </w:rPr>
              <w:t>15 / 19 / 22</w:t>
            </w:r>
          </w:p>
        </w:tc>
      </w:tr>
      <w:tr>
        <w:trPr>
          <w:cantSplit/>
        </w:trPr>
        <w:tc>
          <w:tcPr>
            <w:tcW w:type="dxa" w:w="5669"/>
          </w:tcPr>
          <w:p>
            <w:pPr>
              <w:keepNext/>
            </w:pPr>
            <w:r/>
            <w:r>
              <w:rPr>
                <w:sz w:val="19"/>
              </w:rPr>
              <w:t>Load per trailer (mean)</w:t>
            </w:r>
          </w:p>
        </w:tc>
        <w:tc>
          <w:tcPr>
            <w:tcW w:type="dxa" w:w="3402"/>
          </w:tcPr>
          <w:p>
            <w:pPr>
              <w:keepNext/>
            </w:pPr>
            <w:r/>
            <w:r>
              <w:rPr>
                <w:sz w:val="19"/>
              </w:rPr>
              <w:t>1.2 pallets + 15 cartons</w:t>
            </w:r>
          </w:p>
        </w:tc>
      </w:tr>
      <w:tr>
        <w:trPr>
          <w:cantSplit/>
        </w:trPr>
        <w:tc>
          <w:tcPr>
            <w:tcW w:type="dxa" w:w="5669"/>
          </w:tcPr>
          <w:p>
            <w:pPr>
              <w:keepNext/>
            </w:pPr>
            <w:r/>
            <w:r>
              <w:rPr>
                <w:sz w:val="19"/>
              </w:rPr>
              <w:t>Trailers with no pallets (parcel only)</w:t>
            </w:r>
          </w:p>
        </w:tc>
        <w:tc>
          <w:tcPr>
            <w:tcW w:type="dxa" w:w="3402"/>
          </w:tcPr>
          <w:p>
            <w:pPr>
              <w:keepNext/>
            </w:pPr>
            <w:r/>
            <w:r>
              <w:rPr>
                <w:sz w:val="19"/>
              </w:rPr>
              <w:t>73%</w:t>
            </w:r>
          </w:p>
        </w:tc>
      </w:tr>
      <w:tr>
        <w:trPr>
          <w:cantSplit/>
        </w:trPr>
        <w:tc>
          <w:tcPr>
            <w:tcW w:type="dxa" w:w="5669"/>
          </w:tcPr>
          <w:p>
            <w:pPr>
              <w:keepNext/>
            </w:pPr>
            <w:r/>
            <w:r>
              <w:rPr>
                <w:sz w:val="19"/>
              </w:rPr>
              <w:t>Trailers dispatched in the busiest hour (p90 / max)</w:t>
            </w:r>
          </w:p>
        </w:tc>
        <w:tc>
          <w:tcPr>
            <w:tcW w:type="dxa" w:w="3402"/>
          </w:tcPr>
          <w:p>
            <w:pPr>
              <w:keepNext/>
            </w:pPr>
            <w:r/>
            <w:r>
              <w:rPr>
                <w:sz w:val="19"/>
              </w:rPr>
              <w:t>9 / 12</w:t>
            </w:r>
          </w:p>
        </w:tc>
      </w:tr>
      <w:tr>
        <w:trPr>
          <w:cantSplit/>
        </w:trPr>
        <w:tc>
          <w:tcPr>
            <w:tcW w:type="dxa" w:w="5669"/>
          </w:tcPr>
          <w:p>
            <w:pPr>
              <w:keepNext/>
            </w:pPr>
            <w:r/>
            <w:r>
              <w:rPr>
                <w:sz w:val="19"/>
              </w:rPr>
              <w:t>Today: trailers parked at the doors at once (p90)</w:t>
            </w:r>
          </w:p>
        </w:tc>
        <w:tc>
          <w:tcPr>
            <w:tcW w:type="dxa" w:w="3402"/>
          </w:tcPr>
          <w:p>
            <w:pPr>
              <w:keepNext/>
            </w:pPr>
            <w:r/>
            <w:r>
              <w:rPr>
                <w:sz w:val="19"/>
              </w:rPr>
              <w:t>15</w:t>
            </w:r>
          </w:p>
        </w:tc>
      </w:tr>
      <w:tr>
        <w:trPr>
          <w:cantSplit/>
        </w:trPr>
        <w:tc>
          <w:tcPr>
            <w:tcW w:type="dxa" w:w="5669"/>
          </w:tcPr>
          <w:p>
            <w:pPr>
              <w:keepNext/>
            </w:pPr>
            <w:r/>
            <w:r>
              <w:rPr>
                <w:sz w:val="19"/>
              </w:rPr>
              <w:t>Future without time slots (p90)</w:t>
            </w:r>
          </w:p>
        </w:tc>
        <w:tc>
          <w:tcPr>
            <w:tcW w:type="dxa" w:w="3402"/>
          </w:tcPr>
          <w:p>
            <w:pPr>
              <w:keepNext/>
            </w:pPr>
            <w:r/>
            <w:r>
              <w:rPr>
                <w:sz w:val="19"/>
              </w:rPr>
              <w:t>8</w:t>
            </w:r>
          </w:p>
        </w:tc>
      </w:tr>
      <w:tr>
        <w:trPr>
          <w:cantSplit/>
        </w:trPr>
        <w:tc>
          <w:tcPr>
            <w:tcW w:type="dxa" w:w="5669"/>
          </w:tcPr>
          <w:p>
            <w:r/>
            <w:r>
              <w:rPr>
                <w:sz w:val="19"/>
              </w:rPr>
              <w:t>Future with carrier time slots</w:t>
            </w:r>
          </w:p>
        </w:tc>
        <w:tc>
          <w:tcPr>
            <w:tcW w:type="dxa" w:w="3402"/>
          </w:tcPr>
          <w:p>
            <w:r/>
            <w:r>
              <w:rPr>
                <w:sz w:val="19"/>
              </w:rPr>
              <w:t>3.1 → 5 doors incl. 1 spare</w:t>
            </w:r>
          </w:p>
        </w:tc>
      </w:tr>
    </w:tbl>
    <w:p>
      <w:pPr>
        <w:spacing w:after="40"/>
      </w:pPr>
    </w:p>
    <w:p>
      <w:pPr>
        <w:pStyle w:val="ListBullet"/>
      </w:pPr>
      <w:r>
        <w:rPr>
          <w:b w:val="0"/>
          <w:sz w:val="21"/>
        </w:rPr>
      </w:r>
      <w:r>
        <w:rPr>
          <w:b/>
          <w:sz w:val="21"/>
        </w:rPr>
        <w:t>Result: 5 shipping doors on the east wall</w:t>
      </w:r>
      <w:r>
        <w:rPr>
          <w:b w:val="0"/>
          <w:sz w:val="21"/>
        </w:rPr>
        <w:t>, next to outbound staging and packing.</w:t>
      </w:r>
    </w:p>
    <w:p>
      <w:pPr>
        <w:pStyle w:val="ListBullet"/>
      </w:pPr>
      <w:r>
        <w:rPr>
          <w:b w:val="0"/>
          <w:sz w:val="21"/>
        </w:rPr>
      </w:r>
      <w:r>
        <w:rPr>
          <w:b/>
          <w:sz w:val="21"/>
        </w:rPr>
        <w:t>Carrier time slots are a condition of this design.</w:t>
      </w:r>
      <w:r>
        <w:rPr>
          <w:b w:val="0"/>
          <w:sz w:val="21"/>
        </w:rPr>
        <w:t xml:space="preserve"> WMS dispatch times are closed in batches (60% of afternoon dispatches are under 2 minutes apart); without booked slots up to 8 doors would be needed, and today's all-day parked trailers would need ~15.</w:t>
      </w:r>
    </w:p>
    <w:p>
      <w:pPr>
        <w:pStyle w:val="ListBullet"/>
      </w:pPr>
      <w:r>
        <w:rPr>
          <w:b w:val="0"/>
          <w:sz w:val="21"/>
        </w:rPr>
      </w:r>
      <w:r>
        <w:rPr>
          <w:b/>
          <w:sz w:val="21"/>
        </w:rPr>
        <w:t>Main carriers (trailers/day):</w:t>
      </w:r>
      <w:r>
        <w:rPr>
          <w:b w:val="0"/>
          <w:sz w:val="21"/>
        </w:rPr>
        <w:t xml:space="preserve"> Ex-works (customer pickup) 3.0, DHL DSV 2.4, DHL Parcel Netherlands 2.1, DHL Parcel NL DACH 1.4, DHL Parcel BE &amp; LU 1.1, DHL4YOU 1.0.</w:t>
      </w:r>
    </w:p>
    <w:p>
      <w:pPr>
        <w:pStyle w:val="Heading2"/>
      </w:pPr>
      <w:r>
        <w:t>4.5 When trailers leave — departure plan</w:t>
      </w:r>
    </w:p>
    <w:p>
      <w:pPr>
        <w:spacing w:after="120"/>
      </w:pPr>
      <w:r>
        <w:rPr>
          <w:b w:val="0"/>
          <w:i w:val="0"/>
          <w:color w:val="222222"/>
          <w:sz w:val="21"/>
        </w:rPr>
        <w:t>Trailers get fixed departure slots, set close to each carrier's current median departure time (measured), and the picking waves are planned backwards from them: every wave finishes at least 45 minutes before the departure time of the trailers it feeds, leaving time to pack and stage.</w:t>
      </w:r>
    </w:p>
    <w:p>
      <w:pPr>
        <w:jc w:val="center"/>
      </w:pPr>
      <w:r>
        <w:drawing>
          <wp:inline xmlns:a="http://schemas.openxmlformats.org/drawingml/2006/main" xmlns:pic="http://schemas.openxmlformats.org/drawingml/2006/picture">
            <wp:extent cx="6120000" cy="2376863"/>
            <wp:docPr id="10" name="Picture 10"/>
            <wp:cNvGraphicFramePr>
              <a:graphicFrameLocks noChangeAspect="1"/>
            </wp:cNvGraphicFramePr>
            <a:graphic>
              <a:graphicData uri="http://schemas.openxmlformats.org/drawingml/2006/picture">
                <pic:pic>
                  <pic:nvPicPr>
                    <pic:cNvPr id="0" name="departure_plan.png"/>
                    <pic:cNvPicPr/>
                  </pic:nvPicPr>
                  <pic:blipFill>
                    <a:blip r:embed="rId18"/>
                    <a:stretch>
                      <a:fillRect/>
                    </a:stretch>
                  </pic:blipFill>
                  <pic:spPr>
                    <a:xfrm>
                      <a:off x="0" y="0"/>
                      <a:ext cx="6120000" cy="2376863"/>
                    </a:xfrm>
                    <a:prstGeom prst="rect"/>
                  </pic:spPr>
                </pic:pic>
              </a:graphicData>
            </a:graphic>
          </wp:inline>
        </w:drawing>
      </w:r>
    </w:p>
    <w:p>
      <w:pPr>
        <w:spacing w:after="200"/>
        <w:jc w:val="center"/>
      </w:pPr>
      <w:r>
        <w:rPr>
          <w:b w:val="0"/>
          <w:i/>
          <w:color w:val="666666"/>
          <w:sz w:val="17"/>
        </w:rPr>
        <w:t>Fig 9. Departure slots on the 5 shipping doors and the 3 pick waves that feed them (max 4 doors busy at once).</w:t>
      </w:r>
    </w:p>
    <w:tbl>
      <w:tblPr>
        <w:tblStyle w:val="LightGrid-Accent1"/>
        <w:tblW w:type="auto" w:w="0"/>
        <w:jc w:val="center"/>
        <w:tblLayout w:type="fixed"/>
        <w:tblLook w:firstColumn="1" w:firstRow="1" w:lastColumn="0" w:lastRow="0" w:noHBand="0" w:noVBand="1" w:val="04A0"/>
      </w:tblPr>
      <w:tblGrid>
        <w:gridCol w:w="1474"/>
        <w:gridCol w:w="3969"/>
        <w:gridCol w:w="1247"/>
        <w:gridCol w:w="1701"/>
      </w:tblGrid>
      <w:tr>
        <w:trPr>
          <w:cantSplit/>
        </w:trPr>
        <w:tc>
          <w:tcPr>
            <w:tcW w:type="dxa" w:w="1474"/>
          </w:tcPr>
          <w:p>
            <w:pPr>
              <w:keepNext/>
            </w:pPr>
            <w:r/>
            <w:r>
              <w:rPr>
                <w:b/>
                <w:sz w:val="19"/>
              </w:rPr>
              <w:t>Departure</w:t>
            </w:r>
          </w:p>
        </w:tc>
        <w:tc>
          <w:tcPr>
            <w:tcW w:type="dxa" w:w="3969"/>
          </w:tcPr>
          <w:p>
            <w:pPr>
              <w:keepNext/>
            </w:pPr>
            <w:r/>
            <w:r>
              <w:rPr>
                <w:b/>
                <w:sz w:val="19"/>
              </w:rPr>
              <w:t>Carrier</w:t>
            </w:r>
          </w:p>
        </w:tc>
        <w:tc>
          <w:tcPr>
            <w:tcW w:type="dxa" w:w="1247"/>
          </w:tcPr>
          <w:p>
            <w:pPr>
              <w:keepNext/>
            </w:pPr>
            <w:r/>
            <w:r>
              <w:rPr>
                <w:b/>
                <w:sz w:val="19"/>
              </w:rPr>
              <w:t>Trailers</w:t>
            </w:r>
          </w:p>
        </w:tc>
        <w:tc>
          <w:tcPr>
            <w:tcW w:type="dxa" w:w="1701"/>
          </w:tcPr>
          <w:p>
            <w:pPr>
              <w:keepNext/>
            </w:pPr>
            <w:r/>
            <w:r>
              <w:rPr>
                <w:b/>
                <w:sz w:val="19"/>
              </w:rPr>
              <w:t>Fed by wave</w:t>
            </w:r>
          </w:p>
        </w:tc>
      </w:tr>
      <w:tr>
        <w:trPr>
          <w:cantSplit/>
        </w:trPr>
        <w:tc>
          <w:tcPr>
            <w:tcW w:type="dxa" w:w="1474"/>
          </w:tcPr>
          <w:p>
            <w:pPr>
              <w:keepNext/>
            </w:pPr>
            <w:r/>
            <w:r>
              <w:rPr>
                <w:sz w:val="19"/>
              </w:rPr>
              <w:t>10:30</w:t>
            </w:r>
          </w:p>
        </w:tc>
        <w:tc>
          <w:tcPr>
            <w:tcW w:type="dxa" w:w="3969"/>
          </w:tcPr>
          <w:p>
            <w:pPr>
              <w:keepNext/>
            </w:pPr>
            <w:r/>
            <w:r>
              <w:rPr>
                <w:sz w:val="19"/>
              </w:rPr>
              <w:t>Ex-works pickup (AM)</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11:00</w:t>
            </w:r>
          </w:p>
        </w:tc>
        <w:tc>
          <w:tcPr>
            <w:tcW w:type="dxa" w:w="3969"/>
          </w:tcPr>
          <w:p>
            <w:pPr>
              <w:keepNext/>
            </w:pPr>
            <w:r/>
            <w:r>
              <w:rPr>
                <w:sz w:val="19"/>
              </w:rPr>
              <w:t>DHL DSV run 1</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13:30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DHL Parcel NL run 1</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14:30</w:t>
            </w:r>
          </w:p>
        </w:tc>
        <w:tc>
          <w:tcPr>
            <w:tcW w:type="dxa" w:w="3969"/>
          </w:tcPr>
          <w:p>
            <w:pPr>
              <w:keepNext/>
            </w:pPr>
            <w:r/>
            <w:r>
              <w:rPr>
                <w:sz w:val="19"/>
              </w:rPr>
              <w:t>DHL DSV run 2</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15:00</w:t>
            </w:r>
          </w:p>
        </w:tc>
        <w:tc>
          <w:tcPr>
            <w:tcW w:type="dxa" w:w="3969"/>
          </w:tcPr>
          <w:p>
            <w:pPr>
              <w:keepNext/>
            </w:pPr>
            <w:r/>
            <w:r>
              <w:rPr>
                <w:sz w:val="19"/>
              </w:rPr>
              <w:t>Customer carriers</w:t>
            </w:r>
          </w:p>
        </w:tc>
        <w:tc>
          <w:tcPr>
            <w:tcW w:type="dxa" w:w="1247"/>
          </w:tcPr>
          <w:p>
            <w:pPr>
              <w:keepNext/>
            </w:pPr>
            <w:r/>
            <w:r>
              <w:rPr>
                <w:sz w:val="19"/>
              </w:rPr>
              <w:t>2</w:t>
            </w:r>
          </w:p>
        </w:tc>
        <w:tc>
          <w:tcPr>
            <w:tcW w:type="dxa" w:w="1701"/>
          </w:tcPr>
          <w:p>
            <w:pPr>
              <w:keepNext/>
            </w:pPr>
            <w:r/>
            <w:r>
              <w:rPr>
                <w:sz w:val="19"/>
              </w:rPr>
              <w:t>W2</w:t>
            </w:r>
          </w:p>
        </w:tc>
      </w:tr>
      <w:tr>
        <w:trPr>
          <w:cantSplit/>
        </w:trPr>
        <w:tc>
          <w:tcPr>
            <w:tcW w:type="dxa" w:w="1474"/>
          </w:tcPr>
          <w:p>
            <w:pPr>
              <w:keepNext/>
            </w:pPr>
            <w:r/>
            <w:r>
              <w:rPr>
                <w:sz w:val="19"/>
              </w:rPr>
              <w:t>16:00</w:t>
            </w:r>
          </w:p>
        </w:tc>
        <w:tc>
          <w:tcPr>
            <w:tcW w:type="dxa" w:w="3969"/>
          </w:tcPr>
          <w:p>
            <w:pPr>
              <w:keepNext/>
            </w:pPr>
            <w:r/>
            <w:r>
              <w:rPr>
                <w:sz w:val="19"/>
              </w:rPr>
              <w:t>DHL Parcel NL DACH</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 Parcel NL run 2</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DHL4YOU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Connect &amp; Return</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Parcel BE &amp; LU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r/>
            <w:r>
              <w:rPr>
                <w:sz w:val="19"/>
              </w:rPr>
              <w:t>16:45</w:t>
            </w:r>
          </w:p>
        </w:tc>
        <w:tc>
          <w:tcPr>
            <w:tcW w:type="dxa" w:w="3969"/>
          </w:tcPr>
          <w:p>
            <w:r/>
            <w:r>
              <w:rPr>
                <w:sz w:val="19"/>
              </w:rPr>
              <w:t>DHL Parcel EDC</w:t>
            </w:r>
          </w:p>
        </w:tc>
        <w:tc>
          <w:tcPr>
            <w:tcW w:type="dxa" w:w="1247"/>
          </w:tcPr>
          <w:p>
            <w:r/>
            <w:r>
              <w:rPr>
                <w:sz w:val="19"/>
              </w:rPr>
              <w:t>1</w:t>
            </w:r>
          </w:p>
        </w:tc>
        <w:tc>
          <w:tcPr>
            <w:tcW w:type="dxa" w:w="1701"/>
          </w:tcPr>
          <w:p>
            <w:r/>
            <w:r>
              <w:rPr>
                <w:sz w:val="19"/>
              </w:rPr>
              <w:t>W3</w:t>
            </w:r>
          </w:p>
        </w:tc>
      </w:tr>
    </w:tbl>
    <w:p>
      <w:pPr>
        <w:spacing w:after="40"/>
      </w:pPr>
    </w:p>
    <w:p>
      <w:pPr>
        <w:pStyle w:val="ListBullet"/>
      </w:pPr>
      <w:r>
        <w:rPr>
          <w:b w:val="0"/>
          <w:sz w:val="21"/>
        </w:rPr>
      </w:r>
      <w:r>
        <w:rPr>
          <w:b/>
          <w:sz w:val="21"/>
        </w:rPr>
        <w:t>Waves:</w:t>
      </w:r>
      <w:r>
        <w:rPr>
          <w:b w:val="0"/>
          <w:sz w:val="21"/>
        </w:rPr>
        <w:t xml:space="preserve"> W1 06:00–09:30 (afternoon orders from the day before); W2 09:30–12:45 (rest of the backlog + morning orders); W3 12:45–15:15 (orders received before 12:00 (same-day parcel)).</w:t>
      </w:r>
    </w:p>
    <w:p>
      <w:pPr>
        <w:pStyle w:val="ListBullet"/>
      </w:pPr>
      <w:r>
        <w:rPr>
          <w:b w:val="0"/>
          <w:sz w:val="21"/>
        </w:rPr>
      </w:r>
      <w:r>
        <w:rPr>
          <w:b/>
          <w:sz w:val="21"/>
        </w:rPr>
        <w:t>Same-day service becomes possible:</w:t>
      </w:r>
      <w:r>
        <w:rPr>
          <w:b w:val="0"/>
          <w:sz w:val="21"/>
        </w:rPr>
        <w:t xml:space="preserve"> 32% of orders arrive before 12:00 and can go out on the afternoon parcel trailers via wave 3; later orders leave the next day.</w:t>
      </w:r>
    </w:p>
    <w:p>
      <w:pPr>
        <w:pStyle w:val="ListBullet"/>
      </w:pPr>
      <w:r>
        <w:rPr>
          <w:b w:val="0"/>
          <w:sz w:val="21"/>
        </w:rPr>
      </w:r>
      <w:r>
        <w:rPr>
          <w:b/>
          <w:sz w:val="21"/>
        </w:rPr>
        <w:t>Doors:</w:t>
      </w:r>
      <w:r>
        <w:rPr>
          <w:b w:val="0"/>
          <w:sz w:val="21"/>
        </w:rPr>
        <w:t xml:space="preserve"> at most 4 of the 5 doors are in use at once (25-minute slots), leaving one free for ex-works pickups that arrive late or early.</w:t>
      </w:r>
    </w:p>
    <w:p>
      <w:pPr>
        <w:pStyle w:val="Heading2"/>
      </w:pPr>
      <w:r>
        <w:t>4.6 Loose containers — their own zone</w:t>
      </w:r>
    </w:p>
    <w:p>
      <w:pPr>
        <w:spacing w:after="80"/>
      </w:pPr>
      <w:r>
        <w:rPr>
          <w:b w:val="0"/>
          <w:i w:val="0"/>
          <w:color w:val="222222"/>
          <w:sz w:val="21"/>
        </w:rPr>
        <w:t>After the last feedback meeting, loose containers get their own 190 m² zone directly behind door R1, between receiving and returns, so unpacking cartons does not share space with pallet receiving. The zone is sized from 568 Asian receipts in the stock data: a container brings a median of 20 pallets of 7 SKUs (p75: 34 pallets, 11 SKUs).</w:t>
      </w:r>
    </w:p>
    <w:tbl>
      <w:tblPr>
        <w:tblStyle w:val="LightGrid-Accent1"/>
        <w:tblW w:type="auto" w:w="0"/>
        <w:jc w:val="center"/>
        <w:tblLayout w:type="fixed"/>
        <w:tblLook w:firstColumn="1" w:firstRow="1" w:lastColumn="0" w:lastRow="0" w:noHBand="0" w:noVBand="1" w:val="04A0"/>
      </w:tblPr>
      <w:tblGrid>
        <w:gridCol w:w="6236"/>
        <w:gridCol w:w="1701"/>
      </w:tblGrid>
      <w:tr>
        <w:trPr>
          <w:cantSplit/>
        </w:trPr>
        <w:tc>
          <w:tcPr>
            <w:tcW w:type="dxa" w:w="6236"/>
          </w:tcPr>
          <w:p>
            <w:pPr>
              <w:keepNext/>
            </w:pPr>
            <w:r/>
            <w:r>
              <w:rPr>
                <w:b/>
                <w:sz w:val="19"/>
              </w:rPr>
              <w:t>Part of the zone</w:t>
            </w:r>
          </w:p>
        </w:tc>
        <w:tc>
          <w:tcPr>
            <w:tcW w:type="dxa" w:w="1701"/>
          </w:tcPr>
          <w:p>
            <w:pPr>
              <w:keepNext/>
            </w:pPr>
            <w:r/>
            <w:r>
              <w:rPr>
                <w:b/>
                <w:sz w:val="19"/>
              </w:rPr>
              <w:t>m²</w:t>
            </w:r>
          </w:p>
        </w:tc>
      </w:tr>
      <w:tr>
        <w:trPr>
          <w:cantSplit/>
        </w:trPr>
        <w:tc>
          <w:tcPr>
            <w:tcW w:type="dxa" w:w="6236"/>
          </w:tcPr>
          <w:p>
            <w:pPr>
              <w:keepNext/>
            </w:pPr>
            <w:r/>
            <w:r>
              <w:rPr>
                <w:sz w:val="19"/>
              </w:rPr>
              <w:t>Unload lane with extendable roller conveyor (12 x 2 m)</w:t>
            </w:r>
          </w:p>
        </w:tc>
        <w:tc>
          <w:tcPr>
            <w:tcW w:type="dxa" w:w="1701"/>
          </w:tcPr>
          <w:p>
            <w:pPr>
              <w:keepNext/>
              <w:jc w:val="right"/>
            </w:pPr>
            <w:r/>
            <w:r>
              <w:rPr>
                <w:sz w:val="19"/>
              </w:rPr>
              <w:t>24</w:t>
            </w:r>
          </w:p>
        </w:tc>
      </w:tr>
      <w:tr>
        <w:trPr>
          <w:cantSplit/>
        </w:trPr>
        <w:tc>
          <w:tcPr>
            <w:tcW w:type="dxa" w:w="6236"/>
          </w:tcPr>
          <w:p>
            <w:pPr>
              <w:keepNext/>
            </w:pPr>
            <w:r/>
            <w:r>
              <w:rPr>
                <w:sz w:val="19"/>
              </w:rPr>
              <w:t>Pallet build spots (12 x 3 m2)</w:t>
            </w:r>
          </w:p>
        </w:tc>
        <w:tc>
          <w:tcPr>
            <w:tcW w:type="dxa" w:w="1701"/>
          </w:tcPr>
          <w:p>
            <w:pPr>
              <w:keepNext/>
              <w:jc w:val="right"/>
            </w:pPr>
            <w:r/>
            <w:r>
              <w:rPr>
                <w:sz w:val="19"/>
              </w:rPr>
              <w:t>36</w:t>
            </w:r>
          </w:p>
        </w:tc>
      </w:tr>
      <w:tr>
        <w:trPr>
          <w:cantSplit/>
        </w:trPr>
        <w:tc>
          <w:tcPr>
            <w:tcW w:type="dxa" w:w="6236"/>
          </w:tcPr>
          <w:p>
            <w:pPr>
              <w:keepNext/>
            </w:pPr>
            <w:r/>
            <w:r>
              <w:rPr>
                <w:sz w:val="19"/>
              </w:rPr>
              <w:t>Finished-pallet buffer (35 x 1.9 m2)</w:t>
            </w:r>
          </w:p>
        </w:tc>
        <w:tc>
          <w:tcPr>
            <w:tcW w:type="dxa" w:w="1701"/>
          </w:tcPr>
          <w:p>
            <w:pPr>
              <w:keepNext/>
              <w:jc w:val="right"/>
            </w:pPr>
            <w:r/>
            <w:r>
              <w:rPr>
                <w:sz w:val="19"/>
              </w:rPr>
              <w:t>66</w:t>
            </w:r>
          </w:p>
        </w:tc>
      </w:tr>
      <w:tr>
        <w:trPr>
          <w:cantSplit/>
        </w:trPr>
        <w:tc>
          <w:tcPr>
            <w:tcW w:type="dxa" w:w="6236"/>
          </w:tcPr>
          <w:p>
            <w:pPr>
              <w:keepNext/>
            </w:pPr>
            <w:r/>
            <w:r>
              <w:rPr>
                <w:sz w:val="19"/>
              </w:rPr>
              <w:t>Label / scan / stretch-wrap station</w:t>
            </w:r>
          </w:p>
        </w:tc>
        <w:tc>
          <w:tcPr>
            <w:tcW w:type="dxa" w:w="1701"/>
          </w:tcPr>
          <w:p>
            <w:pPr>
              <w:keepNext/>
              <w:jc w:val="right"/>
            </w:pPr>
            <w:r/>
            <w:r>
              <w:rPr>
                <w:sz w:val="19"/>
              </w:rPr>
              <w:t>16</w:t>
            </w:r>
          </w:p>
        </w:tc>
      </w:tr>
      <w:tr>
        <w:trPr>
          <w:cantSplit/>
        </w:trPr>
        <w:tc>
          <w:tcPr>
            <w:tcW w:type="dxa" w:w="6236"/>
          </w:tcPr>
          <w:p>
            <w:pPr>
              <w:keepNext/>
            </w:pPr>
            <w:r/>
            <w:r>
              <w:rPr>
                <w:sz w:val="19"/>
              </w:rPr>
              <w:t>+30% walkways → needed</w:t>
            </w:r>
          </w:p>
        </w:tc>
        <w:tc>
          <w:tcPr>
            <w:tcW w:type="dxa" w:w="1701"/>
          </w:tcPr>
          <w:p>
            <w:pPr>
              <w:keepNext/>
              <w:jc w:val="right"/>
            </w:pPr>
            <w:r/>
            <w:r>
              <w:rPr>
                <w:sz w:val="19"/>
              </w:rPr>
              <w:t>185</w:t>
            </w:r>
          </w:p>
        </w:tc>
      </w:tr>
      <w:tr>
        <w:trPr>
          <w:cantSplit/>
        </w:trPr>
        <w:tc>
          <w:tcPr>
            <w:tcW w:type="dxa" w:w="6236"/>
          </w:tcPr>
          <w:p>
            <w:r/>
            <w:r>
              <w:rPr>
                <w:sz w:val="19"/>
              </w:rPr>
              <w:t>Planned in the layout</w:t>
            </w:r>
          </w:p>
        </w:tc>
        <w:tc>
          <w:tcPr>
            <w:tcW w:type="dxa" w:w="1701"/>
          </w:tcPr>
          <w:p>
            <w:pPr>
              <w:jc w:val="right"/>
            </w:pPr>
            <w:r/>
            <w:r>
              <w:rPr>
                <w:sz w:val="19"/>
              </w:rPr>
              <w:t>190</w:t>
            </w:r>
          </w:p>
        </w:tc>
      </w:tr>
    </w:tbl>
    <w:p>
      <w:pPr>
        <w:spacing w:after="40"/>
      </w:pPr>
    </w:p>
    <w:tbl>
      <w:tblPr>
        <w:tblStyle w:val="LightGrid-Accent1"/>
        <w:tblW w:type="auto" w:w="0"/>
        <w:jc w:val="center"/>
        <w:tblLayout w:type="fixed"/>
        <w:tblLook w:firstColumn="1" w:firstRow="1" w:lastColumn="0" w:lastRow="0" w:noHBand="0" w:noVBand="1" w:val="04A0"/>
      </w:tblPr>
      <w:tblGrid>
        <w:gridCol w:w="1814"/>
        <w:gridCol w:w="2154"/>
        <w:gridCol w:w="1247"/>
        <w:gridCol w:w="2041"/>
        <w:gridCol w:w="1928"/>
      </w:tblGrid>
      <w:tr>
        <w:trPr>
          <w:cantSplit/>
        </w:trPr>
        <w:tc>
          <w:tcPr>
            <w:tcW w:type="dxa" w:w="1814"/>
          </w:tcPr>
          <w:p>
            <w:pPr>
              <w:keepNext/>
            </w:pPr>
            <w:r/>
            <w:r>
              <w:rPr>
                <w:b/>
                <w:sz w:val="19"/>
              </w:rPr>
              <w:t>Who does the work</w:t>
            </w:r>
          </w:p>
        </w:tc>
        <w:tc>
          <w:tcPr>
            <w:tcW w:type="dxa" w:w="2154"/>
          </w:tcPr>
          <w:p>
            <w:pPr>
              <w:keepNext/>
            </w:pPr>
            <w:r/>
            <w:r>
              <w:rPr>
                <w:b/>
                <w:sz w:val="19"/>
              </w:rPr>
              <w:t>How</w:t>
            </w:r>
          </w:p>
        </w:tc>
        <w:tc>
          <w:tcPr>
            <w:tcW w:type="dxa" w:w="1247"/>
          </w:tcPr>
          <w:p>
            <w:pPr>
              <w:keepNext/>
            </w:pPr>
            <w:r/>
            <w:r>
              <w:rPr>
                <w:b/>
                <w:sz w:val="19"/>
              </w:rPr>
              <w:t>DHL labour</w:t>
            </w:r>
          </w:p>
        </w:tc>
        <w:tc>
          <w:tcPr>
            <w:tcW w:type="dxa" w:w="2041"/>
          </w:tcPr>
          <w:p>
            <w:pPr>
              <w:keepNext/>
            </w:pPr>
            <w:r/>
            <w:r>
              <w:rPr>
                <w:b/>
                <w:sz w:val="19"/>
              </w:rPr>
              <w:t>Pros</w:t>
            </w:r>
          </w:p>
        </w:tc>
        <w:tc>
          <w:tcPr>
            <w:tcW w:type="dxa" w:w="1928"/>
          </w:tcPr>
          <w:p>
            <w:pPr>
              <w:keepNext/>
            </w:pPr>
            <w:r/>
            <w:r>
              <w:rPr>
                <w:b/>
                <w:sz w:val="19"/>
              </w:rPr>
              <w:t>Cons</w:t>
            </w:r>
          </w:p>
        </w:tc>
      </w:tr>
      <w:tr>
        <w:trPr>
          <w:cantSplit/>
        </w:trPr>
        <w:tc>
          <w:tcPr>
            <w:tcW w:type="dxa" w:w="1814"/>
          </w:tcPr>
          <w:p>
            <w:pPr>
              <w:keepNext/>
            </w:pPr>
            <w:r/>
            <w:r>
              <w:rPr>
                <w:sz w:val="19"/>
              </w:rPr>
              <w:t>In-house DHL crew</w:t>
            </w:r>
          </w:p>
        </w:tc>
        <w:tc>
          <w:tcPr>
            <w:tcW w:type="dxa" w:w="2154"/>
          </w:tcPr>
          <w:p>
            <w:pPr>
              <w:keepNext/>
            </w:pPr>
            <w:r/>
            <w:r>
              <w:rPr>
                <w:sz w:val="19"/>
              </w:rPr>
              <w:t>2 DHL staff unpack each container in the loose-container zone at door R1</w:t>
            </w:r>
          </w:p>
        </w:tc>
        <w:tc>
          <w:tcPr>
            <w:tcW w:type="dxa" w:w="1247"/>
          </w:tcPr>
          <w:p>
            <w:pPr>
              <w:keepNext/>
            </w:pPr>
            <w:r/>
            <w:r>
              <w:rPr>
                <w:sz w:val="19"/>
              </w:rPr>
              <w:t>6 person-h per container</w:t>
            </w:r>
          </w:p>
        </w:tc>
        <w:tc>
          <w:tcPr>
            <w:tcW w:type="dxa" w:w="2041"/>
          </w:tcPr>
          <w:p>
            <w:pPr>
              <w:keepNext/>
            </w:pPr>
            <w:r/>
            <w:r>
              <w:rPr>
                <w:sz w:val="19"/>
              </w:rPr>
              <w:t>Full control, flexible timing</w:t>
            </w:r>
          </w:p>
        </w:tc>
        <w:tc>
          <w:tcPr>
            <w:tcW w:type="dxa" w:w="1928"/>
          </w:tcPr>
          <w:p>
            <w:pPr>
              <w:keepNext/>
            </w:pPr>
            <w:r/>
            <w:r>
              <w:rPr>
                <w:sz w:val="19"/>
              </w:rPr>
              <w:t>Heavy manual handling, training, peak days need 2 crews</w:t>
            </w:r>
          </w:p>
        </w:tc>
      </w:tr>
      <w:tr>
        <w:trPr>
          <w:cantSplit/>
        </w:trPr>
        <w:tc>
          <w:tcPr>
            <w:tcW w:type="dxa" w:w="1814"/>
          </w:tcPr>
          <w:p>
            <w:pPr>
              <w:keepNext/>
            </w:pPr>
            <w:r/>
            <w:r>
              <w:rPr>
                <w:sz w:val="19"/>
              </w:rPr>
              <w:t>On-site specialist contractor</w:t>
            </w:r>
          </w:p>
        </w:tc>
        <w:tc>
          <w:tcPr>
            <w:tcW w:type="dxa" w:w="2154"/>
          </w:tcPr>
          <w:p>
            <w:pPr>
              <w:keepNext/>
            </w:pPr>
            <w:r/>
            <w:r>
              <w:rPr>
                <w:sz w:val="19"/>
              </w:rPr>
              <w:t>Contractor crew unpacks and palletises in the same zone, paid per container</w:t>
            </w:r>
          </w:p>
        </w:tc>
        <w:tc>
          <w:tcPr>
            <w:tcW w:type="dxa" w:w="1247"/>
          </w:tcPr>
          <w:p>
            <w:pPr>
              <w:keepNext/>
            </w:pPr>
            <w:r/>
            <w:r>
              <w:rPr>
                <w:sz w:val="19"/>
              </w:rPr>
              <w:t>none</w:t>
            </w:r>
          </w:p>
        </w:tc>
        <w:tc>
          <w:tcPr>
            <w:tcW w:type="dxa" w:w="2041"/>
          </w:tcPr>
          <w:p>
            <w:pPr>
              <w:keepNext/>
            </w:pPr>
            <w:r/>
            <w:r>
              <w:rPr>
                <w:sz w:val="19"/>
              </w:rPr>
              <w:t>No own labour or peak staffing; specialist speed and safety; cost scales with containers</w:t>
            </w:r>
          </w:p>
        </w:tc>
        <w:tc>
          <w:tcPr>
            <w:tcW w:type="dxa" w:w="1928"/>
          </w:tcPr>
          <w:p>
            <w:pPr>
              <w:keepNext/>
            </w:pPr>
            <w:r/>
            <w:r>
              <w:rPr>
                <w:sz w:val="19"/>
              </w:rPr>
              <w:t>Per-container fee (no public price - quote needed); booking coordination</w:t>
            </w:r>
          </w:p>
        </w:tc>
      </w:tr>
      <w:tr>
        <w:trPr>
          <w:cantSplit/>
        </w:trPr>
        <w:tc>
          <w:tcPr>
            <w:tcW w:type="dxa" w:w="1814"/>
          </w:tcPr>
          <w:p>
            <w:r/>
            <w:r>
              <w:rPr>
                <w:sz w:val="19"/>
              </w:rPr>
              <w:t>Port / CFS devanning</w:t>
            </w:r>
          </w:p>
        </w:tc>
        <w:tc>
          <w:tcPr>
            <w:tcW w:type="dxa" w:w="2154"/>
          </w:tcPr>
          <w:p>
            <w:r/>
            <w:r>
              <w:rPr>
                <w:sz w:val="19"/>
              </w:rPr>
              <w:t>Container unpacked and palletised near the port; arrives as a palletised trailer</w:t>
            </w:r>
          </w:p>
        </w:tc>
        <w:tc>
          <w:tcPr>
            <w:tcW w:type="dxa" w:w="1247"/>
          </w:tcPr>
          <w:p>
            <w:r/>
            <w:r>
              <w:rPr>
                <w:sz w:val="19"/>
              </w:rPr>
              <w:t>none</w:t>
            </w:r>
          </w:p>
        </w:tc>
        <w:tc>
          <w:tcPr>
            <w:tcW w:type="dxa" w:w="2041"/>
          </w:tcPr>
          <w:p>
            <w:r/>
            <w:r>
              <w:rPr>
                <w:sz w:val="19"/>
              </w:rPr>
              <w:t>Simplest receiving - everything palletised</w:t>
            </w:r>
          </w:p>
        </w:tc>
        <w:tc>
          <w:tcPr>
            <w:tcW w:type="dxa" w:w="1928"/>
          </w:tcPr>
          <w:p>
            <w:r/>
            <w:r>
              <w:rPr>
                <w:sz w:val="19"/>
              </w:rPr>
              <w:t>Extra transport and handling cost; ~1 day longer lead time; less control</w:t>
            </w:r>
          </w:p>
        </w:tc>
      </w:tr>
    </w:tbl>
    <w:p>
      <w:pPr>
        <w:spacing w:after="40"/>
      </w:pPr>
    </w:p>
    <w:p>
      <w:pPr>
        <w:spacing w:after="80"/>
      </w:pPr>
      <w:r>
        <w:rPr>
          <w:b/>
          <w:i w:val="0"/>
          <w:color w:val="222222"/>
          <w:sz w:val="21"/>
        </w:rPr>
        <w:t>Is that enough for a big container?</w:t>
      </w:r>
      <w:r>
        <w:rPr>
          <w:b w:val="0"/>
          <w:i w:val="0"/>
          <w:color w:val="222222"/>
          <w:sz w:val="21"/>
        </w:rPr>
        <w:t xml:space="preserve"> Unpacking spreads cartons over the floor while they are sorted. A median container needs ~134 m², the p90 container ~186 m² and the largest (89 pallets, 82 SKUs) ~458 m². 91% of containers fit the zone.</w:t>
      </w:r>
    </w:p>
    <w:p>
      <w:pPr>
        <w:pStyle w:val="ListBullet"/>
      </w:pPr>
      <w:r>
        <w:rPr>
          <w:b w:val="0"/>
          <w:sz w:val="21"/>
        </w:rPr>
      </w:r>
      <w:r>
        <w:rPr>
          <w:b/>
          <w:sz w:val="21"/>
        </w:rPr>
        <w:t>Big containers borrow door R2 (A044):</w:t>
      </w:r>
      <w:r>
        <w:rPr>
          <w:b w:val="0"/>
          <w:sz w:val="21"/>
        </w:rPr>
        <w:t xml:space="preserve"> receiving needs at most ~80 m² of its 262 m², because the two reach trucks put pallets away while the trailer is unloaded (peak ~17 pallets waiting). On a big-container day R2 is blocked and the north half of receiving (131 m²) becomes extra unpacking space: 321 m² in total, enough for 97% of containers.</w:t>
      </w:r>
    </w:p>
    <w:p>
      <w:pPr>
        <w:pStyle w:val="ListBullet"/>
      </w:pPr>
      <w:r>
        <w:rPr>
          <w:b w:val="0"/>
          <w:sz w:val="21"/>
        </w:rPr>
      </w:r>
      <w:r>
        <w:rPr>
          <w:b/>
          <w:sz w:val="21"/>
        </w:rPr>
        <w:t>Doors still fit:</w:t>
      </w:r>
      <w:r>
        <w:rPr>
          <w:b w:val="0"/>
          <w:sz w:val="21"/>
        </w:rPr>
        <w:t xml:space="preserve"> with R2 blocked, R1 (container) and R3 (trailers) remain — the base and peak scenarios need 2 doors. R2 is only blocked when the booked arrivals show no second trailer that day.</w:t>
      </w:r>
    </w:p>
    <w:p>
      <w:pPr>
        <w:pStyle w:val="ListBullet"/>
      </w:pPr>
      <w:r>
        <w:rPr>
          <w:b w:val="0"/>
          <w:sz w:val="21"/>
        </w:rPr>
      </w:r>
      <w:r>
        <w:rPr>
          <w:b/>
          <w:sz w:val="21"/>
        </w:rPr>
        <w:t>The few largest containers</w:t>
      </w:r>
      <w:r>
        <w:rPr>
          <w:b w:val="0"/>
          <w:sz w:val="21"/>
        </w:rPr>
        <w:t xml:space="preserve"> (more SKUs than build spots) are sorted in two passes: first the SKUs with the most cartons, then the rest from mixed pallets.</w:t>
      </w:r>
    </w:p>
    <w:p>
      <w:pPr>
        <w:spacing w:after="120"/>
      </w:pPr>
      <w:r>
        <w:rPr>
          <w:b/>
          <w:i w:val="0"/>
          <w:color w:val="222222"/>
          <w:sz w:val="21"/>
        </w:rPr>
        <w:t>Decision rule:</w:t>
      </w:r>
      <w:r>
        <w:rPr>
          <w:b w:val="0"/>
          <w:i w:val="0"/>
          <w:color w:val="222222"/>
          <w:sz w:val="21"/>
        </w:rPr>
        <w:t xml:space="preserve"> the zone is the same in both cases. A DHL crew costs about €128 per container (Deliverable 3); an on-site contractor is chosen only if its fixed price per container is lower (S024). Port devanning stays the fall-back if containers ever need to arrive palletised.</w:t>
      </w:r>
    </w:p>
    <w:p>
      <w:pPr>
        <w:pStyle w:val="Heading1"/>
      </w:pPr>
      <w:r>
        <w:t>5. Layout &amp; zoning (3-dimensional)</w:t>
      </w:r>
    </w:p>
    <w:p>
      <w:pPr>
        <w:spacing w:after="120"/>
      </w:pPr>
      <w:r>
        <w:rPr>
          <w:b w:val="0"/>
          <w:i w:val="0"/>
          <w:color w:val="222222"/>
          <w:sz w:val="21"/>
        </w:rPr>
        <w:t>Zones are sized from the measured volumes and laid out as a straight-through flow: goods come in on the west side and leave on the east side. Building ≈ 96 m × 70 m.</w:t>
      </w:r>
    </w:p>
    <w:tbl>
      <w:tblPr>
        <w:tblStyle w:val="LightGrid-Accent1"/>
        <w:tblW w:type="auto" w:w="0"/>
        <w:jc w:val="center"/>
        <w:tblLayout w:type="fixed"/>
        <w:tblLook w:firstColumn="1" w:firstRow="1" w:lastColumn="0" w:lastRow="0" w:noHBand="0" w:noVBand="1" w:val="04A0"/>
      </w:tblPr>
      <w:tblGrid>
        <w:gridCol w:w="4819"/>
        <w:gridCol w:w="1984"/>
        <w:gridCol w:w="1984"/>
      </w:tblGrid>
      <w:tr>
        <w:trPr>
          <w:cantSplit/>
        </w:trPr>
        <w:tc>
          <w:tcPr>
            <w:tcW w:type="dxa" w:w="4819"/>
          </w:tcPr>
          <w:p>
            <w:pPr>
              <w:keepNext/>
            </w:pPr>
            <w:r/>
            <w:r>
              <w:rPr>
                <w:b/>
                <w:sz w:val="19"/>
              </w:rPr>
              <w:t>Zone</w:t>
            </w:r>
          </w:p>
        </w:tc>
        <w:tc>
          <w:tcPr>
            <w:tcW w:type="dxa" w:w="1984"/>
          </w:tcPr>
          <w:p>
            <w:pPr>
              <w:keepNext/>
            </w:pPr>
            <w:r/>
            <w:r>
              <w:rPr>
                <w:b/>
                <w:sz w:val="19"/>
              </w:rPr>
              <w:t>Area m²</w:t>
            </w:r>
          </w:p>
        </w:tc>
        <w:tc>
          <w:tcPr>
            <w:tcW w:type="dxa" w:w="1984"/>
          </w:tcPr>
          <w:p>
            <w:pPr>
              <w:keepNext/>
            </w:pPr>
            <w:r/>
            <w:r>
              <w:rPr>
                <w:b/>
                <w:sz w:val="19"/>
              </w:rPr>
              <w:t>% of building</w:t>
            </w:r>
          </w:p>
        </w:tc>
      </w:tr>
      <w:tr>
        <w:trPr>
          <w:cantSplit/>
        </w:trPr>
        <w:tc>
          <w:tcPr>
            <w:tcW w:type="dxa" w:w="4819"/>
          </w:tcPr>
          <w:p>
            <w:pPr>
              <w:keepNext/>
            </w:pPr>
            <w:r/>
            <w:r>
              <w:rPr>
                <w:sz w:val="19"/>
              </w:rPr>
              <w:t>Receiving &amp; inbound staging</w:t>
            </w:r>
          </w:p>
        </w:tc>
        <w:tc>
          <w:tcPr>
            <w:tcW w:type="dxa" w:w="1984"/>
          </w:tcPr>
          <w:p>
            <w:pPr>
              <w:keepNext/>
              <w:jc w:val="right"/>
            </w:pPr>
            <w:r/>
            <w:r>
              <w:rPr>
                <w:sz w:val="19"/>
              </w:rPr>
              <w:t>262</w:t>
            </w:r>
          </w:p>
        </w:tc>
        <w:tc>
          <w:tcPr>
            <w:tcW w:type="dxa" w:w="1984"/>
          </w:tcPr>
          <w:p>
            <w:pPr>
              <w:keepNext/>
              <w:jc w:val="right"/>
            </w:pPr>
            <w:r/>
            <w:r>
              <w:rPr>
                <w:sz w:val="19"/>
              </w:rPr>
              <w:t>4%</w:t>
            </w:r>
          </w:p>
        </w:tc>
      </w:tr>
      <w:tr>
        <w:trPr>
          <w:cantSplit/>
        </w:trPr>
        <w:tc>
          <w:tcPr>
            <w:tcW w:type="dxa" w:w="4819"/>
          </w:tcPr>
          <w:p>
            <w:pPr>
              <w:keepNext/>
            </w:pPr>
            <w:r/>
            <w:r>
              <w:rPr>
                <w:sz w:val="19"/>
              </w:rPr>
              <w:t>Loose-container zone (unpack &amp; palletise)</w:t>
            </w:r>
          </w:p>
        </w:tc>
        <w:tc>
          <w:tcPr>
            <w:tcW w:type="dxa" w:w="1984"/>
          </w:tcPr>
          <w:p>
            <w:pPr>
              <w:keepNext/>
              <w:jc w:val="right"/>
            </w:pPr>
            <w:r/>
            <w:r>
              <w:rPr>
                <w:sz w:val="19"/>
              </w:rPr>
              <w:t>190</w:t>
            </w:r>
          </w:p>
        </w:tc>
        <w:tc>
          <w:tcPr>
            <w:tcW w:type="dxa" w:w="1984"/>
          </w:tcPr>
          <w:p>
            <w:pPr>
              <w:keepNext/>
              <w:jc w:val="right"/>
            </w:pPr>
            <w:r/>
            <w:r>
              <w:rPr>
                <w:sz w:val="19"/>
              </w:rPr>
              <w:t>3%</w:t>
            </w:r>
          </w:p>
        </w:tc>
      </w:tr>
      <w:tr>
        <w:trPr>
          <w:cantSplit/>
        </w:trPr>
        <w:tc>
          <w:tcPr>
            <w:tcW w:type="dxa" w:w="4819"/>
          </w:tcPr>
          <w:p>
            <w:pPr>
              <w:keepNext/>
            </w:pPr>
            <w:r/>
            <w:r>
              <w:rPr>
                <w:sz w:val="19"/>
              </w:rPr>
              <w:t>Offices &amp; amenities</w:t>
            </w:r>
          </w:p>
        </w:tc>
        <w:tc>
          <w:tcPr>
            <w:tcW w:type="dxa" w:w="1984"/>
          </w:tcPr>
          <w:p>
            <w:pPr>
              <w:keepNext/>
              <w:jc w:val="right"/>
            </w:pPr>
            <w:r/>
            <w:r>
              <w:rPr>
                <w:sz w:val="19"/>
              </w:rPr>
              <w:t>250</w:t>
            </w:r>
          </w:p>
        </w:tc>
        <w:tc>
          <w:tcPr>
            <w:tcW w:type="dxa" w:w="1984"/>
          </w:tcPr>
          <w:p>
            <w:pPr>
              <w:keepNext/>
              <w:jc w:val="right"/>
            </w:pPr>
            <w:r/>
            <w:r>
              <w:rPr>
                <w:sz w:val="19"/>
              </w:rPr>
              <w:t>4%</w:t>
            </w:r>
          </w:p>
        </w:tc>
      </w:tr>
      <w:tr>
        <w:trPr>
          <w:cantSplit/>
        </w:trPr>
        <w:tc>
          <w:tcPr>
            <w:tcW w:type="dxa" w:w="4819"/>
          </w:tcPr>
          <w:p>
            <w:pPr>
              <w:keepNext/>
            </w:pPr>
            <w:r/>
            <w:r>
              <w:rPr>
                <w:sz w:val="19"/>
              </w:rPr>
              <w:t>Returns / VAS</w:t>
            </w:r>
          </w:p>
        </w:tc>
        <w:tc>
          <w:tcPr>
            <w:tcW w:type="dxa" w:w="1984"/>
          </w:tcPr>
          <w:p>
            <w:pPr>
              <w:keepNext/>
              <w:jc w:val="right"/>
            </w:pPr>
            <w:r/>
            <w:r>
              <w:rPr>
                <w:sz w:val="19"/>
              </w:rPr>
              <w:t>180</w:t>
            </w:r>
          </w:p>
        </w:tc>
        <w:tc>
          <w:tcPr>
            <w:tcW w:type="dxa" w:w="1984"/>
          </w:tcPr>
          <w:p>
            <w:pPr>
              <w:keepNext/>
              <w:jc w:val="right"/>
            </w:pPr>
            <w:r/>
            <w:r>
              <w:rPr>
                <w:sz w:val="19"/>
              </w:rPr>
              <w:t>3%</w:t>
            </w:r>
          </w:p>
        </w:tc>
      </w:tr>
      <w:tr>
        <w:trPr>
          <w:cantSplit/>
        </w:trPr>
        <w:tc>
          <w:tcPr>
            <w:tcW w:type="dxa" w:w="4819"/>
          </w:tcPr>
          <w:p>
            <w:pPr>
              <w:keepNext/>
            </w:pPr>
            <w:r/>
            <w:r>
              <w:rPr>
                <w:sz w:val="19"/>
              </w:rPr>
              <w:t>Single-deep pallet racks (A/B/C reserve)</w:t>
            </w:r>
          </w:p>
        </w:tc>
        <w:tc>
          <w:tcPr>
            <w:tcW w:type="dxa" w:w="1984"/>
          </w:tcPr>
          <w:p>
            <w:pPr>
              <w:keepNext/>
              <w:jc w:val="right"/>
            </w:pPr>
            <w:r/>
            <w:r>
              <w:rPr>
                <w:sz w:val="19"/>
              </w:rPr>
              <w:t>3,505</w:t>
            </w:r>
          </w:p>
        </w:tc>
        <w:tc>
          <w:tcPr>
            <w:tcW w:type="dxa" w:w="1984"/>
          </w:tcPr>
          <w:p>
            <w:pPr>
              <w:keepNext/>
              <w:jc w:val="right"/>
            </w:pPr>
            <w:r/>
            <w:r>
              <w:rPr>
                <w:sz w:val="19"/>
              </w:rPr>
              <w:t>52%</w:t>
            </w:r>
          </w:p>
        </w:tc>
      </w:tr>
      <w:tr>
        <w:trPr>
          <w:cantSplit/>
        </w:trPr>
        <w:tc>
          <w:tcPr>
            <w:tcW w:type="dxa" w:w="4819"/>
          </w:tcPr>
          <w:p>
            <w:pPr>
              <w:keepNext/>
            </w:pPr>
            <w:r/>
            <w:r>
              <w:rPr>
                <w:sz w:val="19"/>
              </w:rPr>
              <w:t>Odd-item + long-goods modules</w:t>
            </w:r>
          </w:p>
        </w:tc>
        <w:tc>
          <w:tcPr>
            <w:tcW w:type="dxa" w:w="1984"/>
          </w:tcPr>
          <w:p>
            <w:pPr>
              <w:keepNext/>
              <w:jc w:val="right"/>
            </w:pPr>
            <w:r/>
            <w:r>
              <w:rPr>
                <w:sz w:val="19"/>
              </w:rPr>
              <w:t>728</w:t>
            </w:r>
          </w:p>
        </w:tc>
        <w:tc>
          <w:tcPr>
            <w:tcW w:type="dxa" w:w="1984"/>
          </w:tcPr>
          <w:p>
            <w:pPr>
              <w:keepNext/>
              <w:jc w:val="right"/>
            </w:pPr>
            <w:r/>
            <w:r>
              <w:rPr>
                <w:sz w:val="19"/>
              </w:rPr>
              <w:t>11%</w:t>
            </w:r>
          </w:p>
        </w:tc>
      </w:tr>
      <w:tr>
        <w:trPr>
          <w:cantSplit/>
        </w:trPr>
        <w:tc>
          <w:tcPr>
            <w:tcW w:type="dxa" w:w="4819"/>
          </w:tcPr>
          <w:p>
            <w:pPr>
              <w:keepNext/>
            </w:pPr>
            <w:r/>
            <w:r>
              <w:rPr>
                <w:sz w:val="19"/>
              </w:rPr>
              <w:t>Fast-pick area (carton-flow / shelving)</w:t>
            </w:r>
          </w:p>
        </w:tc>
        <w:tc>
          <w:tcPr>
            <w:tcW w:type="dxa" w:w="1984"/>
          </w:tcPr>
          <w:p>
            <w:pPr>
              <w:keepNext/>
              <w:jc w:val="right"/>
            </w:pPr>
            <w:r/>
            <w:r>
              <w:rPr>
                <w:sz w:val="19"/>
              </w:rPr>
              <w:t>500</w:t>
            </w:r>
          </w:p>
        </w:tc>
        <w:tc>
          <w:tcPr>
            <w:tcW w:type="dxa" w:w="1984"/>
          </w:tcPr>
          <w:p>
            <w:pPr>
              <w:keepNext/>
              <w:jc w:val="right"/>
            </w:pPr>
            <w:r/>
            <w:r>
              <w:rPr>
                <w:sz w:val="19"/>
              </w:rPr>
              <w:t>7%</w:t>
            </w:r>
          </w:p>
        </w:tc>
      </w:tr>
      <w:tr>
        <w:trPr>
          <w:cantSplit/>
        </w:trPr>
        <w:tc>
          <w:tcPr>
            <w:tcW w:type="dxa" w:w="4819"/>
          </w:tcPr>
          <w:p>
            <w:pPr>
              <w:keepNext/>
            </w:pPr>
            <w:r/>
            <w:r>
              <w:rPr>
                <w:sz w:val="19"/>
              </w:rPr>
              <w:t>Packing &amp; consolidation</w:t>
            </w:r>
          </w:p>
        </w:tc>
        <w:tc>
          <w:tcPr>
            <w:tcW w:type="dxa" w:w="1984"/>
          </w:tcPr>
          <w:p>
            <w:pPr>
              <w:keepNext/>
              <w:jc w:val="right"/>
            </w:pPr>
            <w:r/>
            <w:r>
              <w:rPr>
                <w:sz w:val="19"/>
              </w:rPr>
              <w:t>450</w:t>
            </w:r>
          </w:p>
        </w:tc>
        <w:tc>
          <w:tcPr>
            <w:tcW w:type="dxa" w:w="1984"/>
          </w:tcPr>
          <w:p>
            <w:pPr>
              <w:keepNext/>
              <w:jc w:val="right"/>
            </w:pPr>
            <w:r/>
            <w:r>
              <w:rPr>
                <w:sz w:val="19"/>
              </w:rPr>
              <w:t>7%</w:t>
            </w:r>
          </w:p>
        </w:tc>
      </w:tr>
      <w:tr>
        <w:trPr>
          <w:cantSplit/>
        </w:trPr>
        <w:tc>
          <w:tcPr>
            <w:tcW w:type="dxa" w:w="4819"/>
          </w:tcPr>
          <w:p>
            <w:pPr>
              <w:keepNext/>
            </w:pPr>
            <w:r/>
            <w:r>
              <w:rPr>
                <w:sz w:val="19"/>
              </w:rPr>
              <w:t>Outbound staging &amp; shipping</w:t>
            </w:r>
          </w:p>
        </w:tc>
        <w:tc>
          <w:tcPr>
            <w:tcW w:type="dxa" w:w="1984"/>
          </w:tcPr>
          <w:p>
            <w:pPr>
              <w:keepNext/>
              <w:jc w:val="right"/>
            </w:pPr>
            <w:r/>
            <w:r>
              <w:rPr>
                <w:sz w:val="19"/>
              </w:rPr>
              <w:t>216</w:t>
            </w:r>
          </w:p>
        </w:tc>
        <w:tc>
          <w:tcPr>
            <w:tcW w:type="dxa" w:w="1984"/>
          </w:tcPr>
          <w:p>
            <w:pPr>
              <w:keepNext/>
              <w:jc w:val="right"/>
            </w:pPr>
            <w:r/>
            <w:r>
              <w:rPr>
                <w:sz w:val="19"/>
              </w:rPr>
              <w:t>3%</w:t>
            </w:r>
          </w:p>
        </w:tc>
      </w:tr>
      <w:tr>
        <w:trPr>
          <w:cantSplit/>
        </w:trPr>
        <w:tc>
          <w:tcPr>
            <w:tcW w:type="dxa" w:w="4819"/>
          </w:tcPr>
          <w:p>
            <w:r/>
            <w:r>
              <w:rPr>
                <w:sz w:val="19"/>
              </w:rPr>
              <w:t>Circulation / aisles</w:t>
            </w:r>
          </w:p>
        </w:tc>
        <w:tc>
          <w:tcPr>
            <w:tcW w:type="dxa" w:w="1984"/>
          </w:tcPr>
          <w:p>
            <w:pPr>
              <w:jc w:val="right"/>
            </w:pPr>
            <w:r/>
            <w:r>
              <w:rPr>
                <w:sz w:val="19"/>
              </w:rPr>
              <w:t>450</w:t>
            </w:r>
          </w:p>
        </w:tc>
        <w:tc>
          <w:tcPr>
            <w:tcW w:type="dxa" w:w="1984"/>
          </w:tcPr>
          <w:p>
            <w:pPr>
              <w:jc w:val="right"/>
            </w:pPr>
            <w:r/>
            <w:r>
              <w:rPr>
                <w:sz w:val="19"/>
              </w:rPr>
              <w:t>7%</w:t>
            </w:r>
          </w:p>
        </w:tc>
      </w:tr>
    </w:tbl>
    <w:p>
      <w:pPr>
        <w:spacing w:after="40"/>
      </w:pPr>
    </w:p>
    <w:p>
      <w:pPr>
        <w:spacing w:after="80"/>
      </w:pPr>
      <w:r>
        <w:rPr>
          <w:b/>
          <w:i w:val="0"/>
          <w:color w:val="222222"/>
          <w:sz w:val="21"/>
        </w:rPr>
        <w:t>Total floor area 6,731 m² = 96% of the 7,000 m² envelope.</w:t>
      </w:r>
    </w:p>
    <w:p>
      <w:pPr>
        <w:pStyle w:val="ListBullet"/>
      </w:pPr>
      <w:r>
        <w:rPr>
          <w:b w:val="0"/>
          <w:sz w:val="21"/>
        </w:rPr>
      </w:r>
      <w:r>
        <w:rPr>
          <w:b/>
          <w:sz w:val="21"/>
        </w:rPr>
        <w:t>Storage:</w:t>
      </w:r>
      <w:r>
        <w:rPr>
          <w:b w:val="0"/>
          <w:sz w:val="21"/>
        </w:rPr>
        <w:t xml:space="preserve"> 8,960 single-deep positions, counted on the drawing (11 back-to-back rack modules × 2 rows × 18 bays × 3 pallets × 8 levels) against a target of ~9,500 (peak 8,512 occupied locations ÷ 0.90). Top beam 10.0 m, within the ETV 216i's 10.7 m lift; one module (864 positions) holds odd items and one long-goods module holds 320 pallets of up to 2.05 m (4.5 m bays, two pallets each). Small slow parts leave the racks for bin shelving, which frees 1,005 locations: the peak need drops to ~7,507 locations (84% of the racks).</w:t>
      </w:r>
    </w:p>
    <w:p>
      <w:pPr>
        <w:pStyle w:val="ListBullet"/>
      </w:pPr>
      <w:r>
        <w:rPr>
          <w:b w:val="0"/>
          <w:sz w:val="21"/>
        </w:rPr>
      </w:r>
      <w:r>
        <w:rPr>
          <w:b/>
          <w:sz w:val="21"/>
        </w:rPr>
        <w:t>Working areas sized from measured volumes:</w:t>
      </w:r>
      <w:r>
        <w:rPr>
          <w:b w:val="0"/>
          <w:sz w:val="21"/>
        </w:rPr>
        <w:t xml:space="preserve"> inbound ~99 loads/day (peak 167); outbound 18 pallets + 225 cartons/day.</w:t>
      </w:r>
    </w:p>
    <w:p>
      <w:pPr>
        <w:pStyle w:val="ListBullet"/>
      </w:pPr>
      <w:r>
        <w:rPr>
          <w:b w:val="0"/>
          <w:sz w:val="21"/>
        </w:rPr>
      </w:r>
      <w:r>
        <w:rPr>
          <w:b/>
          <w:sz w:val="21"/>
        </w:rPr>
        <w:t>Docks:</w:t>
      </w:r>
      <w:r>
        <w:rPr>
          <w:b w:val="0"/>
          <w:sz w:val="21"/>
        </w:rPr>
        <w:t xml:space="preserve"> 3 receiving (west: R1 = container dock beside the loose-container zone, R2–R3 for trailers) and 5 shipping (east). A trailer door needs ~4.3 m of wall — the 9.9 m receiving and 9.5 m outbound columns are too narrow on the south wall, so the doors sit on the side walls. This also separates inbound and outbound truck traffic.</w:t>
      </w:r>
    </w:p>
    <w:p>
      <w:pPr>
        <w:pStyle w:val="ListBullet"/>
      </w:pPr>
      <w:r>
        <w:rPr>
          <w:b w:val="0"/>
          <w:sz w:val="21"/>
        </w:rPr>
      </w:r>
      <w:r>
        <w:rPr>
          <w:b/>
          <w:sz w:val="21"/>
        </w:rPr>
        <w:t>Aisles open at both ends:</w:t>
      </w:r>
      <w:r>
        <w:rPr>
          <w:b w:val="0"/>
          <w:sz w:val="21"/>
        </w:rPr>
        <w:t xml:space="preserve"> three 3.2 m cross-aisles (front, middle, rear) break up the racking, so no truck or picker ever needs a U-turn. Storage aisles are 3.0 m — wider than the ETV 216i needs (2.63–2.79 m, S006) and far wider than the EJE 120i (1.79–1.94 m, S010); the aisle in front of the long goods is 3.2 m (Section 5.2).</w:t>
      </w:r>
    </w:p>
    <w:p>
      <w:pPr>
        <w:jc w:val="center"/>
      </w:pPr>
      <w:r>
        <w:drawing>
          <wp:inline xmlns:a="http://schemas.openxmlformats.org/drawingml/2006/main" xmlns:pic="http://schemas.openxmlformats.org/drawingml/2006/picture">
            <wp:extent cx="6120000" cy="5135046"/>
            <wp:docPr id="11" name="Picture 11"/>
            <wp:cNvGraphicFramePr>
              <a:graphicFrameLocks noChangeAspect="1"/>
            </wp:cNvGraphicFramePr>
            <a:graphic>
              <a:graphicData uri="http://schemas.openxmlformats.org/drawingml/2006/picture">
                <pic:pic>
                  <pic:nvPicPr>
                    <pic:cNvPr id="0" name="layout_floorplan.png"/>
                    <pic:cNvPicPr/>
                  </pic:nvPicPr>
                  <pic:blipFill>
                    <a:blip r:embed="rId19"/>
                    <a:stretch>
                      <a:fillRect/>
                    </a:stretch>
                  </pic:blipFill>
                  <pic:spPr>
                    <a:xfrm>
                      <a:off x="0" y="0"/>
                      <a:ext cx="6120000" cy="5135046"/>
                    </a:xfrm>
                    <a:prstGeom prst="rect"/>
                  </pic:spPr>
                </pic:pic>
              </a:graphicData>
            </a:graphic>
          </wp:inline>
        </w:drawing>
      </w:r>
    </w:p>
    <w:p>
      <w:pPr>
        <w:spacing w:after="200"/>
        <w:jc w:val="center"/>
      </w:pPr>
      <w:r>
        <w:rPr>
          <w:b w:val="0"/>
          <w:i/>
          <w:color w:val="666666"/>
          <w:sz w:val="17"/>
        </w:rPr>
        <w:t>Fig 10. Detailed warehouse floor plan (rack-level, to scale) — racks, aisles, docks, dimensions.</w:t>
      </w:r>
    </w:p>
    <w:p>
      <w:pPr>
        <w:jc w:val="center"/>
      </w:pPr>
      <w:r>
        <w:drawing>
          <wp:inline xmlns:a="http://schemas.openxmlformats.org/drawingml/2006/main" xmlns:pic="http://schemas.openxmlformats.org/drawingml/2006/picture">
            <wp:extent cx="5760000" cy="3850288"/>
            <wp:docPr id="12" name="Picture 12"/>
            <wp:cNvGraphicFramePr>
              <a:graphicFrameLocks noChangeAspect="1"/>
            </wp:cNvGraphicFramePr>
            <a:graphic>
              <a:graphicData uri="http://schemas.openxmlformats.org/drawingml/2006/picture">
                <pic:pic>
                  <pic:nvPicPr>
                    <pic:cNvPr id="0" name="layout_orderflow.png"/>
                    <pic:cNvPicPr/>
                  </pic:nvPicPr>
                  <pic:blipFill>
                    <a:blip r:embed="rId20"/>
                    <a:stretch>
                      <a:fillRect/>
                    </a:stretch>
                  </pic:blipFill>
                  <pic:spPr>
                    <a:xfrm>
                      <a:off x="0" y="0"/>
                      <a:ext cx="5760000" cy="3850288"/>
                    </a:xfrm>
                    <a:prstGeom prst="rect"/>
                  </pic:spPr>
                </pic:pic>
              </a:graphicData>
            </a:graphic>
          </wp:inline>
        </w:drawing>
      </w:r>
    </w:p>
    <w:p>
      <w:pPr>
        <w:spacing w:after="200"/>
        <w:jc w:val="center"/>
      </w:pPr>
      <w:r>
        <w:rPr>
          <w:b w:val="0"/>
          <w:i/>
          <w:color w:val="666666"/>
          <w:sz w:val="17"/>
        </w:rPr>
        <w:t>Fig 11. Main flow on the floor plan: in (R1) → put away → refill → pick → pack → out (S2). Arrows follow the real truck and picker routes.</w:t>
      </w:r>
    </w:p>
    <w:p>
      <w:pPr>
        <w:jc w:val="center"/>
      </w:pPr>
      <w:r>
        <w:drawing>
          <wp:inline xmlns:a="http://schemas.openxmlformats.org/drawingml/2006/main" xmlns:pic="http://schemas.openxmlformats.org/drawingml/2006/picture">
            <wp:extent cx="5760000" cy="4050989"/>
            <wp:docPr id="13" name="Picture 13"/>
            <wp:cNvGraphicFramePr>
              <a:graphicFrameLocks noChangeAspect="1"/>
            </wp:cNvGraphicFramePr>
            <a:graphic>
              <a:graphicData uri="http://schemas.openxmlformats.org/drawingml/2006/picture">
                <pic:pic>
                  <pic:nvPicPr>
                    <pic:cNvPr id="0" name="layout_3d_render.png"/>
                    <pic:cNvPicPr/>
                  </pic:nvPicPr>
                  <pic:blipFill>
                    <a:blip r:embed="rId21"/>
                    <a:stretch>
                      <a:fillRect/>
                    </a:stretch>
                  </pic:blipFill>
                  <pic:spPr>
                    <a:xfrm>
                      <a:off x="0" y="0"/>
                      <a:ext cx="5760000" cy="4050989"/>
                    </a:xfrm>
                    <a:prstGeom prst="rect"/>
                  </pic:spPr>
                </pic:pic>
              </a:graphicData>
            </a:graphic>
          </wp:inline>
        </w:drawing>
      </w:r>
    </w:p>
    <w:p>
      <w:pPr>
        <w:spacing w:after="200"/>
        <w:jc w:val="center"/>
      </w:pPr>
      <w:r>
        <w:rPr>
          <w:b w:val="0"/>
          <w:i/>
          <w:color w:val="666666"/>
          <w:sz w:val="17"/>
        </w:rPr>
        <w:t>Fig 12. Option B in 3D (Blender): rack rows, fast-pick area, zones, 3 receiving doors (west) and 5 shipping doors (east).</w:t>
      </w:r>
    </w:p>
    <w:p>
      <w:pPr>
        <w:jc w:val="center"/>
      </w:pPr>
      <w:r>
        <w:drawing>
          <wp:inline xmlns:a="http://schemas.openxmlformats.org/drawingml/2006/main" xmlns:pic="http://schemas.openxmlformats.org/drawingml/2006/picture">
            <wp:extent cx="5760000" cy="3722620"/>
            <wp:docPr id="14" name="Picture 14"/>
            <wp:cNvGraphicFramePr>
              <a:graphicFrameLocks noChangeAspect="1"/>
            </wp:cNvGraphicFramePr>
            <a:graphic>
              <a:graphicData uri="http://schemas.openxmlformats.org/drawingml/2006/picture">
                <pic:pic>
                  <pic:nvPicPr>
                    <pic:cNvPr id="0" name="layout_worker_render.png"/>
                    <pic:cNvPicPr/>
                  </pic:nvPicPr>
                  <pic:blipFill>
                    <a:blip r:embed="rId22"/>
                    <a:stretch>
                      <a:fillRect/>
                    </a:stretch>
                  </pic:blipFill>
                  <pic:spPr>
                    <a:xfrm>
                      <a:off x="0" y="0"/>
                      <a:ext cx="5760000" cy="3722620"/>
                    </a:xfrm>
                    <a:prstGeom prst="rect"/>
                  </pic:spPr>
                </pic:pic>
              </a:graphicData>
            </a:graphic>
          </wp:inline>
        </w:drawing>
      </w:r>
    </w:p>
    <w:p>
      <w:pPr>
        <w:spacing w:after="200"/>
        <w:jc w:val="center"/>
      </w:pPr>
      <w:r>
        <w:rPr>
          <w:b w:val="0"/>
          <w:i/>
          <w:color w:val="666666"/>
          <w:sz w:val="17"/>
        </w:rPr>
        <w:t>Fig 13. Worker and truck movement (Blender, top-down): pickers with trolleys in zones 1–3, reach trucks ETV 216i via perimeter and cross-aisle, ERE 225 to the shipping doors.</w:t>
      </w:r>
    </w:p>
    <w:p>
      <w:pPr>
        <w:pStyle w:val="Heading2"/>
      </w:pPr>
      <w:r>
        <w:t>5.1 Layout concept: U-shaped or flow-through?</w:t>
      </w:r>
    </w:p>
    <w:p>
      <w:pPr>
        <w:spacing w:after="80"/>
      </w:pPr>
      <w:r>
        <w:rPr>
          <w:b w:val="0"/>
          <w:i w:val="0"/>
          <w:color w:val="222222"/>
          <w:sz w:val="21"/>
        </w:rPr>
        <w:t>W3 asks to produce a few basic concepts, evaluate them on travel distance and select the best. The two dock configurations of Huertas et al. (2007) were compared on the Option B layout, with class-based storage and the measured inbound mix:</w:t>
      </w:r>
    </w:p>
    <w:tbl>
      <w:tblPr>
        <w:tblStyle w:val="LightGrid-Accent1"/>
        <w:tblW w:type="auto" w:w="0"/>
        <w:jc w:val="center"/>
        <w:tblLayout w:type="fixed"/>
        <w:tblLook w:firstColumn="1" w:firstRow="1" w:lastColumn="0" w:lastRow="0" w:noHBand="0" w:noVBand="1" w:val="04A0"/>
      </w:tblPr>
      <w:tblGrid>
        <w:gridCol w:w="2835"/>
        <w:gridCol w:w="3118"/>
        <w:gridCol w:w="3118"/>
      </w:tblGrid>
      <w:tr>
        <w:trPr>
          <w:cantSplit/>
        </w:trPr>
        <w:tc>
          <w:tcPr>
            <w:tcW w:type="dxa" w:w="2835"/>
          </w:tcPr>
          <w:p>
            <w:pPr>
              <w:keepNext/>
            </w:pPr>
            <w:r/>
            <w:r>
              <w:rPr>
                <w:b/>
                <w:sz w:val="19"/>
              </w:rPr>
              <w:t>Criterion</w:t>
            </w:r>
          </w:p>
        </w:tc>
        <w:tc>
          <w:tcPr>
            <w:tcW w:type="dxa" w:w="3118"/>
          </w:tcPr>
          <w:p>
            <w:pPr>
              <w:keepNext/>
            </w:pPr>
            <w:r/>
            <w:r>
              <w:rPr>
                <w:b/>
                <w:sz w:val="19"/>
              </w:rPr>
              <w:t>Flow-through (chosen)</w:t>
            </w:r>
          </w:p>
        </w:tc>
        <w:tc>
          <w:tcPr>
            <w:tcW w:type="dxa" w:w="3118"/>
          </w:tcPr>
          <w:p>
            <w:pPr>
              <w:keepNext/>
            </w:pPr>
            <w:r/>
            <w:r>
              <w:rPr>
                <w:b/>
                <w:sz w:val="19"/>
              </w:rPr>
              <w:t>U-shaped</w:t>
            </w:r>
          </w:p>
        </w:tc>
      </w:tr>
      <w:tr>
        <w:trPr>
          <w:cantSplit/>
        </w:trPr>
        <w:tc>
          <w:tcPr>
            <w:tcW w:type="dxa" w:w="2835"/>
          </w:tcPr>
          <w:p>
            <w:pPr>
              <w:keepNext/>
            </w:pPr>
            <w:r/>
            <w:r>
              <w:rPr>
                <w:sz w:val="19"/>
              </w:rPr>
              <w:t>Put-away travel (reach truck, per load, one way)</w:t>
            </w:r>
          </w:p>
        </w:tc>
        <w:tc>
          <w:tcPr>
            <w:tcW w:type="dxa" w:w="3118"/>
          </w:tcPr>
          <w:p>
            <w:pPr>
              <w:keepNext/>
            </w:pPr>
            <w:r/>
            <w:r>
              <w:rPr>
                <w:sz w:val="19"/>
              </w:rPr>
              <w:t>65 m</w:t>
            </w:r>
          </w:p>
        </w:tc>
        <w:tc>
          <w:tcPr>
            <w:tcW w:type="dxa" w:w="3118"/>
          </w:tcPr>
          <w:p>
            <w:pPr>
              <w:keepNext/>
            </w:pPr>
            <w:r/>
            <w:r>
              <w:rPr>
                <w:sz w:val="19"/>
              </w:rPr>
              <w:t>59 m (-9%)</w:t>
            </w:r>
          </w:p>
        </w:tc>
      </w:tr>
      <w:tr>
        <w:trPr>
          <w:cantSplit/>
        </w:trPr>
        <w:tc>
          <w:tcPr>
            <w:tcW w:type="dxa" w:w="2835"/>
          </w:tcPr>
          <w:p>
            <w:pPr>
              <w:keepNext/>
            </w:pPr>
            <w:r/>
            <w:r>
              <w:rPr>
                <w:sz w:val="19"/>
              </w:rPr>
              <w:t>Reach-truck time saved per day</w:t>
            </w:r>
          </w:p>
        </w:tc>
        <w:tc>
          <w:tcPr>
            <w:tcW w:type="dxa" w:w="3118"/>
          </w:tcPr>
          <w:p>
            <w:pPr>
              <w:keepNext/>
            </w:pPr>
            <w:r/>
            <w:r>
              <w:rPr>
                <w:sz w:val="19"/>
              </w:rPr>
              <w:t>-</w:t>
            </w:r>
          </w:p>
        </w:tc>
        <w:tc>
          <w:tcPr>
            <w:tcW w:type="dxa" w:w="3118"/>
          </w:tcPr>
          <w:p>
            <w:pPr>
              <w:keepNext/>
            </w:pPr>
            <w:r/>
            <w:r>
              <w:rPr>
                <w:sz w:val="19"/>
              </w:rPr>
              <w:t>~11 min</w:t>
            </w:r>
          </w:p>
        </w:tc>
      </w:tr>
      <w:tr>
        <w:trPr>
          <w:cantSplit/>
        </w:trPr>
        <w:tc>
          <w:tcPr>
            <w:tcW w:type="dxa" w:w="2835"/>
          </w:tcPr>
          <w:p>
            <w:pPr>
              <w:keepNext/>
            </w:pPr>
            <w:r/>
            <w:r>
              <w:rPr>
                <w:sz w:val="19"/>
              </w:rPr>
              <w:t>Picking travel (all picks start/end at packing, east)</w:t>
            </w:r>
          </w:p>
        </w:tc>
        <w:tc>
          <w:tcPr>
            <w:tcW w:type="dxa" w:w="3118"/>
          </w:tcPr>
          <w:p>
            <w:pPr>
              <w:keepNext/>
            </w:pPr>
            <w:r/>
            <w:r>
              <w:rPr>
                <w:sz w:val="19"/>
              </w:rPr>
              <w:t>same</w:t>
            </w:r>
          </w:p>
        </w:tc>
        <w:tc>
          <w:tcPr>
            <w:tcW w:type="dxa" w:w="3118"/>
          </w:tcPr>
          <w:p>
            <w:pPr>
              <w:keepNext/>
            </w:pPr>
            <w:r/>
            <w:r>
              <w:rPr>
                <w:sz w:val="19"/>
              </w:rPr>
              <w:t>same</w:t>
            </w:r>
          </w:p>
        </w:tc>
      </w:tr>
      <w:tr>
        <w:trPr>
          <w:cantSplit/>
        </w:trPr>
        <w:tc>
          <w:tcPr>
            <w:tcW w:type="dxa" w:w="2835"/>
          </w:tcPr>
          <w:p>
            <w:pPr>
              <w:keepNext/>
            </w:pPr>
            <w:r/>
            <w:r>
              <w:rPr>
                <w:sz w:val="19"/>
              </w:rPr>
              <w:t>Dock doors</w:t>
            </w:r>
          </w:p>
        </w:tc>
        <w:tc>
          <w:tcPr>
            <w:tcW w:type="dxa" w:w="3118"/>
          </w:tcPr>
          <w:p>
            <w:pPr>
              <w:keepNext/>
            </w:pPr>
            <w:r/>
            <w:r>
              <w:rPr>
                <w:sz w:val="19"/>
              </w:rPr>
              <w:t>8 (separate in/out)</w:t>
            </w:r>
          </w:p>
        </w:tc>
        <w:tc>
          <w:tcPr>
            <w:tcW w:type="dxa" w:w="3118"/>
          </w:tcPr>
          <w:p>
            <w:pPr>
              <w:keepNext/>
            </w:pPr>
            <w:r/>
            <w:r>
              <w:rPr>
                <w:sz w:val="19"/>
              </w:rPr>
              <w:t>~6 if inbound always arrives before noon (shared)</w:t>
            </w:r>
          </w:p>
        </w:tc>
      </w:tr>
      <w:tr>
        <w:trPr>
          <w:cantSplit/>
        </w:trPr>
        <w:tc>
          <w:tcPr>
            <w:tcW w:type="dxa" w:w="2835"/>
          </w:tcPr>
          <w:p>
            <w:pPr>
              <w:keepNext/>
            </w:pPr>
            <w:r/>
            <w:r>
              <w:rPr>
                <w:sz w:val="19"/>
              </w:rPr>
              <w:t>Traffic and errors (Huertas et al.)</w:t>
            </w:r>
          </w:p>
        </w:tc>
        <w:tc>
          <w:tcPr>
            <w:tcW w:type="dxa" w:w="3118"/>
          </w:tcPr>
          <w:p>
            <w:pPr>
              <w:keepNext/>
            </w:pPr>
            <w:r/>
            <w:r>
              <w:rPr>
                <w:sz w:val="19"/>
              </w:rPr>
              <w:t>Inbound and outbound separated - less congestion, fewer mix-ups</w:t>
            </w:r>
          </w:p>
        </w:tc>
        <w:tc>
          <w:tcPr>
            <w:tcW w:type="dxa" w:w="3118"/>
          </w:tcPr>
          <w:p>
            <w:pPr>
              <w:keepNext/>
            </w:pPr>
            <w:r/>
            <w:r>
              <w:rPr>
                <w:sz w:val="19"/>
              </w:rPr>
              <w:t>Inbound, returns and outbound share one dock face</w:t>
            </w:r>
          </w:p>
        </w:tc>
      </w:tr>
      <w:tr>
        <w:trPr>
          <w:cantSplit/>
        </w:trPr>
        <w:tc>
          <w:tcPr>
            <w:tcW w:type="dxa" w:w="2835"/>
          </w:tcPr>
          <w:p>
            <w:r/>
            <w:r>
              <w:rPr>
                <w:sz w:val="19"/>
              </w:rPr>
              <w:t>Fit to our profile (Huertas et al.)</w:t>
            </w:r>
          </w:p>
        </w:tc>
        <w:tc>
          <w:tcPr>
            <w:tcW w:type="dxa" w:w="3118"/>
          </w:tcPr>
          <w:p>
            <w:r/>
            <w:r>
              <w:rPr>
                <w:sz w:val="19"/>
              </w:rPr>
              <w:t>Suits high volume, long/narrow buildings</w:t>
            </w:r>
          </w:p>
        </w:tc>
        <w:tc>
          <w:tcPr>
            <w:tcW w:type="dxa" w:w="3118"/>
          </w:tcPr>
          <w:p>
            <w:r/>
            <w:r>
              <w:rPr>
                <w:sz w:val="19"/>
              </w:rPr>
              <w:t>Suits strong ABC (ours: 13% of SKUs = 80%)</w:t>
            </w:r>
          </w:p>
        </w:tc>
      </w:tr>
    </w:tbl>
    <w:p>
      <w:pPr>
        <w:spacing w:after="40"/>
      </w:pPr>
    </w:p>
    <w:p>
      <w:pPr>
        <w:spacing w:after="120"/>
      </w:pPr>
      <w:r>
        <w:rPr>
          <w:b/>
          <w:i w:val="0"/>
          <w:color w:val="222222"/>
          <w:sz w:val="21"/>
        </w:rPr>
        <w:t>Verdict:</w:t>
      </w:r>
      <w:r>
        <w:rPr>
          <w:b w:val="0"/>
          <w:i w:val="0"/>
          <w:color w:val="222222"/>
          <w:sz w:val="21"/>
        </w:rPr>
        <w:t xml:space="preserve"> Keep flow-through. U-shaped saves only ~9% put-away travel (~11 reach-truck minutes/day) because slow C items still bring 46% of inbound loads and picking travel is identical; its door saving depends on all inbound arriving before noon, which sea containers cannot guarantee. Flow-through keeps inbound, returns and outbound apart and fits the side-wall dock lengths.</w:t>
      </w:r>
    </w:p>
    <w:p>
      <w:pPr>
        <w:pStyle w:val="Heading2"/>
      </w:pPr>
      <w:r>
        <w:t>5.2 Rack and aisle configuration — the W3 design questions</w:t>
      </w:r>
    </w:p>
    <w:tbl>
      <w:tblPr>
        <w:tblStyle w:val="LightGrid-Accent1"/>
        <w:tblW w:type="auto" w:w="0"/>
        <w:jc w:val="center"/>
        <w:tblLayout w:type="fixed"/>
        <w:tblLook w:firstColumn="1" w:firstRow="1" w:lastColumn="0" w:lastRow="0" w:noHBand="0" w:noVBand="1" w:val="04A0"/>
      </w:tblPr>
      <w:tblGrid>
        <w:gridCol w:w="2041"/>
        <w:gridCol w:w="3515"/>
        <w:gridCol w:w="3515"/>
      </w:tblGrid>
      <w:tr>
        <w:trPr>
          <w:cantSplit/>
        </w:trPr>
        <w:tc>
          <w:tcPr>
            <w:tcW w:type="dxa" w:w="2041"/>
          </w:tcPr>
          <w:p>
            <w:pPr>
              <w:keepNext/>
            </w:pPr>
            <w:r/>
            <w:r>
              <w:rPr>
                <w:b/>
                <w:sz w:val="19"/>
              </w:rPr>
              <w:t>Question (W3)</w:t>
            </w:r>
          </w:p>
        </w:tc>
        <w:tc>
          <w:tcPr>
            <w:tcW w:type="dxa" w:w="3515"/>
          </w:tcPr>
          <w:p>
            <w:pPr>
              <w:keepNext/>
            </w:pPr>
            <w:r/>
            <w:r>
              <w:rPr>
                <w:b/>
                <w:sz w:val="19"/>
              </w:rPr>
              <w:t>Our answer</w:t>
            </w:r>
          </w:p>
        </w:tc>
        <w:tc>
          <w:tcPr>
            <w:tcW w:type="dxa" w:w="3515"/>
          </w:tcPr>
          <w:p>
            <w:pPr>
              <w:keepNext/>
            </w:pPr>
            <w:r/>
            <w:r>
              <w:rPr>
                <w:b/>
                <w:sz w:val="19"/>
              </w:rPr>
              <w:t>Why</w:t>
            </w:r>
          </w:p>
        </w:tc>
      </w:tr>
      <w:tr>
        <w:trPr>
          <w:cantSplit/>
        </w:trPr>
        <w:tc>
          <w:tcPr>
            <w:tcW w:type="dxa" w:w="2041"/>
          </w:tcPr>
          <w:p>
            <w:pPr>
              <w:keepNext/>
            </w:pPr>
            <w:r/>
            <w:r>
              <w:rPr>
                <w:sz w:val="19"/>
              </w:rPr>
              <w:t>How many aisles?</w:t>
            </w:r>
          </w:p>
        </w:tc>
        <w:tc>
          <w:tcPr>
            <w:tcW w:type="dxa" w:w="3515"/>
          </w:tcPr>
          <w:p>
            <w:pPr>
              <w:keepNext/>
            </w:pPr>
            <w:r/>
            <w:r>
              <w:rPr>
                <w:sz w:val="19"/>
              </w:rPr>
              <w:t>10 storage aisles between 11 rack modules</w:t>
            </w:r>
          </w:p>
        </w:tc>
        <w:tc>
          <w:tcPr>
            <w:tcW w:type="dxa" w:w="3515"/>
          </w:tcPr>
          <w:p>
            <w:pPr>
              <w:keepNext/>
            </w:pPr>
            <w:r/>
            <w:r>
              <w:rPr>
                <w:sz w:val="19"/>
              </w:rPr>
              <w:t>9 standard modules + 1 odd-items + 1 long-goods module</w:t>
            </w:r>
          </w:p>
        </w:tc>
      </w:tr>
      <w:tr>
        <w:trPr>
          <w:cantSplit/>
        </w:trPr>
        <w:tc>
          <w:tcPr>
            <w:tcW w:type="dxa" w:w="2041"/>
          </w:tcPr>
          <w:p>
            <w:pPr>
              <w:keepNext/>
            </w:pPr>
            <w:r/>
            <w:r>
              <w:rPr>
                <w:sz w:val="19"/>
              </w:rPr>
              <w:t>How long is each aisle?</w:t>
            </w:r>
          </w:p>
        </w:tc>
        <w:tc>
          <w:tcPr>
            <w:tcW w:type="dxa" w:w="3515"/>
          </w:tcPr>
          <w:p>
            <w:pPr>
              <w:keepNext/>
            </w:pPr>
            <w:r/>
            <w:r>
              <w:rPr>
                <w:sz w:val="19"/>
              </w:rPr>
              <w:t>~56 m, split into two runs of ~26.5 m</w:t>
            </w:r>
          </w:p>
        </w:tc>
        <w:tc>
          <w:tcPr>
            <w:tcW w:type="dxa" w:w="3515"/>
          </w:tcPr>
          <w:p>
            <w:pPr>
              <w:keepNext/>
            </w:pPr>
            <w:r/>
            <w:r>
              <w:rPr>
                <w:sz w:val="19"/>
              </w:rPr>
              <w:t>middle cross-aisle halves the walk to any face</w:t>
            </w:r>
          </w:p>
        </w:tc>
      </w:tr>
      <w:tr>
        <w:trPr>
          <w:cantSplit/>
        </w:trPr>
        <w:tc>
          <w:tcPr>
            <w:tcW w:type="dxa" w:w="2041"/>
          </w:tcPr>
          <w:p>
            <w:pPr>
              <w:keepNext/>
            </w:pPr>
            <w:r/>
            <w:r>
              <w:rPr>
                <w:sz w:val="19"/>
              </w:rPr>
              <w:t>Cross-aisles — where, how many?</w:t>
            </w:r>
          </w:p>
        </w:tc>
        <w:tc>
          <w:tcPr>
            <w:tcW w:type="dxa" w:w="3515"/>
          </w:tcPr>
          <w:p>
            <w:pPr>
              <w:keepNext/>
            </w:pPr>
            <w:r/>
            <w:r>
              <w:rPr>
                <w:sz w:val="19"/>
              </w:rPr>
              <w:t>3: front, middle, rear (3.2 m)</w:t>
            </w:r>
          </w:p>
        </w:tc>
        <w:tc>
          <w:tcPr>
            <w:tcW w:type="dxa" w:w="3515"/>
          </w:tcPr>
          <w:p>
            <w:pPr>
              <w:keepNext/>
            </w:pPr>
            <w:r/>
            <w:r>
              <w:rPr>
                <w:sz w:val="19"/>
              </w:rPr>
              <w:t>aisles open at both ends → largest-gap routing, no U-turns; costs ~6% rack length</w:t>
            </w:r>
          </w:p>
        </w:tc>
      </w:tr>
      <w:tr>
        <w:trPr>
          <w:cantSplit/>
        </w:trPr>
        <w:tc>
          <w:tcPr>
            <w:tcW w:type="dxa" w:w="2041"/>
          </w:tcPr>
          <w:p>
            <w:pPr>
              <w:keepNext/>
            </w:pPr>
            <w:r/>
            <w:r>
              <w:rPr>
                <w:sz w:val="19"/>
              </w:rPr>
              <w:t>How do pallets go into the racking?</w:t>
            </w:r>
          </w:p>
        </w:tc>
        <w:tc>
          <w:tcPr>
            <w:tcW w:type="dxa" w:w="3515"/>
          </w:tcPr>
          <w:p>
            <w:pPr>
              <w:keepNext/>
            </w:pPr>
            <w:r/>
            <w:r>
              <w:rPr>
                <w:sz w:val="19"/>
              </w:rPr>
              <w:t>EUR 800×1200 with the 800 mm side to the aisle, 3 per 2.7 m bay; one pallet deep per side, racks back-to-back; long pallets (≤ 2.05 m) 2 per 4.5 m bay</w:t>
            </w:r>
          </w:p>
        </w:tc>
        <w:tc>
          <w:tcPr>
            <w:tcW w:type="dxa" w:w="3515"/>
          </w:tcPr>
          <w:p>
            <w:pPr>
              <w:keepNext/>
            </w:pPr>
            <w:r/>
            <w:r>
              <w:rPr>
                <w:sz w:val="19"/>
              </w:rPr>
              <w:t>standard forks on the ETV 216i; long pallets forked on the long side (load centre 400 mm → full 1.6 t)</w:t>
            </w:r>
          </w:p>
        </w:tc>
      </w:tr>
      <w:tr>
        <w:trPr>
          <w:cantSplit/>
        </w:trPr>
        <w:tc>
          <w:tcPr>
            <w:tcW w:type="dxa" w:w="2041"/>
          </w:tcPr>
          <w:p>
            <w:pPr>
              <w:keepNext/>
            </w:pPr>
            <w:r/>
            <w:r>
              <w:rPr>
                <w:sz w:val="19"/>
              </w:rPr>
              <w:t>How wide is the aisle?</w:t>
            </w:r>
          </w:p>
        </w:tc>
        <w:tc>
          <w:tcPr>
            <w:tcW w:type="dxa" w:w="3515"/>
          </w:tcPr>
          <w:p>
            <w:pPr>
              <w:keepNext/>
            </w:pPr>
            <w:r/>
            <w:r>
              <w:rPr>
                <w:sz w:val="19"/>
              </w:rPr>
              <w:t>3.0 m storage, 3.2 m for long goods and cross/perimeter</w:t>
            </w:r>
          </w:p>
        </w:tc>
        <w:tc>
          <w:tcPr>
            <w:tcW w:type="dxa" w:w="3515"/>
          </w:tcPr>
          <w:p>
            <w:pPr>
              <w:keepNext/>
            </w:pPr>
            <w:r/>
            <w:r>
              <w:rPr>
                <w:sz w:val="19"/>
              </w:rPr>
              <w:t>ETV 216i needs 2.63–2.79 m; with a 2.05 m load crosswise 2976 mm (VDI formula on S006 data)</w:t>
            </w:r>
          </w:p>
        </w:tc>
      </w:tr>
      <w:tr>
        <w:trPr>
          <w:cantSplit/>
        </w:trPr>
        <w:tc>
          <w:tcPr>
            <w:tcW w:type="dxa" w:w="2041"/>
          </w:tcPr>
          <w:p>
            <w:pPr>
              <w:keepNext/>
            </w:pPr>
            <w:r/>
            <w:r>
              <w:rPr>
                <w:sz w:val="19"/>
              </w:rPr>
              <w:t>1-way or 2-way traffic?</w:t>
            </w:r>
          </w:p>
        </w:tc>
        <w:tc>
          <w:tcPr>
            <w:tcW w:type="dxa" w:w="3515"/>
          </w:tcPr>
          <w:p>
            <w:pPr>
              <w:keepNext/>
            </w:pPr>
            <w:r/>
            <w:r>
              <w:rPr>
                <w:sz w:val="19"/>
              </w:rPr>
              <w:t>storage aisles: one truck at a time; main aisles: trucks one-way (west up with put-aways, east down to packing)</w:t>
            </w:r>
          </w:p>
        </w:tc>
        <w:tc>
          <w:tcPr>
            <w:tcW w:type="dxa" w:w="3515"/>
          </w:tcPr>
          <w:p>
            <w:pPr>
              <w:keepNext/>
            </w:pPr>
            <w:r/>
            <w:r>
              <w:rPr>
                <w:sz w:val="19"/>
              </w:rPr>
              <w:t>pickers stay in their zones; fewer crossings</w:t>
            </w:r>
          </w:p>
        </w:tc>
      </w:tr>
      <w:tr>
        <w:trPr>
          <w:cantSplit/>
        </w:trPr>
        <w:tc>
          <w:tcPr>
            <w:tcW w:type="dxa" w:w="2041"/>
          </w:tcPr>
          <w:p>
            <w:pPr>
              <w:keepNext/>
            </w:pPr>
            <w:r/>
            <w:r>
              <w:rPr>
                <w:sz w:val="19"/>
              </w:rPr>
              <w:t>How high is each level? All the same?</w:t>
            </w:r>
          </w:p>
        </w:tc>
        <w:tc>
          <w:tcPr>
            <w:tcW w:type="dxa" w:w="3515"/>
          </w:tcPr>
          <w:p>
            <w:pPr>
              <w:keepNext/>
            </w:pPr>
            <w:r/>
            <w:r>
              <w:rPr>
                <w:sz w:val="19"/>
              </w:rPr>
              <w:t>1.41 m pitch → 8 levels; taller loads on the top level</w:t>
            </w:r>
          </w:p>
        </w:tc>
        <w:tc>
          <w:tcPr>
            <w:tcW w:type="dxa" w:w="3515"/>
          </w:tcPr>
          <w:p>
            <w:pPr>
              <w:keepNext/>
            </w:pPr>
            <w:r/>
            <w:r>
              <w:rPr>
                <w:sz w:val="19"/>
              </w:rPr>
              <w:t>p90 load height 1.16 m + 0.25 m beam/clearance; top load ~1 m under the roof</w:t>
            </w:r>
          </w:p>
        </w:tc>
      </w:tr>
      <w:tr>
        <w:trPr>
          <w:cantSplit/>
        </w:trPr>
        <w:tc>
          <w:tcPr>
            <w:tcW w:type="dxa" w:w="2041"/>
          </w:tcPr>
          <w:p>
            <w:r/>
            <w:r>
              <w:rPr>
                <w:sz w:val="19"/>
              </w:rPr>
              <w:t>Product characteristics?</w:t>
            </w:r>
          </w:p>
        </w:tc>
        <w:tc>
          <w:tcPr>
            <w:tcW w:type="dxa" w:w="3515"/>
          </w:tcPr>
          <w:p>
            <w:r/>
            <w:r>
              <w:rPr>
                <w:sz w:val="19"/>
              </w:rPr>
              <w:t>heaviest item 90.0 kg per piece; pallets &gt; 1 t low; longest real item ~2 m</w:t>
            </w:r>
          </w:p>
        </w:tc>
        <w:tc>
          <w:tcPr>
            <w:tcW w:type="dxa" w:w="3515"/>
          </w:tcPr>
          <w:p>
            <w:r/>
            <w:r>
              <w:rPr>
                <w:sz w:val="19"/>
              </w:rPr>
              <w:t>mechanical handling only for heavy items; 115 loads recorded longer than 2.05 m (up to an '11 m' item of 0.5 kg) are data errors</w:t>
            </w:r>
          </w:p>
        </w:tc>
      </w:tr>
    </w:tbl>
    <w:p>
      <w:pPr>
        <w:spacing w:after="40"/>
      </w:pPr>
    </w:p>
    <w:p>
      <w:pPr>
        <w:pStyle w:val="Heading2"/>
      </w:pPr>
      <w:r>
        <w:t>5.3 Legal aspects of pallet storage</w:t>
      </w:r>
    </w:p>
    <w:p>
      <w:pPr>
        <w:pStyle w:val="ListBullet"/>
      </w:pPr>
      <w:r>
        <w:rPr>
          <w:b w:val="0"/>
          <w:sz w:val="21"/>
        </w:rPr>
      </w:r>
      <w:r>
        <w:rPr>
          <w:b/>
          <w:sz w:val="21"/>
        </w:rPr>
        <w:t>Racking (EN 15512 / EN 15635, S015):</w:t>
      </w:r>
      <w:r>
        <w:rPr>
          <w:b w:val="0"/>
          <w:sz w:val="21"/>
        </w:rPr>
        <w:t xml:space="preserve"> racks designed to EN 15512; in use, a trained employee inspects visually every week and a competent expert at least every 12 months; damage is classed green/amber/red and every bay shows a load sign.</w:t>
      </w:r>
    </w:p>
    <w:p>
      <w:pPr>
        <w:pStyle w:val="ListBullet"/>
      </w:pPr>
      <w:r>
        <w:rPr>
          <w:b w:val="0"/>
          <w:sz w:val="21"/>
        </w:rPr>
      </w:r>
      <w:r>
        <w:rPr>
          <w:b/>
          <w:sz w:val="21"/>
        </w:rPr>
        <w:t>Fire safety:</w:t>
      </w:r>
      <w:r>
        <w:rPr>
          <w:b w:val="0"/>
          <w:sz w:val="21"/>
        </w:rPr>
        <w:t xml:space="preserve"> the top of the highest load stays ~1 m below the 12.2 m roof (sprinkler clearance assumed ≥ 0.5 m, A011 — to confirm against the sprinkler design).</w:t>
      </w:r>
    </w:p>
    <w:p>
      <w:pPr>
        <w:pStyle w:val="ListBullet"/>
      </w:pPr>
      <w:r>
        <w:rPr>
          <w:b w:val="0"/>
          <w:sz w:val="21"/>
        </w:rPr>
      </w:r>
      <w:r>
        <w:rPr>
          <w:b/>
          <w:sz w:val="21"/>
        </w:rPr>
        <w:t>Hazardous goods (rechecked, A028):</w:t>
      </w:r>
      <w:r>
        <w:rPr>
          <w:b w:val="0"/>
          <w:sz w:val="21"/>
        </w:rPr>
        <w:t xml:space="preserve"> 138 SKUs, 2,197 loads (20% of loads), ~385 t gross — counted per load, the same way in all three snapshots (1,727, 1,895, 2,197 loads). The customs codes show what they are (table below): 97% are electronic safes, locks, alarms, cameras and readers — most likely lithium cells built into the product (UN3481/UN3091, class 9). Those fall under PGS 37-2 (lithium energy carriers, from 333 kg; 1,000 kg for small cells, S029), not PGS 15. Only the lubricants (possibly aerosols) fall under PGS 15 (S016). A separate hazmat section is reserved; its fire separation follows PGS 37-2 once Assa Abloy confirms the UN numbers.</w:t>
      </w:r>
    </w:p>
    <w:p>
      <w:pPr>
        <w:pStyle w:val="ListBullet"/>
      </w:pPr>
      <w:r>
        <w:rPr>
          <w:b w:val="0"/>
          <w:sz w:val="21"/>
        </w:rPr>
      </w:r>
      <w:r>
        <w:rPr>
          <w:b/>
          <w:sz w:val="21"/>
        </w:rPr>
        <w:t>Manual handling:</w:t>
      </w:r>
      <w:r>
        <w:rPr>
          <w:b w:val="0"/>
          <w:sz w:val="21"/>
        </w:rPr>
        <w:t xml:space="preserve"> totes are limited to 15 kg (A024); items up to 90 kg each are only moved with pallet trucks or lift aids.</w:t>
      </w:r>
    </w:p>
    <w:tbl>
      <w:tblPr>
        <w:tblStyle w:val="LightGrid-Accent1"/>
        <w:tblW w:type="auto" w:w="0"/>
        <w:jc w:val="center"/>
        <w:tblLayout w:type="fixed"/>
        <w:tblLook w:firstColumn="1" w:firstRow="1" w:lastColumn="0" w:lastRow="0" w:noHBand="0" w:noVBand="1" w:val="04A0"/>
      </w:tblPr>
      <w:tblGrid>
        <w:gridCol w:w="907"/>
        <w:gridCol w:w="2041"/>
        <w:gridCol w:w="2381"/>
        <w:gridCol w:w="1020"/>
        <w:gridCol w:w="680"/>
        <w:gridCol w:w="794"/>
        <w:gridCol w:w="794"/>
      </w:tblGrid>
      <w:tr>
        <w:trPr>
          <w:cantSplit/>
        </w:trPr>
        <w:tc>
          <w:tcPr>
            <w:tcW w:type="dxa" w:w="907"/>
          </w:tcPr>
          <w:p>
            <w:pPr>
              <w:keepNext/>
            </w:pPr>
            <w:r/>
            <w:r>
              <w:rPr>
                <w:b/>
                <w:sz w:val="19"/>
              </w:rPr>
              <w:t>Customs code</w:t>
            </w:r>
          </w:p>
        </w:tc>
        <w:tc>
          <w:tcPr>
            <w:tcW w:type="dxa" w:w="2041"/>
          </w:tcPr>
          <w:p>
            <w:pPr>
              <w:keepNext/>
            </w:pPr>
            <w:r/>
            <w:r>
              <w:rPr>
                <w:b/>
                <w:sz w:val="19"/>
              </w:rPr>
              <w:t>What it is</w:t>
            </w:r>
          </w:p>
        </w:tc>
        <w:tc>
          <w:tcPr>
            <w:tcW w:type="dxa" w:w="2381"/>
          </w:tcPr>
          <w:p>
            <w:pPr>
              <w:keepNext/>
            </w:pPr>
            <w:r/>
            <w:r>
              <w:rPr>
                <w:b/>
                <w:sz w:val="19"/>
              </w:rPr>
              <w:t>Likely hazard</w:t>
            </w:r>
          </w:p>
        </w:tc>
        <w:tc>
          <w:tcPr>
            <w:tcW w:type="dxa" w:w="1020"/>
          </w:tcPr>
          <w:p>
            <w:pPr>
              <w:keepNext/>
            </w:pPr>
            <w:r/>
            <w:r>
              <w:rPr>
                <w:b/>
                <w:sz w:val="19"/>
              </w:rPr>
              <w:t>Dutch rule</w:t>
            </w:r>
          </w:p>
        </w:tc>
        <w:tc>
          <w:tcPr>
            <w:tcW w:type="dxa" w:w="680"/>
          </w:tcPr>
          <w:p>
            <w:pPr>
              <w:keepNext/>
            </w:pPr>
            <w:r/>
            <w:r>
              <w:rPr>
                <w:b/>
                <w:sz w:val="19"/>
              </w:rPr>
              <w:t>SKUs</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sz w:val="19"/>
              </w:rPr>
              <w:t>8303</w:t>
            </w:r>
          </w:p>
        </w:tc>
        <w:tc>
          <w:tcPr>
            <w:tcW w:type="dxa" w:w="2041"/>
          </w:tcPr>
          <w:p>
            <w:pPr>
              <w:keepNext/>
            </w:pPr>
            <w:r/>
            <w:r>
              <w:rPr>
                <w:sz w:val="19"/>
              </w:rPr>
              <w:t>Safes and strong-boxes (electronic locks)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41</w:t>
            </w:r>
          </w:p>
        </w:tc>
        <w:tc>
          <w:tcPr>
            <w:tcW w:type="dxa" w:w="794"/>
          </w:tcPr>
          <w:p>
            <w:pPr>
              <w:keepNext/>
              <w:jc w:val="right"/>
            </w:pPr>
            <w:r/>
            <w:r>
              <w:rPr>
                <w:sz w:val="19"/>
              </w:rPr>
              <w:t>1,603</w:t>
            </w:r>
          </w:p>
        </w:tc>
        <w:tc>
          <w:tcPr>
            <w:tcW w:type="dxa" w:w="794"/>
          </w:tcPr>
          <w:p>
            <w:pPr>
              <w:keepNext/>
              <w:jc w:val="right"/>
            </w:pPr>
            <w:r/>
            <w:r>
              <w:rPr>
                <w:sz w:val="19"/>
              </w:rPr>
              <w:t>315</w:t>
            </w:r>
          </w:p>
        </w:tc>
      </w:tr>
      <w:tr>
        <w:trPr>
          <w:cantSplit/>
        </w:trPr>
        <w:tc>
          <w:tcPr>
            <w:tcW w:type="dxa" w:w="907"/>
          </w:tcPr>
          <w:p>
            <w:pPr>
              <w:keepNext/>
            </w:pPr>
            <w:r/>
            <w:r>
              <w:rPr>
                <w:sz w:val="19"/>
              </w:rPr>
              <w:t>8471</w:t>
            </w:r>
          </w:p>
        </w:tc>
        <w:tc>
          <w:tcPr>
            <w:tcW w:type="dxa" w:w="2041"/>
          </w:tcPr>
          <w:p>
            <w:pPr>
              <w:keepNext/>
            </w:pPr>
            <w:r/>
            <w:r>
              <w:rPr>
                <w:sz w:val="19"/>
              </w:rPr>
              <w:t>Readers / data units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2</w:t>
            </w:r>
          </w:p>
        </w:tc>
        <w:tc>
          <w:tcPr>
            <w:tcW w:type="dxa" w:w="794"/>
          </w:tcPr>
          <w:p>
            <w:pPr>
              <w:keepNext/>
              <w:jc w:val="right"/>
            </w:pPr>
            <w:r/>
            <w:r>
              <w:rPr>
                <w:sz w:val="19"/>
              </w:rPr>
              <w:t>171</w:t>
            </w:r>
          </w:p>
        </w:tc>
        <w:tc>
          <w:tcPr>
            <w:tcW w:type="dxa" w:w="794"/>
          </w:tcPr>
          <w:p>
            <w:pPr>
              <w:keepNext/>
              <w:jc w:val="right"/>
            </w:pPr>
            <w:r/>
            <w:r>
              <w:rPr>
                <w:sz w:val="19"/>
              </w:rPr>
              <w:t>10</w:t>
            </w:r>
          </w:p>
        </w:tc>
      </w:tr>
      <w:tr>
        <w:trPr>
          <w:cantSplit/>
        </w:trPr>
        <w:tc>
          <w:tcPr>
            <w:tcW w:type="dxa" w:w="907"/>
          </w:tcPr>
          <w:p>
            <w:pPr>
              <w:keepNext/>
            </w:pPr>
            <w:r/>
            <w:r>
              <w:rPr>
                <w:sz w:val="19"/>
              </w:rPr>
              <w:t>8301</w:t>
            </w:r>
          </w:p>
        </w:tc>
        <w:tc>
          <w:tcPr>
            <w:tcW w:type="dxa" w:w="2041"/>
          </w:tcPr>
          <w:p>
            <w:pPr>
              <w:keepNext/>
            </w:pPr>
            <w:r/>
            <w:r>
              <w:rPr>
                <w:sz w:val="19"/>
              </w:rPr>
              <w:t>Locks and padlocks (electronic)</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35</w:t>
            </w:r>
          </w:p>
        </w:tc>
        <w:tc>
          <w:tcPr>
            <w:tcW w:type="dxa" w:w="794"/>
          </w:tcPr>
          <w:p>
            <w:pPr>
              <w:keepNext/>
              <w:jc w:val="right"/>
            </w:pPr>
            <w:r/>
            <w:r>
              <w:rPr>
                <w:sz w:val="19"/>
              </w:rPr>
              <w:t>148</w:t>
            </w:r>
          </w:p>
        </w:tc>
        <w:tc>
          <w:tcPr>
            <w:tcW w:type="dxa" w:w="794"/>
          </w:tcPr>
          <w:p>
            <w:pPr>
              <w:keepNext/>
              <w:jc w:val="right"/>
            </w:pPr>
            <w:r/>
            <w:r>
              <w:rPr>
                <w:sz w:val="19"/>
              </w:rPr>
              <w:t>27</w:t>
            </w:r>
          </w:p>
        </w:tc>
      </w:tr>
      <w:tr>
        <w:trPr>
          <w:cantSplit/>
        </w:trPr>
        <w:tc>
          <w:tcPr>
            <w:tcW w:type="dxa" w:w="907"/>
          </w:tcPr>
          <w:p>
            <w:pPr>
              <w:keepNext/>
            </w:pPr>
            <w:r/>
            <w:r>
              <w:rPr>
                <w:sz w:val="19"/>
              </w:rPr>
              <w:t>8531</w:t>
            </w:r>
          </w:p>
        </w:tc>
        <w:tc>
          <w:tcPr>
            <w:tcW w:type="dxa" w:w="2041"/>
          </w:tcPr>
          <w:p>
            <w:pPr>
              <w:keepNext/>
            </w:pPr>
            <w:r/>
            <w:r>
              <w:rPr>
                <w:sz w:val="19"/>
              </w:rPr>
              <w:t>Alarm and signalling devices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25</w:t>
            </w:r>
          </w:p>
        </w:tc>
        <w:tc>
          <w:tcPr>
            <w:tcW w:type="dxa" w:w="794"/>
          </w:tcPr>
          <w:p>
            <w:pPr>
              <w:keepNext/>
              <w:jc w:val="right"/>
            </w:pPr>
            <w:r/>
            <w:r>
              <w:rPr>
                <w:sz w:val="19"/>
              </w:rPr>
              <w:t>141</w:t>
            </w:r>
          </w:p>
        </w:tc>
        <w:tc>
          <w:tcPr>
            <w:tcW w:type="dxa" w:w="794"/>
          </w:tcPr>
          <w:p>
            <w:pPr>
              <w:keepNext/>
              <w:jc w:val="right"/>
            </w:pPr>
            <w:r/>
            <w:r>
              <w:rPr>
                <w:sz w:val="19"/>
              </w:rPr>
              <w:t>17</w:t>
            </w:r>
          </w:p>
        </w:tc>
      </w:tr>
      <w:tr>
        <w:trPr>
          <w:cantSplit/>
        </w:trPr>
        <w:tc>
          <w:tcPr>
            <w:tcW w:type="dxa" w:w="907"/>
          </w:tcPr>
          <w:p>
            <w:pPr>
              <w:keepNext/>
            </w:pPr>
            <w:r/>
            <w:r>
              <w:rPr>
                <w:sz w:val="19"/>
              </w:rPr>
              <w:t>8525</w:t>
            </w:r>
          </w:p>
        </w:tc>
        <w:tc>
          <w:tcPr>
            <w:tcW w:type="dxa" w:w="2041"/>
          </w:tcPr>
          <w:p>
            <w:pPr>
              <w:keepNext/>
            </w:pPr>
            <w:r/>
            <w:r>
              <w:rPr>
                <w:sz w:val="19"/>
              </w:rPr>
              <w:t>Cameras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16</w:t>
            </w:r>
          </w:p>
        </w:tc>
        <w:tc>
          <w:tcPr>
            <w:tcW w:type="dxa" w:w="794"/>
          </w:tcPr>
          <w:p>
            <w:pPr>
              <w:keepNext/>
              <w:jc w:val="right"/>
            </w:pPr>
            <w:r/>
            <w:r>
              <w:rPr>
                <w:sz w:val="19"/>
              </w:rPr>
              <w:t>88</w:t>
            </w:r>
          </w:p>
        </w:tc>
        <w:tc>
          <w:tcPr>
            <w:tcW w:type="dxa" w:w="794"/>
          </w:tcPr>
          <w:p>
            <w:pPr>
              <w:keepNext/>
              <w:jc w:val="right"/>
            </w:pPr>
            <w:r/>
            <w:r>
              <w:rPr>
                <w:sz w:val="19"/>
              </w:rPr>
              <w:t>8</w:t>
            </w:r>
          </w:p>
        </w:tc>
      </w:tr>
      <w:tr>
        <w:trPr>
          <w:cantSplit/>
        </w:trPr>
        <w:tc>
          <w:tcPr>
            <w:tcW w:type="dxa" w:w="907"/>
          </w:tcPr>
          <w:p>
            <w:pPr>
              <w:keepNext/>
            </w:pPr>
            <w:r/>
            <w:r>
              <w:rPr>
                <w:sz w:val="19"/>
              </w:rPr>
              <w:t>4819</w:t>
            </w:r>
          </w:p>
        </w:tc>
        <w:tc>
          <w:tcPr>
            <w:tcW w:type="dxa" w:w="2041"/>
          </w:tcPr>
          <w:p>
            <w:pPr>
              <w:keepNext/>
            </w:pPr>
            <w:r/>
            <w:r>
              <w:rPr>
                <w:sz w:val="19"/>
              </w:rPr>
              <w:t>Cardboard boxes</w:t>
            </w:r>
          </w:p>
        </w:tc>
        <w:tc>
          <w:tcPr>
            <w:tcW w:type="dxa" w:w="2381"/>
          </w:tcPr>
          <w:p>
            <w:pPr>
              <w:keepNext/>
            </w:pPr>
            <w:r/>
            <w:r>
              <w:rPr>
                <w:sz w:val="19"/>
              </w:rPr>
              <w:t>unclear - packaging should not be hazardous; check the flag</w:t>
            </w:r>
          </w:p>
        </w:tc>
        <w:tc>
          <w:tcPr>
            <w:tcW w:type="dxa" w:w="1020"/>
          </w:tcPr>
          <w:p>
            <w:pPr>
              <w:keepNext/>
            </w:pPr>
            <w:r/>
            <w:r>
              <w:rPr>
                <w:sz w:val="19"/>
              </w:rPr>
              <w:t>check flag</w:t>
            </w:r>
          </w:p>
        </w:tc>
        <w:tc>
          <w:tcPr>
            <w:tcW w:type="dxa" w:w="680"/>
          </w:tcPr>
          <w:p>
            <w:pPr>
              <w:keepNext/>
              <w:jc w:val="right"/>
            </w:pPr>
            <w:r/>
            <w:r>
              <w:rPr>
                <w:sz w:val="19"/>
              </w:rPr>
              <w:t>1</w:t>
            </w:r>
          </w:p>
        </w:tc>
        <w:tc>
          <w:tcPr>
            <w:tcW w:type="dxa" w:w="794"/>
          </w:tcPr>
          <w:p>
            <w:pPr>
              <w:keepNext/>
              <w:jc w:val="right"/>
            </w:pPr>
            <w:r/>
            <w:r>
              <w:rPr>
                <w:sz w:val="19"/>
              </w:rPr>
              <w:t>33</w:t>
            </w:r>
          </w:p>
        </w:tc>
        <w:tc>
          <w:tcPr>
            <w:tcW w:type="dxa" w:w="794"/>
          </w:tcPr>
          <w:p>
            <w:pPr>
              <w:keepNext/>
              <w:jc w:val="right"/>
            </w:pPr>
            <w:r/>
            <w:r>
              <w:rPr>
                <w:sz w:val="19"/>
              </w:rPr>
              <w:t>6</w:t>
            </w:r>
          </w:p>
        </w:tc>
      </w:tr>
      <w:tr>
        <w:trPr>
          <w:cantSplit/>
        </w:trPr>
        <w:tc>
          <w:tcPr>
            <w:tcW w:type="dxa" w:w="907"/>
          </w:tcPr>
          <w:p>
            <w:pPr>
              <w:keepNext/>
            </w:pPr>
            <w:r/>
            <w:r>
              <w:rPr>
                <w:sz w:val="19"/>
              </w:rPr>
              <w:t>8302</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8</w:t>
            </w:r>
          </w:p>
        </w:tc>
        <w:tc>
          <w:tcPr>
            <w:tcW w:type="dxa" w:w="794"/>
          </w:tcPr>
          <w:p>
            <w:pPr>
              <w:keepNext/>
              <w:jc w:val="right"/>
            </w:pPr>
            <w:r/>
            <w:r>
              <w:rPr>
                <w:sz w:val="19"/>
              </w:rPr>
              <w:t>10</w:t>
            </w:r>
          </w:p>
        </w:tc>
        <w:tc>
          <w:tcPr>
            <w:tcW w:type="dxa" w:w="794"/>
          </w:tcPr>
          <w:p>
            <w:pPr>
              <w:keepNext/>
              <w:jc w:val="right"/>
            </w:pPr>
            <w:r/>
            <w:r>
              <w:rPr>
                <w:sz w:val="19"/>
              </w:rPr>
              <w:t>0</w:t>
            </w:r>
          </w:p>
        </w:tc>
      </w:tr>
      <w:tr>
        <w:trPr>
          <w:cantSplit/>
        </w:trPr>
        <w:tc>
          <w:tcPr>
            <w:tcW w:type="dxa" w:w="907"/>
          </w:tcPr>
          <w:p>
            <w:pPr>
              <w:keepNext/>
            </w:pPr>
            <w:r/>
            <w:r>
              <w:rPr>
                <w:sz w:val="19"/>
              </w:rPr>
              <w:t>none</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2</w:t>
            </w:r>
          </w:p>
        </w:tc>
        <w:tc>
          <w:tcPr>
            <w:tcW w:type="dxa" w:w="794"/>
          </w:tcPr>
          <w:p>
            <w:pPr>
              <w:keepNext/>
              <w:jc w:val="right"/>
            </w:pPr>
            <w:r/>
            <w:r>
              <w:rPr>
                <w:sz w:val="19"/>
              </w:rPr>
              <w:t>7</w:t>
            </w:r>
          </w:p>
        </w:tc>
        <w:tc>
          <w:tcPr>
            <w:tcW w:type="dxa" w:w="794"/>
          </w:tcPr>
          <w:p>
            <w:pPr>
              <w:keepNext/>
              <w:jc w:val="right"/>
            </w:pPr>
            <w:r/>
            <w:r>
              <w:rPr>
                <w:sz w:val="19"/>
              </w:rPr>
              <w:t>1</w:t>
            </w:r>
          </w:p>
        </w:tc>
      </w:tr>
      <w:tr>
        <w:trPr>
          <w:cantSplit/>
        </w:trPr>
        <w:tc>
          <w:tcPr>
            <w:tcW w:type="dxa" w:w="907"/>
          </w:tcPr>
          <w:p>
            <w:pPr>
              <w:keepNext/>
            </w:pPr>
            <w:r/>
            <w:r>
              <w:rPr>
                <w:sz w:val="19"/>
              </w:rPr>
              <w:t>3403</w:t>
            </w:r>
          </w:p>
        </w:tc>
        <w:tc>
          <w:tcPr>
            <w:tcW w:type="dxa" w:w="2041"/>
          </w:tcPr>
          <w:p>
            <w:pPr>
              <w:keepNext/>
            </w:pPr>
            <w:r/>
            <w:r>
              <w:rPr>
                <w:sz w:val="19"/>
              </w:rPr>
              <w:t>Lubricants</w:t>
            </w:r>
          </w:p>
        </w:tc>
        <w:tc>
          <w:tcPr>
            <w:tcW w:type="dxa" w:w="2381"/>
          </w:tcPr>
          <w:p>
            <w:pPr>
              <w:keepNext/>
            </w:pPr>
            <w:r/>
            <w:r>
              <w:rPr>
                <w:sz w:val="19"/>
              </w:rPr>
              <w:t>possibly aerosols or flammable liquids (class 2 / 3)</w:t>
            </w:r>
          </w:p>
        </w:tc>
        <w:tc>
          <w:tcPr>
            <w:tcW w:type="dxa" w:w="1020"/>
          </w:tcPr>
          <w:p>
            <w:pPr>
              <w:keepNext/>
            </w:pPr>
            <w:r/>
            <w:r>
              <w:rPr>
                <w:sz w:val="19"/>
              </w:rPr>
              <w:t>PGS 15</w:t>
            </w:r>
          </w:p>
        </w:tc>
        <w:tc>
          <w:tcPr>
            <w:tcW w:type="dxa" w:w="680"/>
          </w:tcPr>
          <w:p>
            <w:pPr>
              <w:keepNext/>
              <w:jc w:val="right"/>
            </w:pPr>
            <w:r/>
            <w:r>
              <w:rPr>
                <w:sz w:val="19"/>
              </w:rPr>
              <w:t>5</w:t>
            </w:r>
          </w:p>
        </w:tc>
        <w:tc>
          <w:tcPr>
            <w:tcW w:type="dxa" w:w="794"/>
          </w:tcPr>
          <w:p>
            <w:pPr>
              <w:keepNext/>
              <w:jc w:val="right"/>
            </w:pPr>
            <w:r/>
            <w:r>
              <w:rPr>
                <w:sz w:val="19"/>
              </w:rPr>
              <w:t>6</w:t>
            </w:r>
          </w:p>
        </w:tc>
        <w:tc>
          <w:tcPr>
            <w:tcW w:type="dxa" w:w="794"/>
          </w:tcPr>
          <w:p>
            <w:pPr>
              <w:keepNext/>
              <w:jc w:val="right"/>
            </w:pPr>
            <w:r/>
            <w:r>
              <w:rPr>
                <w:sz w:val="19"/>
              </w:rPr>
              <w:t>0</w:t>
            </w:r>
          </w:p>
        </w:tc>
      </w:tr>
      <w:tr>
        <w:trPr>
          <w:cantSplit/>
        </w:trPr>
        <w:tc>
          <w:tcPr>
            <w:tcW w:type="dxa" w:w="907"/>
          </w:tcPr>
          <w:p>
            <w:pPr>
              <w:keepNext/>
            </w:pPr>
            <w:r/>
            <w:r>
              <w:rPr>
                <w:sz w:val="19"/>
              </w:rPr>
              <w:t>8507</w:t>
            </w:r>
          </w:p>
        </w:tc>
        <w:tc>
          <w:tcPr>
            <w:tcW w:type="dxa" w:w="2041"/>
          </w:tcPr>
          <w:p>
            <w:pPr>
              <w:keepNext/>
            </w:pPr>
            <w:r/>
            <w:r>
              <w:rPr>
                <w:sz w:val="19"/>
              </w:rPr>
              <w:t>Batteries (loose)</w:t>
            </w:r>
          </w:p>
        </w:tc>
        <w:tc>
          <w:tcPr>
            <w:tcW w:type="dxa" w:w="2381"/>
          </w:tcPr>
          <w:p>
            <w:pPr>
              <w:keepNext/>
            </w:pPr>
            <w:r/>
            <w:r>
              <w:rPr>
                <w:sz w:val="19"/>
              </w:rPr>
              <w:t>lithium batteries (UN3480 / UN3090, class 9)</w:t>
            </w:r>
          </w:p>
        </w:tc>
        <w:tc>
          <w:tcPr>
            <w:tcW w:type="dxa" w:w="1020"/>
          </w:tcPr>
          <w:p>
            <w:pPr>
              <w:keepNext/>
            </w:pPr>
            <w:r/>
            <w:r>
              <w:rPr>
                <w:sz w:val="19"/>
              </w:rPr>
              <w:t>PGS 37-2</w:t>
            </w:r>
          </w:p>
        </w:tc>
        <w:tc>
          <w:tcPr>
            <w:tcW w:type="dxa" w:w="680"/>
          </w:tcPr>
          <w:p>
            <w:pPr>
              <w:keepNext/>
              <w:jc w:val="right"/>
            </w:pPr>
            <w:r/>
            <w:r>
              <w:rPr>
                <w:sz w:val="19"/>
              </w:rPr>
              <w:t>1</w:t>
            </w:r>
          </w:p>
        </w:tc>
        <w:tc>
          <w:tcPr>
            <w:tcW w:type="dxa" w:w="794"/>
          </w:tcPr>
          <w:p>
            <w:pPr>
              <w:keepNext/>
              <w:jc w:val="right"/>
            </w:pPr>
            <w:r/>
            <w:r>
              <w:rPr>
                <w:sz w:val="19"/>
              </w:rPr>
              <w:t>5</w:t>
            </w:r>
          </w:p>
        </w:tc>
        <w:tc>
          <w:tcPr>
            <w:tcW w:type="dxa" w:w="794"/>
          </w:tcPr>
          <w:p>
            <w:pPr>
              <w:keepNext/>
              <w:jc w:val="right"/>
            </w:pPr>
            <w:r/>
            <w:r>
              <w:rPr>
                <w:sz w:val="19"/>
              </w:rPr>
              <w:t>0</w:t>
            </w:r>
          </w:p>
        </w:tc>
      </w:tr>
      <w:tr>
        <w:trPr>
          <w:cantSplit/>
        </w:trPr>
        <w:tc>
          <w:tcPr>
            <w:tcW w:type="dxa" w:w="907"/>
          </w:tcPr>
          <w:p>
            <w:r/>
            <w:r>
              <w:rPr>
                <w:sz w:val="19"/>
              </w:rPr>
              <w:t>8479</w:t>
            </w:r>
          </w:p>
        </w:tc>
        <w:tc>
          <w:tcPr>
            <w:tcW w:type="dxa" w:w="2041"/>
          </w:tcPr>
          <w:p>
            <w:r/>
            <w:r>
              <w:rPr>
                <w:sz w:val="19"/>
              </w:rPr>
              <w:t>other</w:t>
            </w:r>
          </w:p>
        </w:tc>
        <w:tc>
          <w:tcPr>
            <w:tcW w:type="dxa" w:w="2381"/>
          </w:tcPr>
          <w:p>
            <w:r/>
            <w:r>
              <w:rPr>
                <w:sz w:val="19"/>
              </w:rPr>
              <w:t>unknown</w:t>
            </w:r>
          </w:p>
        </w:tc>
        <w:tc>
          <w:tcPr>
            <w:tcW w:type="dxa" w:w="1020"/>
          </w:tcPr>
          <w:p>
            <w:r/>
            <w:r>
              <w:rPr>
                <w:sz w:val="19"/>
              </w:rPr>
              <w:t>check</w:t>
            </w:r>
          </w:p>
        </w:tc>
        <w:tc>
          <w:tcPr>
            <w:tcW w:type="dxa" w:w="680"/>
          </w:tcPr>
          <w:p>
            <w:pPr>
              <w:jc w:val="right"/>
            </w:pPr>
            <w:r/>
            <w:r>
              <w:rPr>
                <w:sz w:val="19"/>
              </w:rPr>
              <w:t>2</w:t>
            </w:r>
          </w:p>
        </w:tc>
        <w:tc>
          <w:tcPr>
            <w:tcW w:type="dxa" w:w="794"/>
          </w:tcPr>
          <w:p>
            <w:pPr>
              <w:jc w:val="right"/>
            </w:pPr>
            <w:r/>
            <w:r>
              <w:rPr>
                <w:sz w:val="19"/>
              </w:rPr>
              <w:t>2</w:t>
            </w:r>
          </w:p>
        </w:tc>
        <w:tc>
          <w:tcPr>
            <w:tcW w:type="dxa" w:w="794"/>
          </w:tcPr>
          <w:p>
            <w:pPr>
              <w:jc w:val="right"/>
            </w:pPr>
            <w:r/>
            <w:r>
              <w:rPr>
                <w:sz w:val="19"/>
              </w:rPr>
              <w:t>0</w:t>
            </w:r>
          </w:p>
        </w:tc>
      </w:tr>
    </w:tbl>
    <w:p>
      <w:pPr>
        <w:spacing w:after="40"/>
      </w:pPr>
    </w:p>
    <w:p>
      <w:pPr>
        <w:pStyle w:val="Heading2"/>
      </w:pPr>
      <w:r>
        <w:t>5.4 Are the outbound staging and packing areas big enough?</w:t>
      </w:r>
    </w:p>
    <w:p>
      <w:pPr>
        <w:spacing w:after="80"/>
      </w:pPr>
      <w:r>
        <w:rPr>
          <w:b/>
          <w:i w:val="0"/>
          <w:color w:val="222222"/>
          <w:sz w:val="21"/>
        </w:rPr>
        <w:t>Outbound staging (216 m²):</w:t>
      </w:r>
      <w:r>
        <w:rPr>
          <w:b w:val="0"/>
          <w:i w:val="0"/>
          <w:color w:val="222222"/>
          <w:sz w:val="21"/>
        </w:rPr>
        <w:t xml:space="preserve"> the goods of all afternoon trailers wait at the same time after wave 3. Measured per day (pallets × 1.9 m² + roll cages × 1.0 m², +30% lanes): median 34 m², p90 60 m², busiest day 100 m². 216 m² holds every day of Q2 with room for 2× the volume (stress test, D3).</w:t>
      </w:r>
    </w:p>
    <w:p>
      <w:pPr>
        <w:spacing w:after="80"/>
      </w:pPr>
      <w:r>
        <w:rPr>
          <w:b/>
          <w:i w:val="0"/>
          <w:color w:val="222222"/>
          <w:sz w:val="21"/>
        </w:rPr>
        <w:t>Packing (450 m²)</w:t>
      </w:r>
      <w:r>
        <w:rPr>
          <w:b w:val="0"/>
          <w:i w:val="0"/>
          <w:color w:val="222222"/>
          <w:sz w:val="21"/>
        </w:rPr>
        <w:t xml:space="preserve"> — what has to fit:</w:t>
      </w:r>
    </w:p>
    <w:tbl>
      <w:tblPr>
        <w:tblStyle w:val="LightGrid-Accent1"/>
        <w:tblW w:type="auto" w:w="0"/>
        <w:jc w:val="center"/>
        <w:tblLayout w:type="fixed"/>
        <w:tblLook w:firstColumn="1" w:firstRow="1" w:lastColumn="0" w:lastRow="0" w:noHBand="0" w:noVBand="1" w:val="04A0"/>
      </w:tblPr>
      <w:tblGrid>
        <w:gridCol w:w="6803"/>
        <w:gridCol w:w="1134"/>
      </w:tblGrid>
      <w:tr>
        <w:trPr>
          <w:cantSplit/>
        </w:trPr>
        <w:tc>
          <w:tcPr>
            <w:tcW w:type="dxa" w:w="6803"/>
          </w:tcPr>
          <w:p>
            <w:pPr>
              <w:keepNext/>
            </w:pPr>
            <w:r/>
            <w:r>
              <w:rPr>
                <w:b/>
                <w:sz w:val="19"/>
              </w:rPr>
              <w:t>Part</w:t>
            </w:r>
          </w:p>
        </w:tc>
        <w:tc>
          <w:tcPr>
            <w:tcW w:type="dxa" w:w="1134"/>
          </w:tcPr>
          <w:p>
            <w:pPr>
              <w:keepNext/>
            </w:pPr>
            <w:r/>
            <w:r>
              <w:rPr>
                <w:b/>
                <w:sz w:val="19"/>
              </w:rPr>
              <w:t>m²</w:t>
            </w:r>
          </w:p>
        </w:tc>
      </w:tr>
      <w:tr>
        <w:trPr>
          <w:cantSplit/>
        </w:trPr>
        <w:tc>
          <w:tcPr>
            <w:tcW w:type="dxa" w:w="6803"/>
          </w:tcPr>
          <w:p>
            <w:pPr>
              <w:keepNext/>
            </w:pPr>
            <w:r/>
            <w:r>
              <w:rPr>
                <w:sz w:val="19"/>
              </w:rPr>
              <w:t>Pack stations (4 x 10 m2: bench, scale, printer, working space)</w:t>
            </w:r>
          </w:p>
        </w:tc>
        <w:tc>
          <w:tcPr>
            <w:tcW w:type="dxa" w:w="1134"/>
          </w:tcPr>
          <w:p>
            <w:pPr>
              <w:keepNext/>
              <w:jc w:val="right"/>
            </w:pPr>
            <w:r/>
            <w:r>
              <w:rPr>
                <w:sz w:val="19"/>
              </w:rPr>
              <w:t>40</w:t>
            </w:r>
          </w:p>
        </w:tc>
      </w:tr>
      <w:tr>
        <w:trPr>
          <w:cantSplit/>
        </w:trPr>
        <w:tc>
          <w:tcPr>
            <w:tcW w:type="dxa" w:w="6803"/>
          </w:tcPr>
          <w:p>
            <w:pPr>
              <w:keepNext/>
            </w:pPr>
            <w:r/>
            <w:r>
              <w:rPr>
                <w:sz w:val="19"/>
              </w:rPr>
              <w:t>Put-to-light wall (120 tote slots, 10.8 m, work strip both sides)</w:t>
            </w:r>
          </w:p>
        </w:tc>
        <w:tc>
          <w:tcPr>
            <w:tcW w:type="dxa" w:w="1134"/>
          </w:tcPr>
          <w:p>
            <w:pPr>
              <w:keepNext/>
              <w:jc w:val="right"/>
            </w:pPr>
            <w:r/>
            <w:r>
              <w:rPr>
                <w:sz w:val="19"/>
              </w:rPr>
              <w:t>39</w:t>
            </w:r>
          </w:p>
        </w:tc>
      </w:tr>
      <w:tr>
        <w:trPr>
          <w:cantSplit/>
        </w:trPr>
        <w:tc>
          <w:tcPr>
            <w:tcW w:type="dxa" w:w="6803"/>
          </w:tcPr>
          <w:p>
            <w:pPr>
              <w:keepNext/>
            </w:pPr>
            <w:r/>
            <w:r>
              <w:rPr>
                <w:sz w:val="19"/>
              </w:rPr>
              <w:t>Large orders waiting to be packed (peak wave 13 pallets x 1.9 m2)</w:t>
            </w:r>
          </w:p>
        </w:tc>
        <w:tc>
          <w:tcPr>
            <w:tcW w:type="dxa" w:w="1134"/>
          </w:tcPr>
          <w:p>
            <w:pPr>
              <w:keepNext/>
              <w:jc w:val="right"/>
            </w:pPr>
            <w:r/>
            <w:r>
              <w:rPr>
                <w:sz w:val="19"/>
              </w:rPr>
              <w:t>25</w:t>
            </w:r>
          </w:p>
        </w:tc>
      </w:tr>
      <w:tr>
        <w:trPr>
          <w:cantSplit/>
        </w:trPr>
        <w:tc>
          <w:tcPr>
            <w:tcW w:type="dxa" w:w="6803"/>
          </w:tcPr>
          <w:p>
            <w:pPr>
              <w:keepNext/>
            </w:pPr>
            <w:r/>
            <w:r>
              <w:rPr>
                <w:sz w:val="19"/>
              </w:rPr>
              <w:t>Stretch wrapper incl. safety zone</w:t>
            </w:r>
          </w:p>
        </w:tc>
        <w:tc>
          <w:tcPr>
            <w:tcW w:type="dxa" w:w="1134"/>
          </w:tcPr>
          <w:p>
            <w:pPr>
              <w:keepNext/>
              <w:jc w:val="right"/>
            </w:pPr>
            <w:r/>
            <w:r>
              <w:rPr>
                <w:sz w:val="19"/>
              </w:rPr>
              <w:t>12</w:t>
            </w:r>
          </w:p>
        </w:tc>
      </w:tr>
      <w:tr>
        <w:trPr>
          <w:cantSplit/>
        </w:trPr>
        <w:tc>
          <w:tcPr>
            <w:tcW w:type="dxa" w:w="6803"/>
          </w:tcPr>
          <w:p>
            <w:pPr>
              <w:keepNext/>
            </w:pPr>
            <w:r/>
            <w:r>
              <w:rPr>
                <w:sz w:val="19"/>
              </w:rPr>
              <w:t>Trolleys and empty totes</w:t>
            </w:r>
          </w:p>
        </w:tc>
        <w:tc>
          <w:tcPr>
            <w:tcW w:type="dxa" w:w="1134"/>
          </w:tcPr>
          <w:p>
            <w:pPr>
              <w:keepNext/>
              <w:jc w:val="right"/>
            </w:pPr>
            <w:r/>
            <w:r>
              <w:rPr>
                <w:sz w:val="19"/>
              </w:rPr>
              <w:t>10</w:t>
            </w:r>
          </w:p>
        </w:tc>
      </w:tr>
      <w:tr>
        <w:trPr>
          <w:cantSplit/>
        </w:trPr>
        <w:tc>
          <w:tcPr>
            <w:tcW w:type="dxa" w:w="6803"/>
          </w:tcPr>
          <w:p>
            <w:pPr>
              <w:keepNext/>
            </w:pPr>
            <w:r/>
            <w:r>
              <w:rPr>
                <w:sz w:val="19"/>
              </w:rPr>
              <w:t>Packaging material (one day of cartons, film, labels)</w:t>
            </w:r>
          </w:p>
        </w:tc>
        <w:tc>
          <w:tcPr>
            <w:tcW w:type="dxa" w:w="1134"/>
          </w:tcPr>
          <w:p>
            <w:pPr>
              <w:keepNext/>
              <w:jc w:val="right"/>
            </w:pPr>
            <w:r/>
            <w:r>
              <w:rPr>
                <w:sz w:val="19"/>
              </w:rPr>
              <w:t>40</w:t>
            </w:r>
          </w:p>
        </w:tc>
      </w:tr>
      <w:tr>
        <w:trPr>
          <w:cantSplit/>
        </w:trPr>
        <w:tc>
          <w:tcPr>
            <w:tcW w:type="dxa" w:w="6803"/>
          </w:tcPr>
          <w:p>
            <w:pPr>
              <w:keepNext/>
            </w:pPr>
            <w:r/>
            <w:r>
              <w:rPr>
                <w:sz w:val="19"/>
              </w:rPr>
              <w:t>Small-parts bin shelving (188 bays, incl. aisles)</w:t>
            </w:r>
          </w:p>
        </w:tc>
        <w:tc>
          <w:tcPr>
            <w:tcW w:type="dxa" w:w="1134"/>
          </w:tcPr>
          <w:p>
            <w:pPr>
              <w:keepNext/>
              <w:jc w:val="right"/>
            </w:pPr>
            <w:r/>
            <w:r>
              <w:rPr>
                <w:sz w:val="19"/>
              </w:rPr>
              <w:t>207</w:t>
            </w:r>
          </w:p>
        </w:tc>
      </w:tr>
      <w:tr>
        <w:trPr>
          <w:cantSplit/>
        </w:trPr>
        <w:tc>
          <w:tcPr>
            <w:tcW w:type="dxa" w:w="6803"/>
          </w:tcPr>
          <w:p>
            <w:pPr>
              <w:keepNext/>
            </w:pPr>
            <w:r/>
            <w:r>
              <w:rPr>
                <w:sz w:val="19"/>
              </w:rPr>
              <w:t>Total incl. 30% walkways (shelving already incl. aisles)</w:t>
            </w:r>
          </w:p>
        </w:tc>
        <w:tc>
          <w:tcPr>
            <w:tcW w:type="dxa" w:w="1134"/>
          </w:tcPr>
          <w:p>
            <w:pPr>
              <w:keepNext/>
              <w:jc w:val="right"/>
            </w:pPr>
            <w:r/>
            <w:r>
              <w:rPr>
                <w:sz w:val="19"/>
              </w:rPr>
              <w:t>423</w:t>
            </w:r>
          </w:p>
        </w:tc>
      </w:tr>
      <w:tr>
        <w:trPr>
          <w:cantSplit/>
        </w:trPr>
        <w:tc>
          <w:tcPr>
            <w:tcW w:type="dxa" w:w="6803"/>
          </w:tcPr>
          <w:p>
            <w:r/>
            <w:r>
              <w:rPr>
                <w:sz w:val="19"/>
              </w:rPr>
              <w:t>Planned</w:t>
            </w:r>
          </w:p>
        </w:tc>
        <w:tc>
          <w:tcPr>
            <w:tcW w:type="dxa" w:w="1134"/>
          </w:tcPr>
          <w:p>
            <w:pPr>
              <w:jc w:val="right"/>
            </w:pPr>
            <w:r/>
            <w:r>
              <w:rPr>
                <w:sz w:val="19"/>
              </w:rPr>
              <w:t>450</w:t>
            </w:r>
          </w:p>
        </w:tc>
      </w:tr>
    </w:tbl>
    <w:p>
      <w:pPr>
        <w:spacing w:after="40"/>
      </w:pPr>
    </w:p>
    <w:p>
      <w:pPr>
        <w:pStyle w:val="Heading1"/>
      </w:pPr>
      <w:r>
        <w:t>6. Capacity plan — labour &amp; equipment</w:t>
      </w:r>
    </w:p>
    <w:p>
      <w:pPr>
        <w:pStyle w:val="Heading2"/>
      </w:pPr>
      <w:r>
        <w:t>6.1 Labour</w:t>
      </w:r>
    </w:p>
    <w:p>
      <w:pPr>
        <w:spacing w:after="120"/>
      </w:pPr>
      <w:r>
        <w:rPr>
          <w:b w:val="0"/>
          <w:i w:val="0"/>
          <w:color w:val="222222"/>
          <w:sz w:val="21"/>
        </w:rPr>
        <w:t>Workload drivers are measured: inbound ~99 loads/day, outbound 18 pallets + 225 cartons/day, 483 each lines and 151 case lines/day, replenishment ~24 pallets/day. Picking hours come from the pick-time model in Section 6.2; other rates are benchmarks (A014). Unpacking loose containers is shown on its own line and not counted in the DHL FTE below, because it can be done by a DHL crew or a contractor (A026, costed in Deliverable 3).</w:t>
      </w:r>
    </w:p>
    <w:tbl>
      <w:tblPr>
        <w:tblStyle w:val="LightGrid-Accent1"/>
        <w:tblW w:type="auto" w:w="0"/>
        <w:jc w:val="center"/>
        <w:tblLayout w:type="fixed"/>
        <w:tblLook w:firstColumn="1" w:firstRow="1" w:lastColumn="0" w:lastRow="0" w:noHBand="0" w:noVBand="1" w:val="04A0"/>
      </w:tblPr>
      <w:tblGrid>
        <w:gridCol w:w="3969"/>
        <w:gridCol w:w="1134"/>
        <w:gridCol w:w="1134"/>
        <w:gridCol w:w="1361"/>
        <w:gridCol w:w="1361"/>
      </w:tblGrid>
      <w:tr>
        <w:trPr>
          <w:cantSplit/>
        </w:trPr>
        <w:tc>
          <w:tcPr>
            <w:tcW w:type="dxa" w:w="3969"/>
          </w:tcPr>
          <w:p>
            <w:pPr>
              <w:keepNext/>
            </w:pPr>
            <w:r/>
            <w:r>
              <w:rPr>
                <w:b/>
                <w:sz w:val="19"/>
              </w:rPr>
              <w:t>Process</w:t>
            </w:r>
          </w:p>
        </w:tc>
        <w:tc>
          <w:tcPr>
            <w:tcW w:type="dxa" w:w="1134"/>
          </w:tcPr>
          <w:p>
            <w:pPr>
              <w:keepNext/>
            </w:pPr>
            <w:r/>
            <w:r>
              <w:rPr>
                <w:b/>
                <w:sz w:val="19"/>
              </w:rPr>
              <w:t>Rate / h</w:t>
            </w:r>
          </w:p>
        </w:tc>
        <w:tc>
          <w:tcPr>
            <w:tcW w:type="dxa" w:w="1134"/>
          </w:tcPr>
          <w:p>
            <w:pPr>
              <w:keepNext/>
            </w:pPr>
            <w:r/>
            <w:r>
              <w:rPr>
                <w:b/>
                <w:sz w:val="19"/>
              </w:rPr>
              <w:t>Peak ×</w:t>
            </w:r>
          </w:p>
        </w:tc>
        <w:tc>
          <w:tcPr>
            <w:tcW w:type="dxa" w:w="1361"/>
          </w:tcPr>
          <w:p>
            <w:pPr>
              <w:keepNext/>
            </w:pPr>
            <w:r/>
            <w:r>
              <w:rPr>
                <w:b/>
                <w:sz w:val="19"/>
              </w:rPr>
              <w:t>FTE avg</w:t>
            </w:r>
          </w:p>
        </w:tc>
        <w:tc>
          <w:tcPr>
            <w:tcW w:type="dxa" w:w="1361"/>
          </w:tcPr>
          <w:p>
            <w:pPr>
              <w:keepNext/>
            </w:pPr>
            <w:r/>
            <w:r>
              <w:rPr>
                <w:b/>
                <w:sz w:val="19"/>
              </w:rPr>
              <w:t>FTE peak</w:t>
            </w:r>
          </w:p>
        </w:tc>
      </w:tr>
      <w:tr>
        <w:trPr>
          <w:cantSplit/>
        </w:trPr>
        <w:tc>
          <w:tcPr>
            <w:tcW w:type="dxa" w:w="3969"/>
          </w:tcPr>
          <w:p>
            <w:pPr>
              <w:keepNext/>
            </w:pPr>
            <w:r/>
            <w:r>
              <w:rPr>
                <w:sz w:val="19"/>
              </w:rPr>
              <w:t>Receiving - palletised (unload+check)</w:t>
            </w:r>
          </w:p>
        </w:tc>
        <w:tc>
          <w:tcPr>
            <w:tcW w:type="dxa" w:w="1134"/>
          </w:tcPr>
          <w:p>
            <w:pPr>
              <w:keepNext/>
              <w:jc w:val="right"/>
            </w:pPr>
            <w:r/>
            <w:r>
              <w:rPr>
                <w:sz w:val="19"/>
              </w:rPr>
              <w:t>25</w:t>
            </w:r>
          </w:p>
        </w:tc>
        <w:tc>
          <w:tcPr>
            <w:tcW w:type="dxa" w:w="1134"/>
          </w:tcPr>
          <w:p>
            <w:pPr>
              <w:keepNext/>
              <w:jc w:val="right"/>
            </w:pPr>
            <w:r/>
            <w:r>
              <w:rPr>
                <w:sz w:val="19"/>
              </w:rPr>
              <w:t>1.69</w:t>
            </w:r>
          </w:p>
        </w:tc>
        <w:tc>
          <w:tcPr>
            <w:tcW w:type="dxa" w:w="1361"/>
          </w:tcPr>
          <w:p>
            <w:pPr>
              <w:keepNext/>
              <w:jc w:val="right"/>
            </w:pPr>
            <w:r/>
            <w:r>
              <w:rPr>
                <w:sz w:val="19"/>
              </w:rPr>
              <w:t>0.31</w:t>
            </w:r>
          </w:p>
        </w:tc>
        <w:tc>
          <w:tcPr>
            <w:tcW w:type="dxa" w:w="1361"/>
          </w:tcPr>
          <w:p>
            <w:pPr>
              <w:keepNext/>
              <w:jc w:val="right"/>
            </w:pPr>
            <w:r/>
            <w:r>
              <w:rPr>
                <w:sz w:val="19"/>
              </w:rPr>
              <w:t>0.52</w:t>
            </w:r>
          </w:p>
        </w:tc>
      </w:tr>
      <w:tr>
        <w:trPr>
          <w:cantSplit/>
        </w:trPr>
        <w:tc>
          <w:tcPr>
            <w:tcW w:type="dxa" w:w="3969"/>
          </w:tcPr>
          <w:p>
            <w:pPr>
              <w:keepNext/>
            </w:pPr>
            <w:r/>
            <w:r>
              <w:rPr>
                <w:sz w:val="19"/>
              </w:rPr>
              <w:t>Loose-container unpacking (own zone, A026)</w:t>
            </w:r>
          </w:p>
        </w:tc>
        <w:tc>
          <w:tcPr>
            <w:tcW w:type="dxa" w:w="1134"/>
          </w:tcPr>
          <w:p>
            <w:pPr>
              <w:keepNext/>
              <w:jc w:val="right"/>
            </w:pPr>
            <w:r/>
            <w:r>
              <w:rPr>
                <w:sz w:val="19"/>
              </w:rPr>
              <w:t>-</w:t>
            </w:r>
          </w:p>
        </w:tc>
        <w:tc>
          <w:tcPr>
            <w:tcW w:type="dxa" w:w="1134"/>
          </w:tcPr>
          <w:p>
            <w:pPr>
              <w:keepNext/>
              <w:jc w:val="right"/>
            </w:pPr>
            <w:r/>
            <w:r>
              <w:rPr>
                <w:sz w:val="19"/>
              </w:rPr>
              <w:t>2.0</w:t>
            </w:r>
          </w:p>
        </w:tc>
        <w:tc>
          <w:tcPr>
            <w:tcW w:type="dxa" w:w="1361"/>
          </w:tcPr>
          <w:p>
            <w:pPr>
              <w:keepNext/>
              <w:jc w:val="right"/>
            </w:pPr>
            <w:r/>
            <w:r>
              <w:rPr>
                <w:sz w:val="19"/>
              </w:rPr>
              <w:t>0.80</w:t>
            </w:r>
          </w:p>
        </w:tc>
        <w:tc>
          <w:tcPr>
            <w:tcW w:type="dxa" w:w="1361"/>
          </w:tcPr>
          <w:p>
            <w:pPr>
              <w:keepNext/>
              <w:jc w:val="right"/>
            </w:pPr>
            <w:r/>
            <w:r>
              <w:rPr>
                <w:sz w:val="19"/>
              </w:rPr>
              <w:t>1.60</w:t>
            </w:r>
          </w:p>
        </w:tc>
      </w:tr>
      <w:tr>
        <w:trPr>
          <w:cantSplit/>
        </w:trPr>
        <w:tc>
          <w:tcPr>
            <w:tcW w:type="dxa" w:w="3969"/>
          </w:tcPr>
          <w:p>
            <w:pPr>
              <w:keepNext/>
            </w:pPr>
            <w:r/>
            <w:r>
              <w:rPr>
                <w:sz w:val="19"/>
              </w:rPr>
              <w:t>Putaway (reach truck)</w:t>
            </w:r>
          </w:p>
        </w:tc>
        <w:tc>
          <w:tcPr>
            <w:tcW w:type="dxa" w:w="1134"/>
          </w:tcPr>
          <w:p>
            <w:pPr>
              <w:keepNext/>
              <w:jc w:val="right"/>
            </w:pPr>
            <w:r/>
            <w:r>
              <w:rPr>
                <w:sz w:val="19"/>
              </w:rPr>
              <w:t>20</w:t>
            </w:r>
          </w:p>
        </w:tc>
        <w:tc>
          <w:tcPr>
            <w:tcW w:type="dxa" w:w="1134"/>
          </w:tcPr>
          <w:p>
            <w:pPr>
              <w:keepNext/>
              <w:jc w:val="right"/>
            </w:pPr>
            <w:r/>
            <w:r>
              <w:rPr>
                <w:sz w:val="19"/>
              </w:rPr>
              <w:t>1.69</w:t>
            </w:r>
          </w:p>
        </w:tc>
        <w:tc>
          <w:tcPr>
            <w:tcW w:type="dxa" w:w="1361"/>
          </w:tcPr>
          <w:p>
            <w:pPr>
              <w:keepNext/>
              <w:jc w:val="right"/>
            </w:pPr>
            <w:r/>
            <w:r>
              <w:rPr>
                <w:sz w:val="19"/>
              </w:rPr>
              <w:t>0.66</w:t>
            </w:r>
          </w:p>
        </w:tc>
        <w:tc>
          <w:tcPr>
            <w:tcW w:type="dxa" w:w="1361"/>
          </w:tcPr>
          <w:p>
            <w:pPr>
              <w:keepNext/>
              <w:jc w:val="right"/>
            </w:pPr>
            <w:r/>
            <w:r>
              <w:rPr>
                <w:sz w:val="19"/>
              </w:rPr>
              <w:t>1.11</w:t>
            </w:r>
          </w:p>
        </w:tc>
      </w:tr>
      <w:tr>
        <w:trPr>
          <w:cantSplit/>
        </w:trPr>
        <w:tc>
          <w:tcPr>
            <w:tcW w:type="dxa" w:w="3969"/>
          </w:tcPr>
          <w:p>
            <w:pPr>
              <w:keepNext/>
            </w:pPr>
            <w:r/>
            <w:r>
              <w:rPr>
                <w:sz w:val="19"/>
              </w:rPr>
              <w:t>Replenishment (reach truck)</w:t>
            </w:r>
          </w:p>
        </w:tc>
        <w:tc>
          <w:tcPr>
            <w:tcW w:type="dxa" w:w="1134"/>
          </w:tcPr>
          <w:p>
            <w:pPr>
              <w:keepNext/>
              <w:jc w:val="right"/>
            </w:pPr>
            <w:r/>
            <w:r>
              <w:rPr>
                <w:sz w:val="19"/>
              </w:rPr>
              <w:t>18</w:t>
            </w:r>
          </w:p>
        </w:tc>
        <w:tc>
          <w:tcPr>
            <w:tcW w:type="dxa" w:w="1134"/>
          </w:tcPr>
          <w:p>
            <w:pPr>
              <w:keepNext/>
              <w:jc w:val="right"/>
            </w:pPr>
            <w:r/>
            <w:r>
              <w:rPr>
                <w:sz w:val="19"/>
              </w:rPr>
              <w:t>2.85</w:t>
            </w:r>
          </w:p>
        </w:tc>
        <w:tc>
          <w:tcPr>
            <w:tcW w:type="dxa" w:w="1361"/>
          </w:tcPr>
          <w:p>
            <w:pPr>
              <w:keepNext/>
              <w:jc w:val="right"/>
            </w:pPr>
            <w:r/>
            <w:r>
              <w:rPr>
                <w:sz w:val="19"/>
              </w:rPr>
              <w:t>0.18</w:t>
            </w:r>
          </w:p>
        </w:tc>
        <w:tc>
          <w:tcPr>
            <w:tcW w:type="dxa" w:w="1361"/>
          </w:tcPr>
          <w:p>
            <w:pPr>
              <w:keepNext/>
              <w:jc w:val="right"/>
            </w:pPr>
            <w:r/>
            <w:r>
              <w:rPr>
                <w:sz w:val="19"/>
              </w:rPr>
              <w:t>0.51</w:t>
            </w:r>
          </w:p>
        </w:tc>
      </w:tr>
      <w:tr>
        <w:trPr>
          <w:cantSplit/>
        </w:trPr>
        <w:tc>
          <w:tcPr>
            <w:tcW w:type="dxa" w:w="3969"/>
          </w:tcPr>
          <w:p>
            <w:pPr>
              <w:keepNext/>
            </w:pPr>
            <w:r/>
            <w:r>
              <w:rPr>
                <w:sz w:val="19"/>
              </w:rPr>
              <w:t>Picking - small orders (trolley, batch)</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0.39</w:t>
            </w:r>
          </w:p>
        </w:tc>
        <w:tc>
          <w:tcPr>
            <w:tcW w:type="dxa" w:w="1361"/>
          </w:tcPr>
          <w:p>
            <w:pPr>
              <w:keepNext/>
              <w:jc w:val="right"/>
            </w:pPr>
            <w:r/>
            <w:r>
              <w:rPr>
                <w:sz w:val="19"/>
              </w:rPr>
              <w:t>0.71</w:t>
            </w:r>
          </w:p>
        </w:tc>
      </w:tr>
      <w:tr>
        <w:trPr>
          <w:cantSplit/>
        </w:trPr>
        <w:tc>
          <w:tcPr>
            <w:tcW w:type="dxa" w:w="3969"/>
          </w:tcPr>
          <w:p>
            <w:pPr>
              <w:keepNext/>
            </w:pPr>
            <w:r/>
            <w:r>
              <w:rPr>
                <w:sz w:val="19"/>
              </w:rPr>
              <w:t>Picking - large orders (EJE, to pallet)</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0.92</w:t>
            </w:r>
          </w:p>
        </w:tc>
        <w:tc>
          <w:tcPr>
            <w:tcW w:type="dxa" w:w="1361"/>
          </w:tcPr>
          <w:p>
            <w:pPr>
              <w:keepNext/>
              <w:jc w:val="right"/>
            </w:pPr>
            <w:r/>
            <w:r>
              <w:rPr>
                <w:sz w:val="19"/>
              </w:rPr>
              <w:t>1.69</w:t>
            </w:r>
          </w:p>
        </w:tc>
      </w:tr>
      <w:tr>
        <w:trPr>
          <w:cantSplit/>
        </w:trPr>
        <w:tc>
          <w:tcPr>
            <w:tcW w:type="dxa" w:w="3969"/>
          </w:tcPr>
          <w:p>
            <w:pPr>
              <w:keepNext/>
            </w:pPr>
            <w:r/>
            <w:r>
              <w:rPr>
                <w:sz w:val="19"/>
              </w:rPr>
              <w:t>Picking - small parts (bin shelving)</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0.25</w:t>
            </w:r>
          </w:p>
        </w:tc>
        <w:tc>
          <w:tcPr>
            <w:tcW w:type="dxa" w:w="1361"/>
          </w:tcPr>
          <w:p>
            <w:pPr>
              <w:keepNext/>
              <w:jc w:val="right"/>
            </w:pPr>
            <w:r/>
            <w:r>
              <w:rPr>
                <w:sz w:val="19"/>
              </w:rPr>
              <w:t>0.46</w:t>
            </w:r>
          </w:p>
        </w:tc>
      </w:tr>
      <w:tr>
        <w:trPr>
          <w:cantSplit/>
        </w:trPr>
        <w:tc>
          <w:tcPr>
            <w:tcW w:type="dxa" w:w="3969"/>
          </w:tcPr>
          <w:p>
            <w:pPr>
              <w:keepNext/>
            </w:pPr>
            <w:r/>
            <w:r>
              <w:rPr>
                <w:sz w:val="19"/>
              </w:rPr>
              <w:t>Full-pallet picking (reach truck)</w:t>
            </w:r>
          </w:p>
        </w:tc>
        <w:tc>
          <w:tcPr>
            <w:tcW w:type="dxa" w:w="1134"/>
          </w:tcPr>
          <w:p>
            <w:pPr>
              <w:keepNext/>
              <w:jc w:val="right"/>
            </w:pPr>
            <w:r/>
            <w:r>
              <w:rPr>
                <w:sz w:val="19"/>
              </w:rPr>
              <w:t>22</w:t>
            </w:r>
          </w:p>
        </w:tc>
        <w:tc>
          <w:tcPr>
            <w:tcW w:type="dxa" w:w="1134"/>
          </w:tcPr>
          <w:p>
            <w:pPr>
              <w:keepNext/>
              <w:jc w:val="right"/>
            </w:pPr>
            <w:r/>
            <w:r>
              <w:rPr>
                <w:sz w:val="19"/>
              </w:rPr>
              <w:t>1.83</w:t>
            </w:r>
          </w:p>
        </w:tc>
        <w:tc>
          <w:tcPr>
            <w:tcW w:type="dxa" w:w="1361"/>
          </w:tcPr>
          <w:p>
            <w:pPr>
              <w:keepNext/>
              <w:jc w:val="right"/>
            </w:pPr>
            <w:r/>
            <w:r>
              <w:rPr>
                <w:sz w:val="19"/>
              </w:rPr>
              <w:t>0.04</w:t>
            </w:r>
          </w:p>
        </w:tc>
        <w:tc>
          <w:tcPr>
            <w:tcW w:type="dxa" w:w="1361"/>
          </w:tcPr>
          <w:p>
            <w:pPr>
              <w:keepNext/>
              <w:jc w:val="right"/>
            </w:pPr>
            <w:r/>
            <w:r>
              <w:rPr>
                <w:sz w:val="19"/>
              </w:rPr>
              <w:t>0.07</w:t>
            </w:r>
          </w:p>
        </w:tc>
      </w:tr>
      <w:tr>
        <w:trPr>
          <w:cantSplit/>
        </w:trPr>
        <w:tc>
          <w:tcPr>
            <w:tcW w:type="dxa" w:w="3969"/>
          </w:tcPr>
          <w:p>
            <w:pPr>
              <w:keepNext/>
            </w:pPr>
            <w:r/>
            <w:r>
              <w:rPr>
                <w:sz w:val="19"/>
              </w:rPr>
              <w:t>Packing / consolidation</w:t>
            </w:r>
          </w:p>
        </w:tc>
        <w:tc>
          <w:tcPr>
            <w:tcW w:type="dxa" w:w="1134"/>
          </w:tcPr>
          <w:p>
            <w:pPr>
              <w:keepNext/>
              <w:jc w:val="right"/>
            </w:pPr>
            <w:r/>
            <w:r>
              <w:rPr>
                <w:sz w:val="19"/>
              </w:rPr>
              <w:t>45</w:t>
            </w:r>
          </w:p>
        </w:tc>
        <w:tc>
          <w:tcPr>
            <w:tcW w:type="dxa" w:w="1134"/>
          </w:tcPr>
          <w:p>
            <w:pPr>
              <w:keepNext/>
              <w:jc w:val="right"/>
            </w:pPr>
            <w:r/>
            <w:r>
              <w:rPr>
                <w:sz w:val="19"/>
              </w:rPr>
              <w:t>1.83</w:t>
            </w:r>
          </w:p>
        </w:tc>
        <w:tc>
          <w:tcPr>
            <w:tcW w:type="dxa" w:w="1361"/>
          </w:tcPr>
          <w:p>
            <w:pPr>
              <w:keepNext/>
              <w:jc w:val="right"/>
            </w:pPr>
            <w:r/>
            <w:r>
              <w:rPr>
                <w:sz w:val="19"/>
              </w:rPr>
              <w:t>1.88</w:t>
            </w:r>
          </w:p>
        </w:tc>
        <w:tc>
          <w:tcPr>
            <w:tcW w:type="dxa" w:w="1361"/>
          </w:tcPr>
          <w:p>
            <w:pPr>
              <w:keepNext/>
              <w:jc w:val="right"/>
            </w:pPr>
            <w:r/>
            <w:r>
              <w:rPr>
                <w:sz w:val="19"/>
              </w:rPr>
              <w:t>3.44</w:t>
            </w:r>
          </w:p>
        </w:tc>
      </w:tr>
      <w:tr>
        <w:trPr>
          <w:cantSplit/>
        </w:trPr>
        <w:tc>
          <w:tcPr>
            <w:tcW w:type="dxa" w:w="3969"/>
          </w:tcPr>
          <w:p>
            <w:r/>
            <w:r>
              <w:rPr>
                <w:sz w:val="19"/>
              </w:rPr>
              <w:t>Shipping / loading</w:t>
            </w:r>
          </w:p>
        </w:tc>
        <w:tc>
          <w:tcPr>
            <w:tcW w:type="dxa" w:w="1134"/>
          </w:tcPr>
          <w:p>
            <w:pPr>
              <w:jc w:val="right"/>
            </w:pPr>
            <w:r/>
            <w:r>
              <w:rPr>
                <w:sz w:val="19"/>
              </w:rPr>
              <w:t>30</w:t>
            </w:r>
          </w:p>
        </w:tc>
        <w:tc>
          <w:tcPr>
            <w:tcW w:type="dxa" w:w="1134"/>
          </w:tcPr>
          <w:p>
            <w:pPr>
              <w:jc w:val="right"/>
            </w:pPr>
            <w:r/>
            <w:r>
              <w:rPr>
                <w:sz w:val="19"/>
              </w:rPr>
              <w:t>2.85</w:t>
            </w:r>
          </w:p>
        </w:tc>
        <w:tc>
          <w:tcPr>
            <w:tcW w:type="dxa" w:w="1361"/>
          </w:tcPr>
          <w:p>
            <w:pPr>
              <w:jc w:val="right"/>
            </w:pPr>
            <w:r/>
            <w:r>
              <w:rPr>
                <w:sz w:val="19"/>
              </w:rPr>
              <w:t>0.08</w:t>
            </w:r>
          </w:p>
        </w:tc>
        <w:tc>
          <w:tcPr>
            <w:tcW w:type="dxa" w:w="1361"/>
          </w:tcPr>
          <w:p>
            <w:pPr>
              <w:jc w:val="right"/>
            </w:pPr>
            <w:r/>
            <w:r>
              <w:rPr>
                <w:sz w:val="19"/>
              </w:rPr>
              <w:t>0.22</w:t>
            </w:r>
          </w:p>
        </w:tc>
      </w:tr>
    </w:tbl>
    <w:p>
      <w:pPr>
        <w:spacing w:after="40"/>
      </w:pPr>
    </w:p>
    <w:p>
      <w:pPr>
        <w:spacing w:after="80"/>
      </w:pPr>
      <w:r>
        <w:rPr>
          <w:b/>
          <w:i w:val="0"/>
          <w:color w:val="222222"/>
          <w:sz w:val="21"/>
        </w:rPr>
        <w:t>Direct DHL labour ≈ 4.7 FTE on an average day and 8.7 FTE on the peak day</w:t>
      </w:r>
      <w:r>
        <w:rPr>
          <w:b/>
          <w:i w:val="0"/>
          <w:color w:val="222222"/>
          <w:sz w:val="21"/>
        </w:rPr>
        <w:t xml:space="preserve"> (single shift, 7.5 productive hours; loose-container unpacking excluded). Cross-training covers the peak; supervision and admin come on top.</w:t>
      </w:r>
    </w:p>
    <w:p>
      <w:pPr>
        <w:jc w:val="center"/>
      </w:pPr>
      <w:r>
        <w:drawing>
          <wp:inline xmlns:a="http://schemas.openxmlformats.org/drawingml/2006/main" xmlns:pic="http://schemas.openxmlformats.org/drawingml/2006/picture">
            <wp:extent cx="5040000" cy="2208272"/>
            <wp:docPr id="15" name="Picture 15"/>
            <wp:cNvGraphicFramePr>
              <a:graphicFrameLocks noChangeAspect="1"/>
            </wp:cNvGraphicFramePr>
            <a:graphic>
              <a:graphicData uri="http://schemas.openxmlformats.org/drawingml/2006/picture">
                <pic:pic>
                  <pic:nvPicPr>
                    <pic:cNvPr id="0" name="capacity_plan_fte.png"/>
                    <pic:cNvPicPr/>
                  </pic:nvPicPr>
                  <pic:blipFill>
                    <a:blip r:embed="rId23"/>
                    <a:stretch>
                      <a:fillRect/>
                    </a:stretch>
                  </pic:blipFill>
                  <pic:spPr>
                    <a:xfrm>
                      <a:off x="0" y="0"/>
                      <a:ext cx="5040000" cy="2208272"/>
                    </a:xfrm>
                    <a:prstGeom prst="rect"/>
                  </pic:spPr>
                </pic:pic>
              </a:graphicData>
            </a:graphic>
          </wp:inline>
        </w:drawing>
      </w:r>
    </w:p>
    <w:p>
      <w:pPr>
        <w:spacing w:after="200"/>
        <w:jc w:val="center"/>
      </w:pPr>
      <w:r>
        <w:rPr>
          <w:b w:val="0"/>
          <w:i/>
          <w:color w:val="666666"/>
          <w:sz w:val="17"/>
        </w:rPr>
        <w:t>Fig 14. Labour requirement by process (average vs peak day).</w:t>
      </w:r>
    </w:p>
    <w:p>
      <w:pPr>
        <w:pStyle w:val="Heading2"/>
      </w:pPr>
      <w:r>
        <w:t>6.2 Picking — how many people, how efficient</w:t>
      </w:r>
    </w:p>
    <w:p>
      <w:pPr>
        <w:spacing w:after="120"/>
      </w:pPr>
      <w:r>
        <w:rPr>
          <w:b w:val="0"/>
          <w:i w:val="0"/>
          <w:color w:val="222222"/>
          <w:sz w:val="21"/>
        </w:rPr>
        <w:t>The picking method is matched to the demand profile — small, light orders with a few lines, plus a minority of pallet-sized orders — using the standard order-picking choices: picker-to-parts, low-level picking, batching and zoning (S014). Pick times are modelled on the Option B layout: walking (return route in the fast-pick area; in the reserve aisles the best of the four W3 routing policies, which is largest gap) + picking + setup, with a 10% delay allowance (A025).</w:t>
      </w:r>
    </w:p>
    <w:p>
      <w:pPr>
        <w:jc w:val="center"/>
      </w:pPr>
      <w:r>
        <w:drawing>
          <wp:inline xmlns:a="http://schemas.openxmlformats.org/drawingml/2006/main" xmlns:pic="http://schemas.openxmlformats.org/drawingml/2006/picture">
            <wp:extent cx="5040000" cy="2437689"/>
            <wp:docPr id="16" name="Picture 16"/>
            <wp:cNvGraphicFramePr>
              <a:graphicFrameLocks noChangeAspect="1"/>
            </wp:cNvGraphicFramePr>
            <a:graphic>
              <a:graphicData uri="http://schemas.openxmlformats.org/drawingml/2006/picture">
                <pic:pic>
                  <pic:nvPicPr>
                    <pic:cNvPr id="0" name="picking_order_volume.png"/>
                    <pic:cNvPicPr/>
                  </pic:nvPicPr>
                  <pic:blipFill>
                    <a:blip r:embed="rId24"/>
                    <a:stretch>
                      <a:fillRect/>
                    </a:stretch>
                  </pic:blipFill>
                  <pic:spPr>
                    <a:xfrm>
                      <a:off x="0" y="0"/>
                      <a:ext cx="5040000" cy="2437689"/>
                    </a:xfrm>
                    <a:prstGeom prst="rect"/>
                  </pic:spPr>
                </pic:pic>
              </a:graphicData>
            </a:graphic>
          </wp:inline>
        </w:drawing>
      </w:r>
    </w:p>
    <w:p>
      <w:pPr>
        <w:spacing w:after="200"/>
        <w:jc w:val="center"/>
      </w:pPr>
      <w:r>
        <w:rPr>
          <w:b w:val="0"/>
          <w:i/>
          <w:color w:val="666666"/>
          <w:sz w:val="17"/>
        </w:rPr>
        <w:t>Fig 15. Share of orders that fit each carrier: one tote, four totes, one pallet, two pallets (240×80).</w:t>
      </w:r>
    </w:p>
    <w:tbl>
      <w:tblPr>
        <w:tblStyle w:val="LightGrid-Accent1"/>
        <w:tblW w:type="auto" w:w="0"/>
        <w:jc w:val="center"/>
        <w:tblLayout w:type="fixed"/>
        <w:tblLook w:firstColumn="1" w:firstRow="1" w:lastColumn="0" w:lastRow="0" w:noHBand="0" w:noVBand="1" w:val="04A0"/>
      </w:tblPr>
      <w:tblGrid>
        <w:gridCol w:w="1701"/>
        <w:gridCol w:w="1474"/>
        <w:gridCol w:w="1474"/>
        <w:gridCol w:w="1361"/>
        <w:gridCol w:w="1361"/>
        <w:gridCol w:w="1361"/>
      </w:tblGrid>
      <w:tr>
        <w:trPr>
          <w:cantSplit/>
        </w:trPr>
        <w:tc>
          <w:tcPr>
            <w:tcW w:type="dxa" w:w="1701"/>
          </w:tcPr>
          <w:p>
            <w:pPr>
              <w:keepNext/>
            </w:pPr>
            <w:r/>
            <w:r>
              <w:rPr>
                <w:b/>
                <w:sz w:val="19"/>
              </w:rPr>
              <w:t>Segment</w:t>
            </w:r>
          </w:p>
        </w:tc>
        <w:tc>
          <w:tcPr>
            <w:tcW w:type="dxa" w:w="1474"/>
          </w:tcPr>
          <w:p>
            <w:pPr>
              <w:keepNext/>
            </w:pPr>
            <w:r/>
            <w:r>
              <w:rPr>
                <w:b/>
                <w:sz w:val="19"/>
              </w:rPr>
              <w:t>Orders / day</w:t>
            </w:r>
          </w:p>
        </w:tc>
        <w:tc>
          <w:tcPr>
            <w:tcW w:type="dxa" w:w="1474"/>
          </w:tcPr>
          <w:p>
            <w:pPr>
              <w:keepNext/>
            </w:pPr>
            <w:r/>
            <w:r>
              <w:rPr>
                <w:b/>
                <w:sz w:val="19"/>
              </w:rPr>
              <w:t>Lines / day</w:t>
            </w:r>
          </w:p>
        </w:tc>
        <w:tc>
          <w:tcPr>
            <w:tcW w:type="dxa" w:w="1361"/>
          </w:tcPr>
          <w:p>
            <w:pPr>
              <w:keepNext/>
            </w:pPr>
            <w:r/>
            <w:r>
              <w:rPr>
                <w:b/>
                <w:sz w:val="19"/>
              </w:rPr>
              <w:t>% orders</w:t>
            </w:r>
          </w:p>
        </w:tc>
        <w:tc>
          <w:tcPr>
            <w:tcW w:type="dxa" w:w="1361"/>
          </w:tcPr>
          <w:p>
            <w:pPr>
              <w:keepNext/>
            </w:pPr>
            <w:r/>
            <w:r>
              <w:rPr>
                <w:b/>
                <w:sz w:val="19"/>
              </w:rPr>
              <w:t>% lines</w:t>
            </w:r>
          </w:p>
        </w:tc>
        <w:tc>
          <w:tcPr>
            <w:tcW w:type="dxa" w:w="1361"/>
          </w:tcPr>
          <w:p>
            <w:pPr>
              <w:keepNext/>
            </w:pPr>
            <w:r/>
            <w:r>
              <w:rPr>
                <w:b/>
                <w:sz w:val="19"/>
              </w:rPr>
              <w:t>% volume</w:t>
            </w:r>
          </w:p>
        </w:tc>
      </w:tr>
      <w:tr>
        <w:trPr>
          <w:cantSplit/>
        </w:trPr>
        <w:tc>
          <w:tcPr>
            <w:tcW w:type="dxa" w:w="1701"/>
          </w:tcPr>
          <w:p>
            <w:pPr>
              <w:keepNext/>
            </w:pPr>
            <w:r/>
            <w:r>
              <w:rPr>
                <w:sz w:val="19"/>
              </w:rPr>
              <w:t>Large</w:t>
            </w:r>
          </w:p>
        </w:tc>
        <w:tc>
          <w:tcPr>
            <w:tcW w:type="dxa" w:w="1474"/>
          </w:tcPr>
          <w:p>
            <w:pPr>
              <w:keepNext/>
              <w:jc w:val="right"/>
            </w:pPr>
            <w:r/>
            <w:r>
              <w:rPr>
                <w:sz w:val="19"/>
              </w:rPr>
              <w:t>23</w:t>
            </w:r>
          </w:p>
        </w:tc>
        <w:tc>
          <w:tcPr>
            <w:tcW w:type="dxa" w:w="1474"/>
          </w:tcPr>
          <w:p>
            <w:pPr>
              <w:keepNext/>
              <w:jc w:val="right"/>
            </w:pPr>
            <w:r/>
            <w:r>
              <w:rPr>
                <w:sz w:val="19"/>
              </w:rPr>
              <w:t>343</w:t>
            </w:r>
          </w:p>
        </w:tc>
        <w:tc>
          <w:tcPr>
            <w:tcW w:type="dxa" w:w="1361"/>
          </w:tcPr>
          <w:p>
            <w:pPr>
              <w:keepNext/>
              <w:jc w:val="right"/>
            </w:pPr>
            <w:r/>
            <w:r>
              <w:rPr>
                <w:sz w:val="19"/>
              </w:rPr>
              <w:t>16%</w:t>
            </w:r>
          </w:p>
        </w:tc>
        <w:tc>
          <w:tcPr>
            <w:tcW w:type="dxa" w:w="1361"/>
          </w:tcPr>
          <w:p>
            <w:pPr>
              <w:keepNext/>
              <w:jc w:val="right"/>
            </w:pPr>
            <w:r/>
            <w:r>
              <w:rPr>
                <w:sz w:val="19"/>
              </w:rPr>
              <w:t>54%</w:t>
            </w:r>
          </w:p>
        </w:tc>
        <w:tc>
          <w:tcPr>
            <w:tcW w:type="dxa" w:w="1361"/>
          </w:tcPr>
          <w:p>
            <w:pPr>
              <w:keepNext/>
              <w:jc w:val="right"/>
            </w:pPr>
            <w:r/>
            <w:r>
              <w:rPr>
                <w:sz w:val="19"/>
              </w:rPr>
              <w:t>88%</w:t>
            </w:r>
          </w:p>
        </w:tc>
      </w:tr>
      <w:tr>
        <w:trPr>
          <w:cantSplit/>
        </w:trPr>
        <w:tc>
          <w:tcPr>
            <w:tcW w:type="dxa" w:w="1701"/>
          </w:tcPr>
          <w:p>
            <w:r/>
            <w:r>
              <w:rPr>
                <w:sz w:val="19"/>
              </w:rPr>
              <w:t>Small</w:t>
            </w:r>
          </w:p>
        </w:tc>
        <w:tc>
          <w:tcPr>
            <w:tcW w:type="dxa" w:w="1474"/>
          </w:tcPr>
          <w:p>
            <w:pPr>
              <w:jc w:val="right"/>
            </w:pPr>
            <w:r/>
            <w:r>
              <w:rPr>
                <w:sz w:val="19"/>
              </w:rPr>
              <w:t>120</w:t>
            </w:r>
          </w:p>
        </w:tc>
        <w:tc>
          <w:tcPr>
            <w:tcW w:type="dxa" w:w="1474"/>
          </w:tcPr>
          <w:p>
            <w:pPr>
              <w:jc w:val="right"/>
            </w:pPr>
            <w:r/>
            <w:r>
              <w:rPr>
                <w:sz w:val="19"/>
              </w:rPr>
              <w:t>291</w:t>
            </w:r>
          </w:p>
        </w:tc>
        <w:tc>
          <w:tcPr>
            <w:tcW w:type="dxa" w:w="1361"/>
          </w:tcPr>
          <w:p>
            <w:pPr>
              <w:jc w:val="right"/>
            </w:pPr>
            <w:r/>
            <w:r>
              <w:rPr>
                <w:sz w:val="19"/>
              </w:rPr>
              <w:t>84%</w:t>
            </w:r>
          </w:p>
        </w:tc>
        <w:tc>
          <w:tcPr>
            <w:tcW w:type="dxa" w:w="1361"/>
          </w:tcPr>
          <w:p>
            <w:pPr>
              <w:jc w:val="right"/>
            </w:pPr>
            <w:r/>
            <w:r>
              <w:rPr>
                <w:sz w:val="19"/>
              </w:rPr>
              <w:t>46%</w:t>
            </w:r>
          </w:p>
        </w:tc>
        <w:tc>
          <w:tcPr>
            <w:tcW w:type="dxa" w:w="1361"/>
          </w:tcPr>
          <w:p>
            <w:pPr>
              <w:jc w:val="right"/>
            </w:pPr>
            <w:r/>
            <w:r>
              <w:rPr>
                <w:sz w:val="19"/>
              </w:rPr>
              <w:t>12%</w:t>
            </w:r>
          </w:p>
        </w:tc>
      </w:tr>
    </w:tbl>
    <w:p>
      <w:pPr>
        <w:spacing w:after="40"/>
      </w:pPr>
    </w:p>
    <w:tbl>
      <w:tblPr>
        <w:tblStyle w:val="LightGrid-Accent1"/>
        <w:tblW w:type="auto" w:w="0"/>
        <w:jc w:val="center"/>
        <w:tblLayout w:type="fixed"/>
        <w:tblLook w:firstColumn="1" w:firstRow="1" w:lastColumn="0" w:lastRow="0" w:noHBand="0" w:noVBand="1" w:val="04A0"/>
      </w:tblPr>
      <w:tblGrid>
        <w:gridCol w:w="2608"/>
        <w:gridCol w:w="1247"/>
        <w:gridCol w:w="1247"/>
        <w:gridCol w:w="1474"/>
        <w:gridCol w:w="1134"/>
        <w:gridCol w:w="1361"/>
      </w:tblGrid>
      <w:tr>
        <w:trPr>
          <w:cantSplit/>
        </w:trPr>
        <w:tc>
          <w:tcPr>
            <w:tcW w:type="dxa" w:w="2608"/>
          </w:tcPr>
          <w:p>
            <w:pPr>
              <w:keepNext/>
            </w:pPr>
            <w:r/>
            <w:r>
              <w:rPr>
                <w:b/>
                <w:sz w:val="19"/>
              </w:rPr>
              <w:t>Small orders — zone</w:t>
            </w:r>
          </w:p>
        </w:tc>
        <w:tc>
          <w:tcPr>
            <w:tcW w:type="dxa" w:w="1247"/>
          </w:tcPr>
          <w:p>
            <w:pPr>
              <w:keepNext/>
            </w:pPr>
            <w:r/>
            <w:r>
              <w:rPr>
                <w:b/>
                <w:sz w:val="19"/>
              </w:rPr>
              <w:t>Lines / day</w:t>
            </w:r>
          </w:p>
        </w:tc>
        <w:tc>
          <w:tcPr>
            <w:tcW w:type="dxa" w:w="1247"/>
          </w:tcPr>
          <w:p>
            <w:pPr>
              <w:keepNext/>
            </w:pPr>
            <w:r/>
            <w:r>
              <w:rPr>
                <w:b/>
                <w:sz w:val="19"/>
              </w:rPr>
              <w:t>Lines / tour</w:t>
            </w:r>
          </w:p>
        </w:tc>
        <w:tc>
          <w:tcPr>
            <w:tcW w:type="dxa" w:w="1474"/>
          </w:tcPr>
          <w:p>
            <w:pPr>
              <w:keepNext/>
            </w:pPr>
            <w:r/>
            <w:r>
              <w:rPr>
                <w:b/>
                <w:sz w:val="19"/>
              </w:rPr>
              <w:t>Walk / tour (m)</w:t>
            </w:r>
          </w:p>
        </w:tc>
        <w:tc>
          <w:tcPr>
            <w:tcW w:type="dxa" w:w="1134"/>
          </w:tcPr>
          <w:p>
            <w:pPr>
              <w:keepNext/>
            </w:pPr>
            <w:r/>
            <w:r>
              <w:rPr>
                <w:b/>
                <w:sz w:val="19"/>
              </w:rPr>
              <w:t>Lines / h</w:t>
            </w:r>
          </w:p>
        </w:tc>
        <w:tc>
          <w:tcPr>
            <w:tcW w:type="dxa" w:w="1361"/>
          </w:tcPr>
          <w:p>
            <w:pPr>
              <w:keepNext/>
            </w:pPr>
            <w:r/>
            <w:r>
              <w:rPr>
                <w:b/>
                <w:sz w:val="19"/>
              </w:rPr>
              <w:t>Picker-h peak</w:t>
            </w:r>
          </w:p>
        </w:tc>
      </w:tr>
      <w:tr>
        <w:trPr>
          <w:cantSplit/>
        </w:trPr>
        <w:tc>
          <w:tcPr>
            <w:tcW w:type="dxa" w:w="2608"/>
          </w:tcPr>
          <w:p>
            <w:pPr>
              <w:keepNext/>
            </w:pPr>
            <w:r/>
            <w:r>
              <w:rPr>
                <w:sz w:val="19"/>
              </w:rPr>
              <w:t>Fast-pick area (A/B)</w:t>
            </w:r>
          </w:p>
        </w:tc>
        <w:tc>
          <w:tcPr>
            <w:tcW w:type="dxa" w:w="1247"/>
          </w:tcPr>
          <w:p>
            <w:pPr>
              <w:keepNext/>
              <w:jc w:val="right"/>
            </w:pPr>
            <w:r/>
            <w:r>
              <w:rPr>
                <w:sz w:val="19"/>
              </w:rPr>
              <w:t>188</w:t>
            </w:r>
          </w:p>
        </w:tc>
        <w:tc>
          <w:tcPr>
            <w:tcW w:type="dxa" w:w="1247"/>
          </w:tcPr>
          <w:p>
            <w:pPr>
              <w:keepNext/>
              <w:jc w:val="right"/>
            </w:pPr>
            <w:r/>
            <w:r>
              <w:rPr>
                <w:sz w:val="19"/>
              </w:rPr>
              <w:t>31</w:t>
            </w:r>
          </w:p>
        </w:tc>
        <w:tc>
          <w:tcPr>
            <w:tcW w:type="dxa" w:w="1474"/>
          </w:tcPr>
          <w:p>
            <w:pPr>
              <w:keepNext/>
              <w:jc w:val="right"/>
            </w:pPr>
            <w:r/>
            <w:r>
              <w:rPr>
                <w:sz w:val="19"/>
              </w:rPr>
              <w:t>123</w:t>
            </w:r>
          </w:p>
        </w:tc>
        <w:tc>
          <w:tcPr>
            <w:tcW w:type="dxa" w:w="1134"/>
          </w:tcPr>
          <w:p>
            <w:pPr>
              <w:keepNext/>
              <w:jc w:val="right"/>
            </w:pPr>
            <w:r/>
            <w:r>
              <w:rPr>
                <w:sz w:val="19"/>
              </w:rPr>
              <w:t>99</w:t>
            </w:r>
          </w:p>
        </w:tc>
        <w:tc>
          <w:tcPr>
            <w:tcW w:type="dxa" w:w="1361"/>
          </w:tcPr>
          <w:p>
            <w:pPr>
              <w:keepNext/>
              <w:jc w:val="right"/>
            </w:pPr>
            <w:r/>
            <w:r>
              <w:rPr>
                <w:sz w:val="19"/>
              </w:rPr>
              <w:t>3.5</w:t>
            </w:r>
          </w:p>
        </w:tc>
      </w:tr>
      <w:tr>
        <w:trPr>
          <w:cantSplit/>
        </w:trPr>
        <w:tc>
          <w:tcPr>
            <w:tcW w:type="dxa" w:w="2608"/>
          </w:tcPr>
          <w:p>
            <w:r/>
            <w:r>
              <w:rPr>
                <w:sz w:val="19"/>
              </w:rPr>
              <w:t>Reserve low levels (C)</w:t>
            </w:r>
          </w:p>
        </w:tc>
        <w:tc>
          <w:tcPr>
            <w:tcW w:type="dxa" w:w="1247"/>
          </w:tcPr>
          <w:p>
            <w:pPr>
              <w:jc w:val="right"/>
            </w:pPr>
            <w:r/>
            <w:r>
              <w:rPr>
                <w:sz w:val="19"/>
              </w:rPr>
              <w:t>50</w:t>
            </w:r>
          </w:p>
        </w:tc>
        <w:tc>
          <w:tcPr>
            <w:tcW w:type="dxa" w:w="1247"/>
          </w:tcPr>
          <w:p>
            <w:pPr>
              <w:jc w:val="right"/>
            </w:pPr>
            <w:r/>
            <w:r>
              <w:rPr>
                <w:sz w:val="19"/>
              </w:rPr>
              <w:t>16</w:t>
            </w:r>
          </w:p>
        </w:tc>
        <w:tc>
          <w:tcPr>
            <w:tcW w:type="dxa" w:w="1474"/>
          </w:tcPr>
          <w:p>
            <w:pPr>
              <w:jc w:val="right"/>
            </w:pPr>
            <w:r/>
            <w:r>
              <w:rPr>
                <w:sz w:val="19"/>
              </w:rPr>
              <w:t>471</w:t>
            </w:r>
          </w:p>
        </w:tc>
        <w:tc>
          <w:tcPr>
            <w:tcW w:type="dxa" w:w="1134"/>
          </w:tcPr>
          <w:p>
            <w:pPr>
              <w:jc w:val="right"/>
            </w:pPr>
            <w:r/>
            <w:r>
              <w:rPr>
                <w:sz w:val="19"/>
              </w:rPr>
              <w:t>49</w:t>
            </w:r>
          </w:p>
        </w:tc>
        <w:tc>
          <w:tcPr>
            <w:tcW w:type="dxa" w:w="1361"/>
          </w:tcPr>
          <w:p>
            <w:pPr>
              <w:jc w:val="right"/>
            </w:pPr>
            <w:r/>
            <w:r>
              <w:rPr>
                <w:sz w:val="19"/>
              </w:rPr>
              <w:t>1.9</w:t>
            </w:r>
          </w:p>
        </w:tc>
      </w:tr>
    </w:tbl>
    <w:p>
      <w:pPr>
        <w:spacing w:after="40"/>
      </w:pPr>
    </w:p>
    <w:p>
      <w:pPr>
        <w:pStyle w:val="ListBullet"/>
      </w:pPr>
      <w:r>
        <w:rPr>
          <w:b w:val="0"/>
          <w:sz w:val="21"/>
        </w:rPr>
      </w:r>
      <w:r>
        <w:rPr>
          <w:b/>
          <w:sz w:val="21"/>
        </w:rPr>
        <w:t>Large orders (EJE 120i):</w:t>
      </w:r>
      <w:r>
        <w:rPr>
          <w:b w:val="0"/>
          <w:sz w:val="21"/>
        </w:rPr>
        <w:t xml:space="preserve"> 23 orders/day, ~15 lines each (12 in the fast-pick area, 2 in the reserve), ~279 m and ~18 min per order → 44 lines/h.</w:t>
      </w:r>
    </w:p>
    <w:p>
      <w:pPr>
        <w:pStyle w:val="ListBullet"/>
      </w:pPr>
      <w:r>
        <w:rPr>
          <w:b w:val="0"/>
          <w:sz w:val="21"/>
        </w:rPr>
      </w:r>
      <w:r>
        <w:rPr>
          <w:b/>
          <w:sz w:val="21"/>
        </w:rPr>
        <w:t>Picking needs 1.6 FTE on an average day and 2.9 on the peak day.</w:t>
      </w:r>
      <w:r>
        <w:rPr>
          <w:b w:val="0"/>
          <w:sz w:val="21"/>
        </w:rPr>
        <w:t xml:space="preserve"> Trolley batching makes small-order picking about twice as fast as one-order-per-tote picking in the reserve zone.</w:t>
      </w:r>
    </w:p>
    <w:p>
      <w:pPr>
        <w:pStyle w:val="ListBullet"/>
      </w:pPr>
      <w:r>
        <w:rPr>
          <w:b w:val="0"/>
          <w:sz w:val="21"/>
        </w:rPr>
      </w:r>
      <w:r>
        <w:rPr>
          <w:b/>
          <w:sz w:val="21"/>
        </w:rPr>
        <w:t>How the volume per trip is ensured:</w:t>
      </w:r>
      <w:r>
        <w:rPr>
          <w:b w:val="0"/>
          <w:sz w:val="21"/>
        </w:rPr>
        <w:t xml:space="preserve"> each trolley batch is closed at 80% of its volume (240 L) or weight (250 kg), computed from SKU dimensions — so no trip is overloaded and none runs nearly empty.</w:t>
      </w:r>
    </w:p>
    <w:tbl>
      <w:tblPr>
        <w:tblStyle w:val="LightGrid-Accent1"/>
        <w:tblW w:type="auto" w:w="0"/>
        <w:jc w:val="center"/>
        <w:tblLayout w:type="fixed"/>
        <w:tblLook w:firstColumn="1" w:firstRow="1" w:lastColumn="0" w:lastRow="0" w:noHBand="0" w:noVBand="1" w:val="04A0"/>
      </w:tblPr>
      <w:tblGrid>
        <w:gridCol w:w="2381"/>
        <w:gridCol w:w="2494"/>
        <w:gridCol w:w="907"/>
        <w:gridCol w:w="907"/>
        <w:gridCol w:w="2381"/>
      </w:tblGrid>
      <w:tr>
        <w:trPr>
          <w:cantSplit/>
        </w:trPr>
        <w:tc>
          <w:tcPr>
            <w:tcW w:type="dxa" w:w="2381"/>
          </w:tcPr>
          <w:p>
            <w:pPr>
              <w:keepNext/>
            </w:pPr>
            <w:r/>
            <w:r>
              <w:rPr>
                <w:b/>
                <w:sz w:val="19"/>
              </w:rPr>
              <w:t>Item</w:t>
            </w:r>
          </w:p>
        </w:tc>
        <w:tc>
          <w:tcPr>
            <w:tcW w:type="dxa" w:w="2494"/>
          </w:tcPr>
          <w:p>
            <w:pPr>
              <w:keepNext/>
            </w:pPr>
            <w:r/>
            <w:r>
              <w:rPr>
                <w:b/>
                <w:sz w:val="19"/>
              </w:rPr>
              <w:t>Use</w:t>
            </w:r>
          </w:p>
        </w:tc>
        <w:tc>
          <w:tcPr>
            <w:tcW w:type="dxa" w:w="907"/>
          </w:tcPr>
          <w:p>
            <w:pPr>
              <w:keepNext/>
            </w:pPr>
            <w:r/>
            <w:r>
              <w:rPr>
                <w:b/>
                <w:sz w:val="19"/>
              </w:rPr>
              <w:t>Needed</w:t>
            </w:r>
          </w:p>
        </w:tc>
        <w:tc>
          <w:tcPr>
            <w:tcW w:type="dxa" w:w="907"/>
          </w:tcPr>
          <w:p>
            <w:pPr>
              <w:keepNext/>
            </w:pPr>
            <w:r/>
            <w:r>
              <w:rPr>
                <w:b/>
                <w:sz w:val="19"/>
              </w:rPr>
              <w:t>Planned</w:t>
            </w:r>
          </w:p>
        </w:tc>
        <w:tc>
          <w:tcPr>
            <w:tcW w:type="dxa" w:w="2381"/>
          </w:tcPr>
          <w:p>
            <w:pPr>
              <w:keepNext/>
            </w:pPr>
            <w:r/>
            <w:r>
              <w:rPr>
                <w:b/>
                <w:sz w:val="19"/>
              </w:rPr>
              <w:t>Why this number</w:t>
            </w:r>
          </w:p>
        </w:tc>
      </w:tr>
      <w:tr>
        <w:trPr>
          <w:cantSplit/>
        </w:trPr>
        <w:tc>
          <w:tcPr>
            <w:tcW w:type="dxa" w:w="2381"/>
          </w:tcPr>
          <w:p>
            <w:pPr>
              <w:keepNext/>
            </w:pPr>
            <w:r/>
            <w:r>
              <w:rPr>
                <w:sz w:val="19"/>
              </w:rPr>
              <w:t>Pick trolley (3-tier, 6 totes)</w:t>
            </w:r>
          </w:p>
        </w:tc>
        <w:tc>
          <w:tcPr>
            <w:tcW w:type="dxa" w:w="2494"/>
          </w:tcPr>
          <w:p>
            <w:pPr>
              <w:keepNext/>
            </w:pPr>
            <w:r/>
            <w:r>
              <w:rPr>
                <w:sz w:val="19"/>
              </w:rPr>
              <w:t>Small orders - cluster picking in zones</w:t>
            </w:r>
          </w:p>
        </w:tc>
        <w:tc>
          <w:tcPr>
            <w:tcW w:type="dxa" w:w="907"/>
          </w:tcPr>
          <w:p>
            <w:pPr>
              <w:keepNext/>
              <w:jc w:val="right"/>
            </w:pPr>
            <w:r/>
            <w:r>
              <w:rPr>
                <w:sz w:val="19"/>
              </w:rPr>
              <w:t>1</w:t>
            </w:r>
          </w:p>
        </w:tc>
        <w:tc>
          <w:tcPr>
            <w:tcW w:type="dxa" w:w="907"/>
          </w:tcPr>
          <w:p>
            <w:pPr>
              <w:keepNext/>
              <w:jc w:val="right"/>
            </w:pPr>
            <w:r/>
            <w:r>
              <w:rPr>
                <w:sz w:val="19"/>
              </w:rPr>
              <w:t>6</w:t>
            </w:r>
          </w:p>
        </w:tc>
        <w:tc>
          <w:tcPr>
            <w:tcW w:type="dxa" w:w="2381"/>
          </w:tcPr>
          <w:p>
            <w:pPr>
              <w:keepNext/>
              <w:jc w:val="right"/>
            </w:pPr>
            <w:r/>
            <w:r>
              <w:rPr>
                <w:sz w:val="19"/>
              </w:rPr>
              <w:t>2 per picker (picking + at put-wall) + 2 spare</w:t>
            </w:r>
          </w:p>
        </w:tc>
      </w:tr>
      <w:tr>
        <w:trPr>
          <w:cantSplit/>
        </w:trPr>
        <w:tc>
          <w:tcPr>
            <w:tcW w:type="dxa" w:w="2381"/>
          </w:tcPr>
          <w:p>
            <w:pPr>
              <w:keepNext/>
            </w:pPr>
            <w:r/>
            <w:r>
              <w:rPr>
                <w:sz w:val="19"/>
              </w:rPr>
              <w:t>Totes 600x400 (~40 L)</w:t>
            </w:r>
          </w:p>
        </w:tc>
        <w:tc>
          <w:tcPr>
            <w:tcW w:type="dxa" w:w="2494"/>
          </w:tcPr>
          <w:p>
            <w:pPr>
              <w:keepNext/>
            </w:pPr>
            <w:r/>
            <w:r>
              <w:rPr>
                <w:sz w:val="19"/>
              </w:rPr>
              <w:t>One per small order (more if &gt;40 L / &gt;15 kg)</w:t>
            </w:r>
          </w:p>
        </w:tc>
        <w:tc>
          <w:tcPr>
            <w:tcW w:type="dxa" w:w="907"/>
          </w:tcPr>
          <w:p>
            <w:pPr>
              <w:keepNext/>
              <w:jc w:val="right"/>
            </w:pPr>
            <w:r/>
            <w:r>
              <w:rPr>
                <w:sz w:val="19"/>
              </w:rPr>
              <w:t>36</w:t>
            </w:r>
          </w:p>
        </w:tc>
        <w:tc>
          <w:tcPr>
            <w:tcW w:type="dxa" w:w="907"/>
          </w:tcPr>
          <w:p>
            <w:pPr>
              <w:keepNext/>
              <w:jc w:val="right"/>
            </w:pPr>
            <w:r/>
            <w:r>
              <w:rPr>
                <w:sz w:val="19"/>
              </w:rPr>
              <w:t>54</w:t>
            </w:r>
          </w:p>
        </w:tc>
        <w:tc>
          <w:tcPr>
            <w:tcW w:type="dxa" w:w="2381"/>
          </w:tcPr>
          <w:p>
            <w:pPr>
              <w:keepNext/>
              <w:jc w:val="right"/>
            </w:pPr>
            <w:r/>
            <w:r>
              <w:rPr>
                <w:sz w:val="19"/>
              </w:rPr>
              <w:t>trolleys x 6 + 50% in circulation at packing</w:t>
            </w:r>
          </w:p>
        </w:tc>
      </w:tr>
      <w:tr>
        <w:trPr>
          <w:cantSplit/>
        </w:trPr>
        <w:tc>
          <w:tcPr>
            <w:tcW w:type="dxa" w:w="2381"/>
          </w:tcPr>
          <w:p>
            <w:r/>
            <w:r>
              <w:rPr>
                <w:sz w:val="19"/>
              </w:rPr>
              <w:t>Jungheinrich EJE 120i walkie pallet truck</w:t>
            </w:r>
          </w:p>
        </w:tc>
        <w:tc>
          <w:tcPr>
            <w:tcW w:type="dxa" w:w="2494"/>
          </w:tcPr>
          <w:p>
            <w:r/>
            <w:r>
              <w:rPr>
                <w:sz w:val="19"/>
              </w:rPr>
              <w:t>Large orders - pick-to-pallet</w:t>
            </w:r>
          </w:p>
        </w:tc>
        <w:tc>
          <w:tcPr>
            <w:tcW w:type="dxa" w:w="907"/>
          </w:tcPr>
          <w:p>
            <w:pPr>
              <w:jc w:val="right"/>
            </w:pPr>
            <w:r/>
            <w:r>
              <w:rPr>
                <w:sz w:val="19"/>
              </w:rPr>
              <w:t>3</w:t>
            </w:r>
          </w:p>
        </w:tc>
        <w:tc>
          <w:tcPr>
            <w:tcW w:type="dxa" w:w="907"/>
          </w:tcPr>
          <w:p>
            <w:pPr>
              <w:jc w:val="right"/>
            </w:pPr>
            <w:r/>
            <w:r>
              <w:rPr>
                <w:sz w:val="19"/>
              </w:rPr>
              <w:t>3</w:t>
            </w:r>
          </w:p>
        </w:tc>
        <w:tc>
          <w:tcPr>
            <w:tcW w:type="dxa" w:w="2381"/>
          </w:tcPr>
          <w:p>
            <w:pPr>
              <w:jc w:val="right"/>
            </w:pPr>
            <w:r/>
            <w:r>
              <w:rPr>
                <w:sz w:val="19"/>
              </w:rPr>
              <w:t>peak hours / (7.5 h x 80%); no spare once 2+ trucks (one breakdown still covers an average day)</w:t>
            </w:r>
          </w:p>
        </w:tc>
      </w:tr>
    </w:tbl>
    <w:p>
      <w:pPr>
        <w:spacing w:after="40"/>
      </w:pPr>
    </w:p>
    <w:p>
      <w:pPr>
        <w:spacing w:after="160"/>
      </w:pPr>
      <w:r>
        <w:rPr>
          <w:b/>
          <w:i w:val="0"/>
          <w:color w:val="222222"/>
          <w:sz w:val="21"/>
        </w:rPr>
        <w:t>Tugger train (Jungheinrich EZS 130) — evaluated, not planned now.</w:t>
      </w:r>
      <w:r>
        <w:rPr>
          <w:b w:val="0"/>
          <w:i w:val="0"/>
          <w:color w:val="222222"/>
          <w:sz w:val="21"/>
        </w:rPr>
        <w:t xml:space="preserve"> It fits zone picking (pickers stay in their zone and a train collects the trolleys), and the EZS 130 is built for small-parts tow trains (600 mm wide, tows 3 t, S012). But with batching there are only ~9 trolley trips a day: a 201 m loop every 20 minutes would keep a driver ~26% busy to save pickers ~6 minutes of walking, because both pick zones end next to packing. It becomes worthwhile if small-order volume roughly triples or packing moves away from the pick zones.</w:t>
      </w:r>
    </w:p>
    <w:p>
      <w:pPr>
        <w:spacing w:after="80"/>
      </w:pPr>
      <w:r>
        <w:rPr>
          <w:b w:val="0"/>
          <w:i w:val="0"/>
          <w:color w:val="222222"/>
          <w:sz w:val="21"/>
        </w:rPr>
        <w:t>Routing policy (W3) — expected walk per tour in the reserve zone, by policy:</w:t>
      </w:r>
    </w:p>
    <w:tbl>
      <w:tblPr>
        <w:tblStyle w:val="LightGrid-Accent1"/>
        <w:tblW w:type="auto" w:w="0"/>
        <w:jc w:val="center"/>
        <w:tblLayout w:type="fixed"/>
        <w:tblLook w:firstColumn="1" w:firstRow="1" w:lastColumn="0" w:lastRow="0" w:noHBand="0" w:noVBand="1" w:val="04A0"/>
      </w:tblPr>
      <w:tblGrid>
        <w:gridCol w:w="2608"/>
        <w:gridCol w:w="1020"/>
        <w:gridCol w:w="1020"/>
        <w:gridCol w:w="1020"/>
        <w:gridCol w:w="1020"/>
        <w:gridCol w:w="1134"/>
        <w:gridCol w:w="1247"/>
      </w:tblGrid>
      <w:tr>
        <w:trPr>
          <w:cantSplit/>
        </w:trPr>
        <w:tc>
          <w:tcPr>
            <w:tcW w:type="dxa" w:w="2608"/>
          </w:tcPr>
          <w:p>
            <w:pPr>
              <w:keepNext/>
            </w:pPr>
            <w:r/>
            <w:r>
              <w:rPr>
                <w:b/>
                <w:sz w:val="19"/>
              </w:rPr>
              <w:t>Tour</w:t>
            </w:r>
          </w:p>
        </w:tc>
        <w:tc>
          <w:tcPr>
            <w:tcW w:type="dxa" w:w="1020"/>
          </w:tcPr>
          <w:p>
            <w:pPr>
              <w:keepNext/>
            </w:pPr>
            <w:r/>
            <w:r>
              <w:rPr>
                <w:b/>
                <w:sz w:val="19"/>
              </w:rPr>
              <w:t>Lines in reserve</w:t>
            </w:r>
          </w:p>
        </w:tc>
        <w:tc>
          <w:tcPr>
            <w:tcW w:type="dxa" w:w="1020"/>
          </w:tcPr>
          <w:p>
            <w:pPr>
              <w:keepNext/>
            </w:pPr>
            <w:r/>
            <w:r>
              <w:rPr>
                <w:b/>
                <w:sz w:val="19"/>
              </w:rPr>
              <w:t>S-shape</w:t>
            </w:r>
          </w:p>
        </w:tc>
        <w:tc>
          <w:tcPr>
            <w:tcW w:type="dxa" w:w="1020"/>
          </w:tcPr>
          <w:p>
            <w:pPr>
              <w:keepNext/>
            </w:pPr>
            <w:r/>
            <w:r>
              <w:rPr>
                <w:b/>
                <w:sz w:val="19"/>
              </w:rPr>
              <w:t>Return</w:t>
            </w:r>
          </w:p>
        </w:tc>
        <w:tc>
          <w:tcPr>
            <w:tcW w:type="dxa" w:w="1020"/>
          </w:tcPr>
          <w:p>
            <w:pPr>
              <w:keepNext/>
            </w:pPr>
            <w:r/>
            <w:r>
              <w:rPr>
                <w:b/>
                <w:sz w:val="19"/>
              </w:rPr>
              <w:t>Midpoint</w:t>
            </w:r>
          </w:p>
        </w:tc>
        <w:tc>
          <w:tcPr>
            <w:tcW w:type="dxa" w:w="1134"/>
          </w:tcPr>
          <w:p>
            <w:pPr>
              <w:keepNext/>
            </w:pPr>
            <w:r/>
            <w:r>
              <w:rPr>
                <w:b/>
                <w:sz w:val="19"/>
              </w:rPr>
              <w:t>Largest gap</w:t>
            </w:r>
          </w:p>
        </w:tc>
        <w:tc>
          <w:tcPr>
            <w:tcW w:type="dxa" w:w="1247"/>
          </w:tcPr>
          <w:p>
            <w:pPr>
              <w:keepNext/>
            </w:pPr>
            <w:r/>
            <w:r>
              <w:rPr>
                <w:b/>
                <w:sz w:val="19"/>
              </w:rPr>
              <w:t>Best</w:t>
            </w:r>
          </w:p>
        </w:tc>
      </w:tr>
      <w:tr>
        <w:trPr>
          <w:cantSplit/>
        </w:trPr>
        <w:tc>
          <w:tcPr>
            <w:tcW w:type="dxa" w:w="2608"/>
          </w:tcPr>
          <w:p>
            <w:pPr>
              <w:keepNext/>
            </w:pPr>
            <w:r/>
            <w:r>
              <w:rPr>
                <w:sz w:val="19"/>
              </w:rPr>
              <w:t>Small-order trolley tour (reserve zone)</w:t>
            </w:r>
          </w:p>
        </w:tc>
        <w:tc>
          <w:tcPr>
            <w:tcW w:type="dxa" w:w="1020"/>
          </w:tcPr>
          <w:p>
            <w:pPr>
              <w:keepNext/>
              <w:jc w:val="right"/>
            </w:pPr>
            <w:r/>
            <w:r>
              <w:rPr>
                <w:sz w:val="19"/>
              </w:rPr>
              <w:t>16</w:t>
            </w:r>
          </w:p>
        </w:tc>
        <w:tc>
          <w:tcPr>
            <w:tcW w:type="dxa" w:w="1020"/>
          </w:tcPr>
          <w:p>
            <w:pPr>
              <w:keepNext/>
              <w:jc w:val="right"/>
            </w:pPr>
            <w:r/>
            <w:r>
              <w:rPr>
                <w:sz w:val="19"/>
              </w:rPr>
              <w:t>572 m</w:t>
            </w:r>
          </w:p>
        </w:tc>
        <w:tc>
          <w:tcPr>
            <w:tcW w:type="dxa" w:w="1020"/>
          </w:tcPr>
          <w:p>
            <w:pPr>
              <w:keepNext/>
              <w:jc w:val="right"/>
            </w:pPr>
            <w:r/>
            <w:r>
              <w:rPr>
                <w:sz w:val="19"/>
              </w:rPr>
              <w:t>682 m</w:t>
            </w:r>
          </w:p>
        </w:tc>
        <w:tc>
          <w:tcPr>
            <w:tcW w:type="dxa" w:w="1020"/>
          </w:tcPr>
          <w:p>
            <w:pPr>
              <w:keepNext/>
              <w:jc w:val="right"/>
            </w:pPr>
            <w:r/>
            <w:r>
              <w:rPr>
                <w:sz w:val="19"/>
              </w:rPr>
              <w:t>488 m</w:t>
            </w:r>
          </w:p>
        </w:tc>
        <w:tc>
          <w:tcPr>
            <w:tcW w:type="dxa" w:w="1134"/>
          </w:tcPr>
          <w:p>
            <w:pPr>
              <w:keepNext/>
              <w:jc w:val="right"/>
            </w:pPr>
            <w:r/>
            <w:r>
              <w:rPr>
                <w:sz w:val="19"/>
              </w:rPr>
              <w:t>471 m</w:t>
            </w:r>
          </w:p>
        </w:tc>
        <w:tc>
          <w:tcPr>
            <w:tcW w:type="dxa" w:w="1247"/>
          </w:tcPr>
          <w:p>
            <w:pPr>
              <w:keepNext/>
              <w:jc w:val="right"/>
            </w:pPr>
            <w:r/>
            <w:r>
              <w:rPr>
                <w:sz w:val="19"/>
              </w:rPr>
              <w:t>Largest gap</w:t>
            </w:r>
          </w:p>
        </w:tc>
      </w:tr>
      <w:tr>
        <w:trPr>
          <w:cantSplit/>
        </w:trPr>
        <w:tc>
          <w:tcPr>
            <w:tcW w:type="dxa" w:w="2608"/>
          </w:tcPr>
          <w:p>
            <w:r/>
            <w:r>
              <w:rPr>
                <w:sz w:val="19"/>
              </w:rPr>
              <w:t>Large-order pallet tour (reserve part)</w:t>
            </w:r>
          </w:p>
        </w:tc>
        <w:tc>
          <w:tcPr>
            <w:tcW w:type="dxa" w:w="1020"/>
          </w:tcPr>
          <w:p>
            <w:pPr>
              <w:jc w:val="right"/>
            </w:pPr>
            <w:r/>
            <w:r>
              <w:rPr>
                <w:sz w:val="19"/>
              </w:rPr>
              <w:t>2</w:t>
            </w:r>
          </w:p>
        </w:tc>
        <w:tc>
          <w:tcPr>
            <w:tcW w:type="dxa" w:w="1020"/>
          </w:tcPr>
          <w:p>
            <w:pPr>
              <w:jc w:val="right"/>
            </w:pPr>
            <w:r/>
            <w:r>
              <w:rPr>
                <w:sz w:val="19"/>
              </w:rPr>
              <w:t>168 m</w:t>
            </w:r>
          </w:p>
        </w:tc>
        <w:tc>
          <w:tcPr>
            <w:tcW w:type="dxa" w:w="1020"/>
          </w:tcPr>
          <w:p>
            <w:pPr>
              <w:jc w:val="right"/>
            </w:pPr>
            <w:r/>
            <w:r>
              <w:rPr>
                <w:sz w:val="19"/>
              </w:rPr>
              <w:t>171 m</w:t>
            </w:r>
          </w:p>
        </w:tc>
        <w:tc>
          <w:tcPr>
            <w:tcW w:type="dxa" w:w="1020"/>
          </w:tcPr>
          <w:p>
            <w:pPr>
              <w:jc w:val="right"/>
            </w:pPr>
            <w:r/>
            <w:r>
              <w:rPr>
                <w:sz w:val="19"/>
              </w:rPr>
              <w:t>162 m</w:t>
            </w:r>
          </w:p>
        </w:tc>
        <w:tc>
          <w:tcPr>
            <w:tcW w:type="dxa" w:w="1134"/>
          </w:tcPr>
          <w:p>
            <w:pPr>
              <w:jc w:val="right"/>
            </w:pPr>
            <w:r/>
            <w:r>
              <w:rPr>
                <w:sz w:val="19"/>
              </w:rPr>
              <w:t>162 m</w:t>
            </w:r>
          </w:p>
        </w:tc>
        <w:tc>
          <w:tcPr>
            <w:tcW w:type="dxa" w:w="1247"/>
          </w:tcPr>
          <w:p>
            <w:pPr>
              <w:jc w:val="right"/>
            </w:pPr>
            <w:r/>
            <w:r>
              <w:rPr>
                <w:sz w:val="19"/>
              </w:rPr>
              <w:t>Largest gap</w:t>
            </w:r>
          </w:p>
        </w:tc>
      </w:tr>
    </w:tbl>
    <w:p>
      <w:pPr>
        <w:spacing w:after="40"/>
      </w:pPr>
    </w:p>
    <w:p>
      <w:pPr>
        <w:spacing w:after="120"/>
      </w:pPr>
      <w:r>
        <w:rPr>
          <w:b w:val="0"/>
          <w:i w:val="0"/>
          <w:color w:val="222222"/>
          <w:sz w:val="21"/>
        </w:rPr>
        <w:t>Largest-gap routing is used in the reserve aisles (possible because the aisles are open at both ends); the fast-pick area is a single long face worked with a return route from packing.</w:t>
      </w:r>
    </w:p>
    <w:p>
      <w:pPr>
        <w:spacing w:after="80"/>
      </w:pPr>
      <w:r>
        <w:rPr>
          <w:b w:val="0"/>
          <w:i w:val="0"/>
          <w:color w:val="222222"/>
          <w:sz w:val="21"/>
        </w:rPr>
        <w:t>Data-handling hardware (W3):</w:t>
      </w:r>
    </w:p>
    <w:tbl>
      <w:tblPr>
        <w:tblStyle w:val="LightGrid-Accent1"/>
        <w:tblW w:type="auto" w:w="0"/>
        <w:jc w:val="center"/>
        <w:tblLayout w:type="fixed"/>
        <w:tblLook w:firstColumn="1" w:firstRow="1" w:lastColumn="0" w:lastRow="0" w:noHBand="0" w:noVBand="1" w:val="04A0"/>
      </w:tblPr>
      <w:tblGrid>
        <w:gridCol w:w="2041"/>
        <w:gridCol w:w="4762"/>
        <w:gridCol w:w="2268"/>
      </w:tblGrid>
      <w:tr>
        <w:trPr>
          <w:cantSplit/>
        </w:trPr>
        <w:tc>
          <w:tcPr>
            <w:tcW w:type="dxa" w:w="2041"/>
          </w:tcPr>
          <w:p>
            <w:pPr>
              <w:keepNext/>
            </w:pPr>
            <w:r/>
            <w:r>
              <w:rPr>
                <w:b/>
                <w:sz w:val="19"/>
              </w:rPr>
              <w:t>Option</w:t>
            </w:r>
          </w:p>
        </w:tc>
        <w:tc>
          <w:tcPr>
            <w:tcW w:type="dxa" w:w="4762"/>
          </w:tcPr>
          <w:p>
            <w:pPr>
              <w:keepNext/>
            </w:pPr>
            <w:r/>
            <w:r>
              <w:rPr>
                <w:b/>
                <w:sz w:val="19"/>
              </w:rPr>
              <w:t>Fit with our profile</w:t>
            </w:r>
          </w:p>
        </w:tc>
        <w:tc>
          <w:tcPr>
            <w:tcW w:type="dxa" w:w="2268"/>
          </w:tcPr>
          <w:p>
            <w:pPr>
              <w:keepNext/>
            </w:pPr>
            <w:r/>
            <w:r>
              <w:rPr>
                <w:b/>
                <w:sz w:val="19"/>
              </w:rPr>
              <w:t>Decision</w:t>
            </w:r>
          </w:p>
        </w:tc>
      </w:tr>
      <w:tr>
        <w:trPr>
          <w:cantSplit/>
        </w:trPr>
        <w:tc>
          <w:tcPr>
            <w:tcW w:type="dxa" w:w="2041"/>
          </w:tcPr>
          <w:p>
            <w:pPr>
              <w:keepNext/>
            </w:pPr>
            <w:r/>
            <w:r>
              <w:rPr>
                <w:sz w:val="19"/>
              </w:rPr>
              <w:t>Paper pick lists</w:t>
            </w:r>
          </w:p>
        </w:tc>
        <w:tc>
          <w:tcPr>
            <w:tcW w:type="dxa" w:w="4762"/>
          </w:tcPr>
          <w:p>
            <w:pPr>
              <w:keepNext/>
            </w:pPr>
            <w:r/>
            <w:r>
              <w:rPr>
                <w:sz w:val="19"/>
              </w:rPr>
              <w:t>5,291 SKUs, many look-alike parts, half the orders single-line → error-prone, no live stock</w:t>
            </w:r>
          </w:p>
        </w:tc>
        <w:tc>
          <w:tcPr>
            <w:tcW w:type="dxa" w:w="2268"/>
          </w:tcPr>
          <w:p>
            <w:pPr>
              <w:keepNext/>
            </w:pPr>
            <w:r/>
            <w:r>
              <w:rPr>
                <w:sz w:val="19"/>
              </w:rPr>
              <w:t>Not used</w:t>
            </w:r>
          </w:p>
        </w:tc>
      </w:tr>
      <w:tr>
        <w:trPr>
          <w:cantSplit/>
        </w:trPr>
        <w:tc>
          <w:tcPr>
            <w:tcW w:type="dxa" w:w="2041"/>
          </w:tcPr>
          <w:p>
            <w:pPr>
              <w:keepNext/>
            </w:pPr>
            <w:r/>
            <w:r>
              <w:rPr>
                <w:sz w:val="19"/>
              </w:rPr>
              <w:t>RF handheld / ring scanner</w:t>
            </w:r>
          </w:p>
        </w:tc>
        <w:tc>
          <w:tcPr>
            <w:tcW w:type="dxa" w:w="4762"/>
          </w:tcPr>
          <w:p>
            <w:pPr>
              <w:keepNext/>
            </w:pPr>
            <w:r/>
            <w:r>
              <w:rPr>
                <w:sz w:val="19"/>
              </w:rPr>
              <w:t>scan-to-confirm location and item; works for receiving, put-away, trolleys and pallets</w:t>
            </w:r>
          </w:p>
        </w:tc>
        <w:tc>
          <w:tcPr>
            <w:tcW w:type="dxa" w:w="2268"/>
          </w:tcPr>
          <w:p>
            <w:pPr>
              <w:keepNext/>
            </w:pPr>
            <w:r/>
            <w:r>
              <w:rPr>
                <w:sz w:val="19"/>
              </w:rPr>
              <w:t>Used in all processes</w:t>
            </w:r>
          </w:p>
        </w:tc>
      </w:tr>
      <w:tr>
        <w:trPr>
          <w:cantSplit/>
        </w:trPr>
        <w:tc>
          <w:tcPr>
            <w:tcW w:type="dxa" w:w="2041"/>
          </w:tcPr>
          <w:p>
            <w:pPr>
              <w:keepNext/>
            </w:pPr>
            <w:r/>
            <w:r>
              <w:rPr>
                <w:sz w:val="19"/>
              </w:rPr>
              <w:t>Voice picking</w:t>
            </w:r>
          </w:p>
        </w:tc>
        <w:tc>
          <w:tcPr>
            <w:tcW w:type="dxa" w:w="4762"/>
          </w:tcPr>
          <w:p>
            <w:pPr>
              <w:keepNext/>
            </w:pPr>
            <w:r/>
            <w:r>
              <w:rPr>
                <w:sz w:val="19"/>
              </w:rPr>
              <w:t>hands-free, good for heavy case picking, but item check still needs a scan</w:t>
            </w:r>
          </w:p>
        </w:tc>
        <w:tc>
          <w:tcPr>
            <w:tcW w:type="dxa" w:w="2268"/>
          </w:tcPr>
          <w:p>
            <w:pPr>
              <w:keepNext/>
            </w:pPr>
            <w:r/>
            <w:r>
              <w:rPr>
                <w:sz w:val="19"/>
              </w:rPr>
              <w:t>Option for large-order picking</w:t>
            </w:r>
          </w:p>
        </w:tc>
      </w:tr>
      <w:tr>
        <w:trPr>
          <w:cantSplit/>
        </w:trPr>
        <w:tc>
          <w:tcPr>
            <w:tcW w:type="dxa" w:w="2041"/>
          </w:tcPr>
          <w:p>
            <w:pPr>
              <w:keepNext/>
            </w:pPr>
            <w:r/>
            <w:r>
              <w:rPr>
                <w:sz w:val="19"/>
              </w:rPr>
              <w:t>Pick-to-light</w:t>
            </w:r>
          </w:p>
        </w:tc>
        <w:tc>
          <w:tcPr>
            <w:tcW w:type="dxa" w:w="4762"/>
          </w:tcPr>
          <w:p>
            <w:pPr>
              <w:keepNext/>
            </w:pPr>
            <w:r/>
            <w:r>
              <w:rPr>
                <w:sz w:val="19"/>
              </w:rPr>
              <w:t>fastest per pick, but a light on thousands of faces is costly for ~640 lines/day</w:t>
            </w:r>
          </w:p>
        </w:tc>
        <w:tc>
          <w:tcPr>
            <w:tcW w:type="dxa" w:w="2268"/>
          </w:tcPr>
          <w:p>
            <w:pPr>
              <w:keepNext/>
            </w:pPr>
            <w:r/>
            <w:r>
              <w:rPr>
                <w:sz w:val="19"/>
              </w:rPr>
              <w:t>Not used in pick zones</w:t>
            </w:r>
          </w:p>
        </w:tc>
      </w:tr>
      <w:tr>
        <w:trPr>
          <w:cantSplit/>
        </w:trPr>
        <w:tc>
          <w:tcPr>
            <w:tcW w:type="dxa" w:w="2041"/>
          </w:tcPr>
          <w:p>
            <w:r/>
            <w:r>
              <w:rPr>
                <w:sz w:val="19"/>
              </w:rPr>
              <w:t>Put-to-light wall</w:t>
            </w:r>
          </w:p>
        </w:tc>
        <w:tc>
          <w:tcPr>
            <w:tcW w:type="dxa" w:w="4762"/>
          </w:tcPr>
          <w:p>
            <w:r/>
            <w:r>
              <w:rPr>
                <w:sz w:val="19"/>
              </w:rPr>
              <w:t>sorts batch-picked small orders (84% of orders) into orders at packing; 120 tote slots</w:t>
            </w:r>
          </w:p>
        </w:tc>
        <w:tc>
          <w:tcPr>
            <w:tcW w:type="dxa" w:w="2268"/>
          </w:tcPr>
          <w:p>
            <w:r/>
            <w:r>
              <w:rPr>
                <w:sz w:val="19"/>
              </w:rPr>
              <w:t>Used at packing</w:t>
            </w:r>
          </w:p>
        </w:tc>
      </w:tr>
    </w:tbl>
    <w:p>
      <w:pPr>
        <w:spacing w:after="40"/>
      </w:pPr>
    </w:p>
    <w:p>
      <w:pPr>
        <w:pStyle w:val="Heading2"/>
      </w:pPr>
      <w:r>
        <w:t>6.3 Machinery — Jungheinrich fleet</w:t>
      </w:r>
    </w:p>
    <w:p>
      <w:pPr>
        <w:spacing w:after="120"/>
      </w:pPr>
      <w:r>
        <w:rPr>
          <w:b w:val="0"/>
          <w:i w:val="0"/>
          <w:color w:val="222222"/>
          <w:sz w:val="21"/>
        </w:rPr>
        <w:t>Truck models were chosen from Jungheinrich (as advised) to match the layout and loads, and sized with a cycle-time model built from their published speeds on the Option B routes (A021).</w:t>
      </w:r>
    </w:p>
    <w:tbl>
      <w:tblPr>
        <w:tblStyle w:val="LightGrid-Accent1"/>
        <w:tblW w:type="auto" w:w="0"/>
        <w:jc w:val="center"/>
        <w:tblLayout w:type="fixed"/>
        <w:tblLook w:firstColumn="1" w:firstRow="1" w:lastColumn="0" w:lastRow="0" w:noHBand="0" w:noVBand="1" w:val="04A0"/>
      </w:tblPr>
      <w:tblGrid>
        <w:gridCol w:w="1247"/>
        <w:gridCol w:w="3742"/>
        <w:gridCol w:w="1134"/>
        <w:gridCol w:w="1134"/>
        <w:gridCol w:w="907"/>
        <w:gridCol w:w="907"/>
      </w:tblGrid>
      <w:tr>
        <w:trPr>
          <w:cantSplit/>
        </w:trPr>
        <w:tc>
          <w:tcPr>
            <w:tcW w:type="dxa" w:w="1247"/>
          </w:tcPr>
          <w:p>
            <w:pPr>
              <w:keepNext/>
            </w:pPr>
            <w:r/>
            <w:r>
              <w:rPr>
                <w:b/>
                <w:sz w:val="19"/>
              </w:rPr>
              <w:t>Model</w:t>
            </w:r>
          </w:p>
        </w:tc>
        <w:tc>
          <w:tcPr>
            <w:tcW w:type="dxa" w:w="3742"/>
          </w:tcPr>
          <w:p>
            <w:pPr>
              <w:keepNext/>
            </w:pPr>
            <w:r/>
            <w:r>
              <w:rPr>
                <w:b/>
                <w:sz w:val="19"/>
              </w:rPr>
              <w:t>Task</w:t>
            </w:r>
          </w:p>
        </w:tc>
        <w:tc>
          <w:tcPr>
            <w:tcW w:type="dxa" w:w="1134"/>
          </w:tcPr>
          <w:p>
            <w:pPr>
              <w:keepNext/>
            </w:pPr>
            <w:r/>
            <w:r>
              <w:rPr>
                <w:b/>
                <w:sz w:val="19"/>
              </w:rPr>
              <w:t>Equip-h/day avg</w:t>
            </w:r>
          </w:p>
        </w:tc>
        <w:tc>
          <w:tcPr>
            <w:tcW w:type="dxa" w:w="1134"/>
          </w:tcPr>
          <w:p>
            <w:pPr>
              <w:keepNext/>
            </w:pPr>
            <w:r/>
            <w:r>
              <w:rPr>
                <w:b/>
                <w:sz w:val="19"/>
              </w:rPr>
              <w:t>Equip-h/day peak</w:t>
            </w:r>
          </w:p>
        </w:tc>
        <w:tc>
          <w:tcPr>
            <w:tcW w:type="dxa" w:w="907"/>
          </w:tcPr>
          <w:p>
            <w:pPr>
              <w:keepNext/>
            </w:pPr>
            <w:r/>
            <w:r>
              <w:rPr>
                <w:b/>
                <w:sz w:val="19"/>
              </w:rPr>
              <w:t>Needed</w:t>
            </w:r>
          </w:p>
        </w:tc>
        <w:tc>
          <w:tcPr>
            <w:tcW w:type="dxa" w:w="907"/>
          </w:tcPr>
          <w:p>
            <w:pPr>
              <w:keepNext/>
            </w:pPr>
            <w:r/>
            <w:r>
              <w:rPr>
                <w:b/>
                <w:sz w:val="19"/>
              </w:rPr>
              <w:t>Planned</w:t>
            </w:r>
          </w:p>
        </w:tc>
      </w:tr>
      <w:tr>
        <w:trPr>
          <w:cantSplit/>
        </w:trPr>
        <w:tc>
          <w:tcPr>
            <w:tcW w:type="dxa" w:w="1247"/>
          </w:tcPr>
          <w:p>
            <w:pPr>
              <w:keepNext/>
            </w:pPr>
            <w:r/>
            <w:r>
              <w:rPr>
                <w:sz w:val="19"/>
              </w:rPr>
              <w:t>ETV 216i</w:t>
            </w:r>
          </w:p>
        </w:tc>
        <w:tc>
          <w:tcPr>
            <w:tcW w:type="dxa" w:w="3742"/>
          </w:tcPr>
          <w:p>
            <w:pPr>
              <w:keepNext/>
            </w:pPr>
            <w:r/>
            <w:r>
              <w:rPr>
                <w:sz w:val="19"/>
              </w:rPr>
              <w:t>Putaway + replenishment + full-pallet picks</w:t>
            </w:r>
          </w:p>
        </w:tc>
        <w:tc>
          <w:tcPr>
            <w:tcW w:type="dxa" w:w="1134"/>
          </w:tcPr>
          <w:p>
            <w:pPr>
              <w:keepNext/>
              <w:jc w:val="right"/>
            </w:pPr>
            <w:r/>
            <w:r>
              <w:rPr>
                <w:sz w:val="19"/>
              </w:rPr>
              <w:t>4.9</w:t>
            </w:r>
          </w:p>
        </w:tc>
        <w:tc>
          <w:tcPr>
            <w:tcW w:type="dxa" w:w="1134"/>
          </w:tcPr>
          <w:p>
            <w:pPr>
              <w:keepNext/>
              <w:jc w:val="right"/>
            </w:pPr>
            <w:r/>
            <w:r>
              <w:rPr>
                <w:sz w:val="19"/>
              </w:rPr>
              <w:t>9.2</w:t>
            </w:r>
          </w:p>
        </w:tc>
        <w:tc>
          <w:tcPr>
            <w:tcW w:type="dxa" w:w="907"/>
          </w:tcPr>
          <w:p>
            <w:pPr>
              <w:keepNext/>
              <w:jc w:val="right"/>
            </w:pPr>
            <w:r/>
            <w:r>
              <w:rPr>
                <w:sz w:val="19"/>
              </w:rPr>
              <w:t>2</w:t>
            </w:r>
          </w:p>
        </w:tc>
        <w:tc>
          <w:tcPr>
            <w:tcW w:type="dxa" w:w="907"/>
          </w:tcPr>
          <w:p>
            <w:pPr>
              <w:keepNext/>
              <w:jc w:val="right"/>
            </w:pPr>
            <w:r/>
            <w:r>
              <w:rPr>
                <w:sz w:val="19"/>
              </w:rPr>
              <w:t>2</w:t>
            </w:r>
          </w:p>
        </w:tc>
      </w:tr>
      <w:tr>
        <w:trPr>
          <w:cantSplit/>
        </w:trPr>
        <w:tc>
          <w:tcPr>
            <w:tcW w:type="dxa" w:w="1247"/>
          </w:tcPr>
          <w:p>
            <w:pPr>
              <w:keepNext/>
            </w:pPr>
            <w:r/>
            <w:r>
              <w:rPr>
                <w:sz w:val="19"/>
              </w:rPr>
              <w:t>EJE 120i</w:t>
            </w:r>
          </w:p>
        </w:tc>
        <w:tc>
          <w:tcPr>
            <w:tcW w:type="dxa" w:w="3742"/>
          </w:tcPr>
          <w:p>
            <w:pPr>
              <w:keepNext/>
            </w:pPr>
            <w:r/>
            <w:r>
              <w:rPr>
                <w:sz w:val="19"/>
              </w:rPr>
              <w:t>Large orders: pick-to-pallet (one order per pallet)</w:t>
            </w:r>
          </w:p>
        </w:tc>
        <w:tc>
          <w:tcPr>
            <w:tcW w:type="dxa" w:w="1134"/>
          </w:tcPr>
          <w:p>
            <w:pPr>
              <w:keepNext/>
              <w:jc w:val="right"/>
            </w:pPr>
            <w:r/>
            <w:r>
              <w:rPr>
                <w:sz w:val="19"/>
              </w:rPr>
              <w:t>6.9</w:t>
            </w:r>
          </w:p>
        </w:tc>
        <w:tc>
          <w:tcPr>
            <w:tcW w:type="dxa" w:w="1134"/>
          </w:tcPr>
          <w:p>
            <w:pPr>
              <w:keepNext/>
              <w:jc w:val="right"/>
            </w:pPr>
            <w:r/>
            <w:r>
              <w:rPr>
                <w:sz w:val="19"/>
              </w:rPr>
              <w:t>12.7</w:t>
            </w:r>
          </w:p>
        </w:tc>
        <w:tc>
          <w:tcPr>
            <w:tcW w:type="dxa" w:w="907"/>
          </w:tcPr>
          <w:p>
            <w:pPr>
              <w:keepNext/>
              <w:jc w:val="right"/>
            </w:pPr>
            <w:r/>
            <w:r>
              <w:rPr>
                <w:sz w:val="19"/>
              </w:rPr>
              <w:t>3</w:t>
            </w:r>
          </w:p>
        </w:tc>
        <w:tc>
          <w:tcPr>
            <w:tcW w:type="dxa" w:w="907"/>
          </w:tcPr>
          <w:p>
            <w:pPr>
              <w:keepNext/>
              <w:jc w:val="right"/>
            </w:pPr>
            <w:r/>
            <w:r>
              <w:rPr>
                <w:sz w:val="19"/>
              </w:rPr>
              <w:t>3</w:t>
            </w:r>
          </w:p>
        </w:tc>
      </w:tr>
      <w:tr>
        <w:trPr>
          <w:cantSplit/>
        </w:trPr>
        <w:tc>
          <w:tcPr>
            <w:tcW w:type="dxa" w:w="1247"/>
          </w:tcPr>
          <w:p>
            <w:pPr>
              <w:keepNext/>
            </w:pPr>
            <w:r/>
            <w:r>
              <w:rPr>
                <w:sz w:val="19"/>
              </w:rPr>
              <w:t>ERE 225</w:t>
            </w:r>
          </w:p>
        </w:tc>
        <w:tc>
          <w:tcPr>
            <w:tcW w:type="dxa" w:w="3742"/>
          </w:tcPr>
          <w:p>
            <w:pPr>
              <w:keepNext/>
            </w:pPr>
            <w:r/>
            <w:r>
              <w:rPr>
                <w:sz w:val="19"/>
              </w:rPr>
              <w:t>Unload trailers/containers, load outbound, dock moves</w:t>
            </w:r>
          </w:p>
        </w:tc>
        <w:tc>
          <w:tcPr>
            <w:tcW w:type="dxa" w:w="1134"/>
          </w:tcPr>
          <w:p>
            <w:pPr>
              <w:keepNext/>
              <w:jc w:val="right"/>
            </w:pPr>
            <w:r/>
            <w:r>
              <w:rPr>
                <w:sz w:val="19"/>
              </w:rPr>
              <w:t>2.2</w:t>
            </w:r>
          </w:p>
        </w:tc>
        <w:tc>
          <w:tcPr>
            <w:tcW w:type="dxa" w:w="1134"/>
          </w:tcPr>
          <w:p>
            <w:pPr>
              <w:keepNext/>
              <w:jc w:val="right"/>
            </w:pPr>
            <w:r/>
            <w:r>
              <w:rPr>
                <w:sz w:val="19"/>
              </w:rPr>
              <w:t>4.6</w:t>
            </w:r>
          </w:p>
        </w:tc>
        <w:tc>
          <w:tcPr>
            <w:tcW w:type="dxa" w:w="907"/>
          </w:tcPr>
          <w:p>
            <w:pPr>
              <w:keepNext/>
              <w:jc w:val="right"/>
            </w:pPr>
            <w:r/>
            <w:r>
              <w:rPr>
                <w:sz w:val="19"/>
              </w:rPr>
              <w:t>1</w:t>
            </w:r>
          </w:p>
        </w:tc>
        <w:tc>
          <w:tcPr>
            <w:tcW w:type="dxa" w:w="907"/>
          </w:tcPr>
          <w:p>
            <w:pPr>
              <w:keepNext/>
              <w:jc w:val="right"/>
            </w:pPr>
            <w:r/>
            <w:r>
              <w:rPr>
                <w:sz w:val="19"/>
              </w:rPr>
              <w:t>2</w:t>
            </w:r>
          </w:p>
        </w:tc>
      </w:tr>
      <w:tr>
        <w:trPr>
          <w:cantSplit/>
        </w:trPr>
        <w:tc>
          <w:tcPr>
            <w:tcW w:type="dxa" w:w="1247"/>
          </w:tcPr>
          <w:p>
            <w:r/>
            <w:r>
              <w:rPr>
                <w:sz w:val="19"/>
              </w:rPr>
              <w:t>Pick trolley (3-tier, 6 totes) + totes</w:t>
            </w:r>
          </w:p>
        </w:tc>
        <w:tc>
          <w:tcPr>
            <w:tcW w:type="dxa" w:w="3742"/>
          </w:tcPr>
          <w:p>
            <w:r/>
            <w:r>
              <w:rPr>
                <w:sz w:val="19"/>
              </w:rPr>
              <w:t>Small orders: zone batch picking, sorted at the put-wall</w:t>
            </w:r>
          </w:p>
        </w:tc>
        <w:tc>
          <w:tcPr>
            <w:tcW w:type="dxa" w:w="1134"/>
          </w:tcPr>
          <w:p>
            <w:pPr>
              <w:jc w:val="right"/>
            </w:pPr>
            <w:r/>
            <w:r>
              <w:rPr>
                <w:sz w:val="19"/>
              </w:rPr>
              <w:t>2.9</w:t>
            </w:r>
          </w:p>
        </w:tc>
        <w:tc>
          <w:tcPr>
            <w:tcW w:type="dxa" w:w="1134"/>
          </w:tcPr>
          <w:p>
            <w:pPr>
              <w:jc w:val="right"/>
            </w:pPr>
            <w:r/>
            <w:r>
              <w:rPr>
                <w:sz w:val="19"/>
              </w:rPr>
              <w:t>5.3</w:t>
            </w:r>
          </w:p>
        </w:tc>
        <w:tc>
          <w:tcPr>
            <w:tcW w:type="dxa" w:w="907"/>
          </w:tcPr>
          <w:p>
            <w:pPr>
              <w:jc w:val="right"/>
            </w:pPr>
            <w:r/>
            <w:r>
              <w:rPr>
                <w:sz w:val="19"/>
              </w:rPr>
              <w:t>1</w:t>
            </w:r>
          </w:p>
        </w:tc>
        <w:tc>
          <w:tcPr>
            <w:tcW w:type="dxa" w:w="907"/>
          </w:tcPr>
          <w:p>
            <w:pPr>
              <w:jc w:val="right"/>
            </w:pPr>
            <w:r/>
            <w:r>
              <w:rPr>
                <w:sz w:val="19"/>
              </w:rPr>
              <w:t>6</w:t>
            </w:r>
          </w:p>
        </w:tc>
      </w:tr>
    </w:tbl>
    <w:p>
      <w:pPr>
        <w:spacing w:after="40"/>
      </w:pPr>
    </w:p>
    <w:p>
      <w:pPr>
        <w:pStyle w:val="ListBullet"/>
      </w:pPr>
      <w:r>
        <w:rPr>
          <w:b w:val="0"/>
          <w:sz w:val="21"/>
        </w:rPr>
      </w:r>
      <w:r>
        <w:rPr>
          <w:b/>
          <w:sz w:val="21"/>
        </w:rPr>
        <w:t>ETV 216i reach truck (S006):</w:t>
      </w:r>
      <w:r>
        <w:rPr>
          <w:b w:val="0"/>
          <w:sz w:val="21"/>
        </w:rPr>
        <w:t xml:space="preserve"> 1,600 kg, lift 10.7 m, working aisle 2.63–2.79 m, Li-ion. 2 cover the peak day and one is enough on an average day, so a breakdown never stops putaway (no spare needed; the lease includes repair). The racks are single-deep, so the truck uses standard forks — no telescopic attachment and no loss of capacity at height.</w:t>
      </w:r>
    </w:p>
    <w:p>
      <w:pPr>
        <w:pStyle w:val="ListBullet"/>
      </w:pPr>
      <w:r>
        <w:rPr>
          <w:b w:val="0"/>
          <w:sz w:val="21"/>
        </w:rPr>
      </w:r>
      <w:r>
        <w:rPr>
          <w:b/>
          <w:sz w:val="21"/>
        </w:rPr>
        <w:t>EJE 120i walkie pallet truck (S010):</w:t>
      </w:r>
      <w:r>
        <w:rPr>
          <w:b w:val="0"/>
          <w:sz w:val="21"/>
        </w:rPr>
        <w:t xml:space="preserve"> 2,000 kg, only 1.58 m long and 0.72 m wide — picks large orders onto a pallet and moves through the aisles without turning problems.</w:t>
      </w:r>
    </w:p>
    <w:p>
      <w:pPr>
        <w:pStyle w:val="ListBullet"/>
      </w:pPr>
      <w:r>
        <w:rPr>
          <w:b w:val="0"/>
          <w:sz w:val="21"/>
        </w:rPr>
      </w:r>
      <w:r>
        <w:rPr>
          <w:b/>
          <w:sz w:val="21"/>
        </w:rPr>
        <w:t>Pick trolleys (S011):</w:t>
      </w:r>
      <w:r>
        <w:rPr>
          <w:b w:val="0"/>
          <w:sz w:val="21"/>
        </w:rPr>
        <w:t xml:space="preserve"> 3-tier, 1,000 × 600 mm, 250 kg, 6 totes — for the small orders.</w:t>
      </w:r>
    </w:p>
    <w:p>
      <w:pPr>
        <w:pStyle w:val="ListBullet"/>
      </w:pPr>
      <w:r>
        <w:rPr>
          <w:b w:val="0"/>
          <w:sz w:val="21"/>
        </w:rPr>
      </w:r>
      <w:r>
        <w:rPr>
          <w:b/>
          <w:sz w:val="21"/>
        </w:rPr>
        <w:t>ERE 225 rider pallet truck (S008):</w:t>
      </w:r>
      <w:r>
        <w:rPr>
          <w:b w:val="0"/>
          <w:sz w:val="21"/>
        </w:rPr>
        <w:t xml:space="preserve"> 2,500 kg, built for loading and unloading trailers and containers; one per dock side (west and east).</w:t>
      </w:r>
    </w:p>
    <w:p>
      <w:pPr>
        <w:pStyle w:val="ListBullet"/>
      </w:pPr>
      <w:r>
        <w:rPr>
          <w:b w:val="0"/>
          <w:sz w:val="21"/>
        </w:rPr>
      </w:r>
      <w:r>
        <w:rPr>
          <w:b/>
          <w:sz w:val="21"/>
        </w:rPr>
        <w:t>Charging:</w:t>
      </w:r>
      <w:r>
        <w:rPr>
          <w:b w:val="0"/>
          <w:sz w:val="21"/>
        </w:rPr>
        <w:t xml:space="preserve"> Li-ion opportunity charging — no battery room is needed; chargers sit at the P&amp;D points.</w:t>
      </w:r>
    </w:p>
    <w:p>
      <w:pPr>
        <w:pStyle w:val="ListBullet"/>
      </w:pPr>
      <w:r>
        <w:rPr>
          <w:b w:val="0"/>
          <w:sz w:val="21"/>
        </w:rPr>
      </w:r>
      <w:r>
        <w:rPr>
          <w:b/>
          <w:sz w:val="21"/>
        </w:rPr>
        <w:t>Plus:</w:t>
      </w:r>
      <w:r>
        <w:rPr>
          <w:b w:val="0"/>
          <w:sz w:val="21"/>
        </w:rPr>
        <w:t xml:space="preserve"> RF / voice terminals per picker, print-and-apply at packing, roll cages for parcel staging.</w:t>
      </w:r>
    </w:p>
    <w:p>
      <w:pPr>
        <w:keepNext/>
        <w:spacing w:after="80"/>
      </w:pPr>
      <w:r>
        <w:rPr>
          <w:b w:val="0"/>
          <w:i w:val="0"/>
          <w:color w:val="222222"/>
          <w:sz w:val="21"/>
        </w:rPr>
        <w:t>Why each machine, and how it is used:</w:t>
      </w:r>
    </w:p>
    <w:tbl>
      <w:tblPr>
        <w:tblStyle w:val="LightGrid-Accent1"/>
        <w:tblW w:type="auto" w:w="0"/>
        <w:jc w:val="center"/>
        <w:tblLayout w:type="fixed"/>
        <w:tblLook w:firstColumn="1" w:firstRow="1" w:lastColumn="0" w:lastRow="0" w:noHBand="0" w:noVBand="1" w:val="04A0"/>
      </w:tblPr>
      <w:tblGrid>
        <w:gridCol w:w="1587"/>
        <w:gridCol w:w="1587"/>
        <w:gridCol w:w="2721"/>
        <w:gridCol w:w="2494"/>
        <w:gridCol w:w="680"/>
      </w:tblGrid>
      <w:tr>
        <w:trPr>
          <w:cantSplit/>
        </w:trPr>
        <w:tc>
          <w:tcPr>
            <w:tcW w:type="dxa" w:w="1587"/>
          </w:tcPr>
          <w:p>
            <w:pPr>
              <w:keepNext/>
            </w:pPr>
            <w:r/>
            <w:r>
              <w:rPr>
                <w:b/>
                <w:sz w:val="19"/>
              </w:rPr>
              <w:t>Machine</w:t>
            </w:r>
          </w:p>
        </w:tc>
        <w:tc>
          <w:tcPr>
            <w:tcW w:type="dxa" w:w="1587"/>
          </w:tcPr>
          <w:p>
            <w:pPr>
              <w:keepNext/>
            </w:pPr>
            <w:r/>
            <w:r>
              <w:rPr>
                <w:b/>
                <w:sz w:val="19"/>
              </w:rPr>
              <w:t>Process</w:t>
            </w:r>
          </w:p>
        </w:tc>
        <w:tc>
          <w:tcPr>
            <w:tcW w:type="dxa" w:w="2721"/>
          </w:tcPr>
          <w:p>
            <w:pPr>
              <w:keepNext/>
            </w:pPr>
            <w:r/>
            <w:r>
              <w:rPr>
                <w:b/>
                <w:sz w:val="19"/>
              </w:rPr>
              <w:t>Why (data)</w:t>
            </w:r>
          </w:p>
        </w:tc>
        <w:tc>
          <w:tcPr>
            <w:tcW w:type="dxa" w:w="2494"/>
          </w:tcPr>
          <w:p>
            <w:pPr>
              <w:keepNext/>
            </w:pPr>
            <w:r/>
            <w:r>
              <w:rPr>
                <w:b/>
                <w:sz w:val="19"/>
              </w:rPr>
              <w:t>How it is used</w:t>
            </w:r>
          </w:p>
        </w:tc>
        <w:tc>
          <w:tcPr>
            <w:tcW w:type="dxa" w:w="680"/>
          </w:tcPr>
          <w:p>
            <w:pPr>
              <w:keepNext/>
            </w:pPr>
            <w:r/>
            <w:r>
              <w:rPr>
                <w:b/>
                <w:sz w:val="19"/>
              </w:rPr>
              <w:t>Units</w:t>
            </w:r>
          </w:p>
        </w:tc>
      </w:tr>
      <w:tr>
        <w:trPr>
          <w:cantSplit/>
        </w:trPr>
        <w:tc>
          <w:tcPr>
            <w:tcW w:type="dxa" w:w="1587"/>
          </w:tcPr>
          <w:p>
            <w:pPr>
              <w:keepNext/>
            </w:pPr>
            <w:r/>
            <w:r>
              <w:rPr>
                <w:sz w:val="19"/>
              </w:rPr>
              <w:t>ETV 216i reach truck</w:t>
            </w:r>
          </w:p>
        </w:tc>
        <w:tc>
          <w:tcPr>
            <w:tcW w:type="dxa" w:w="1587"/>
          </w:tcPr>
          <w:p>
            <w:pPr>
              <w:keepNext/>
            </w:pPr>
            <w:r/>
            <w:r>
              <w:rPr>
                <w:sz w:val="19"/>
              </w:rPr>
              <w:t>Putaway, replenishment, full-pallet picks</w:t>
            </w:r>
          </w:p>
        </w:tc>
        <w:tc>
          <w:tcPr>
            <w:tcW w:type="dxa" w:w="2721"/>
          </w:tcPr>
          <w:p>
            <w:pPr>
              <w:keepNext/>
            </w:pPr>
            <w:r/>
            <w:r>
              <w:rPr>
                <w:sz w:val="19"/>
              </w:rPr>
              <w:t>Pallets stored up to the 8th level (top beam 10.0 m) - needs 10.7 m lift; single-deep racks, so standard forks; 11,012 of 11,015 loads ≤ 1.6 t</w:t>
            </w:r>
          </w:p>
        </w:tc>
        <w:tc>
          <w:tcPr>
            <w:tcW w:type="dxa" w:w="2494"/>
          </w:tcPr>
          <w:p>
            <w:pPr>
              <w:keepNext/>
            </w:pPr>
            <w:r/>
            <w:r>
              <w:rPr>
                <w:sz w:val="19"/>
              </w:rPr>
              <w:t>Perimeter + cross-aisles; ~25 putaways/h; feeds fast-pick lanes from the rear</w:t>
            </w:r>
          </w:p>
        </w:tc>
        <w:tc>
          <w:tcPr>
            <w:tcW w:type="dxa" w:w="680"/>
          </w:tcPr>
          <w:p>
            <w:pPr>
              <w:keepNext/>
              <w:jc w:val="right"/>
            </w:pPr>
            <w:r/>
            <w:r>
              <w:rPr>
                <w:sz w:val="19"/>
              </w:rPr>
              <w:t>2</w:t>
            </w:r>
          </w:p>
        </w:tc>
      </w:tr>
      <w:tr>
        <w:trPr>
          <w:cantSplit/>
        </w:trPr>
        <w:tc>
          <w:tcPr>
            <w:tcW w:type="dxa" w:w="1587"/>
          </w:tcPr>
          <w:p>
            <w:pPr>
              <w:keepNext/>
            </w:pPr>
            <w:r/>
            <w:r>
              <w:rPr>
                <w:sz w:val="19"/>
              </w:rPr>
              <w:t>EJE 120i pallet truck</w:t>
            </w:r>
          </w:p>
        </w:tc>
        <w:tc>
          <w:tcPr>
            <w:tcW w:type="dxa" w:w="1587"/>
          </w:tcPr>
          <w:p>
            <w:pPr>
              <w:keepNext/>
            </w:pPr>
            <w:r/>
            <w:r>
              <w:rPr>
                <w:sz w:val="19"/>
              </w:rPr>
              <w:t>Large orders: pick-to-pallet</w:t>
            </w:r>
          </w:p>
        </w:tc>
        <w:tc>
          <w:tcPr>
            <w:tcW w:type="dxa" w:w="2721"/>
          </w:tcPr>
          <w:p>
            <w:pPr>
              <w:keepNext/>
            </w:pPr>
            <w:r/>
            <w:r>
              <w:rPr>
                <w:sz w:val="19"/>
              </w:rPr>
              <w:t>16% of orders (23/day) are pallet-sized: median 234 L, 140 kg (p90 671 kg) - too big/heavy for a trolley</w:t>
            </w:r>
          </w:p>
        </w:tc>
        <w:tc>
          <w:tcPr>
            <w:tcW w:type="dxa" w:w="2494"/>
          </w:tcPr>
          <w:p>
            <w:pPr>
              <w:keepNext/>
            </w:pPr>
            <w:r/>
            <w:r>
              <w:rPr>
                <w:sz w:val="19"/>
              </w:rPr>
              <w:t>One order per pallet; ~15 lines in ~18 min; drops the pallet at packing</w:t>
            </w:r>
          </w:p>
        </w:tc>
        <w:tc>
          <w:tcPr>
            <w:tcW w:type="dxa" w:w="680"/>
          </w:tcPr>
          <w:p>
            <w:pPr>
              <w:keepNext/>
              <w:jc w:val="right"/>
            </w:pPr>
            <w:r/>
            <w:r>
              <w:rPr>
                <w:sz w:val="19"/>
              </w:rPr>
              <w:t>3</w:t>
            </w:r>
          </w:p>
        </w:tc>
      </w:tr>
      <w:tr>
        <w:trPr>
          <w:cantSplit/>
        </w:trPr>
        <w:tc>
          <w:tcPr>
            <w:tcW w:type="dxa" w:w="1587"/>
          </w:tcPr>
          <w:p>
            <w:pPr>
              <w:keepNext/>
            </w:pPr>
            <w:r/>
            <w:r>
              <w:rPr>
                <w:sz w:val="19"/>
              </w:rPr>
              <w:t>Pick trolley + totes</w:t>
            </w:r>
          </w:p>
        </w:tc>
        <w:tc>
          <w:tcPr>
            <w:tcW w:type="dxa" w:w="1587"/>
          </w:tcPr>
          <w:p>
            <w:pPr>
              <w:keepNext/>
            </w:pPr>
            <w:r/>
            <w:r>
              <w:rPr>
                <w:sz w:val="19"/>
              </w:rPr>
              <w:t>Small orders: zone batch picking</w:t>
            </w:r>
          </w:p>
        </w:tc>
        <w:tc>
          <w:tcPr>
            <w:tcW w:type="dxa" w:w="2721"/>
          </w:tcPr>
          <w:p>
            <w:pPr>
              <w:keepNext/>
            </w:pPr>
            <w:r/>
            <w:r>
              <w:rPr>
                <w:sz w:val="19"/>
              </w:rPr>
              <w:t>84% of orders are small (median order 7 L; 75% fit in one tote)</w:t>
            </w:r>
          </w:p>
        </w:tc>
        <w:tc>
          <w:tcPr>
            <w:tcW w:type="dxa" w:w="2494"/>
          </w:tcPr>
          <w:p>
            <w:pPr>
              <w:keepNext/>
            </w:pPr>
            <w:r/>
            <w:r>
              <w:rPr>
                <w:sz w:val="19"/>
              </w:rPr>
              <w:t>WMS fills each trolley to its volume/weight limit (~31 lines per tour); put-to-light wall sorts per order</w:t>
            </w:r>
          </w:p>
        </w:tc>
        <w:tc>
          <w:tcPr>
            <w:tcW w:type="dxa" w:w="680"/>
          </w:tcPr>
          <w:p>
            <w:pPr>
              <w:keepNext/>
              <w:jc w:val="right"/>
            </w:pPr>
            <w:r/>
            <w:r>
              <w:rPr>
                <w:sz w:val="19"/>
              </w:rPr>
              <w:t>6</w:t>
            </w:r>
          </w:p>
        </w:tc>
      </w:tr>
      <w:tr>
        <w:trPr>
          <w:cantSplit/>
        </w:trPr>
        <w:tc>
          <w:tcPr>
            <w:tcW w:type="dxa" w:w="1587"/>
          </w:tcPr>
          <w:p>
            <w:pPr>
              <w:keepNext/>
            </w:pPr>
            <w:r/>
            <w:r>
              <w:rPr>
                <w:sz w:val="19"/>
              </w:rPr>
              <w:t>ERE 225 rider pallet truck</w:t>
            </w:r>
          </w:p>
        </w:tc>
        <w:tc>
          <w:tcPr>
            <w:tcW w:type="dxa" w:w="1587"/>
          </w:tcPr>
          <w:p>
            <w:pPr>
              <w:keepNext/>
            </w:pPr>
            <w:r/>
            <w:r>
              <w:rPr>
                <w:sz w:val="19"/>
              </w:rPr>
              <w:t>Unloading and loading trailers</w:t>
            </w:r>
          </w:p>
        </w:tc>
        <w:tc>
          <w:tcPr>
            <w:tcW w:type="dxa" w:w="2721"/>
          </w:tcPr>
          <w:p>
            <w:pPr>
              <w:keepNext/>
            </w:pPr>
            <w:r/>
            <w:r>
              <w:rPr>
                <w:sz w:val="19"/>
              </w:rPr>
              <w:t>~99 inbound loads/day in the morning + outbound pallets in the afternoon; rider = less walking, 2.5 t</w:t>
            </w:r>
          </w:p>
        </w:tc>
        <w:tc>
          <w:tcPr>
            <w:tcW w:type="dxa" w:w="2494"/>
          </w:tcPr>
          <w:p>
            <w:pPr>
              <w:keepNext/>
            </w:pPr>
            <w:r/>
            <w:r>
              <w:rPr>
                <w:sz w:val="19"/>
              </w:rPr>
              <w:t>One per dock side (west receiving, east shipping)</w:t>
            </w:r>
          </w:p>
        </w:tc>
        <w:tc>
          <w:tcPr>
            <w:tcW w:type="dxa" w:w="680"/>
          </w:tcPr>
          <w:p>
            <w:pPr>
              <w:keepNext/>
              <w:jc w:val="right"/>
            </w:pPr>
            <w:r/>
            <w:r>
              <w:rPr>
                <w:sz w:val="19"/>
              </w:rPr>
              <w:t>2</w:t>
            </w:r>
          </w:p>
        </w:tc>
      </w:tr>
      <w:tr>
        <w:trPr>
          <w:cantSplit/>
        </w:trPr>
        <w:tc>
          <w:tcPr>
            <w:tcW w:type="dxa" w:w="1587"/>
          </w:tcPr>
          <w:p>
            <w:r/>
            <w:r>
              <w:rPr>
                <w:sz w:val="19"/>
              </w:rPr>
              <w:t>EZS 130 tugger train</w:t>
            </w:r>
          </w:p>
        </w:tc>
        <w:tc>
          <w:tcPr>
            <w:tcW w:type="dxa" w:w="1587"/>
          </w:tcPr>
          <w:p>
            <w:r/>
            <w:r>
              <w:rPr>
                <w:sz w:val="19"/>
              </w:rPr>
              <w:t>Transport picked trolleys to packing (option)</w:t>
            </w:r>
          </w:p>
        </w:tc>
        <w:tc>
          <w:tcPr>
            <w:tcW w:type="dxa" w:w="2721"/>
          </w:tcPr>
          <w:p>
            <w:r/>
            <w:r>
              <w:rPr>
                <w:sz w:val="19"/>
              </w:rPr>
              <w:t>Fits zone picking, but only ~9 trolley trips/day; a driver would be 26% busy to save ~6 min walking</w:t>
            </w:r>
          </w:p>
        </w:tc>
        <w:tc>
          <w:tcPr>
            <w:tcW w:type="dxa" w:w="2494"/>
          </w:tcPr>
          <w:p>
            <w:r/>
            <w:r>
              <w:rPr>
                <w:sz w:val="19"/>
              </w:rPr>
              <w:t>Not planned now; adopt if small-order volume ~triples or packing moves away from the pick zones</w:t>
            </w:r>
          </w:p>
        </w:tc>
        <w:tc>
          <w:tcPr>
            <w:tcW w:type="dxa" w:w="680"/>
          </w:tcPr>
          <w:p>
            <w:pPr>
              <w:jc w:val="right"/>
            </w:pPr>
            <w:r/>
            <w:r>
              <w:rPr>
                <w:sz w:val="19"/>
              </w:rPr>
              <w:t>0</w:t>
            </w:r>
          </w:p>
        </w:tc>
      </w:tr>
    </w:tbl>
    <w:p>
      <w:pPr>
        <w:spacing w:after="40"/>
      </w:pPr>
    </w:p>
    <w:p>
      <w:pPr>
        <w:keepNext/>
        <w:spacing w:after="80"/>
      </w:pPr>
      <w:r>
        <w:rPr>
          <w:b w:val="0"/>
          <w:i w:val="0"/>
          <w:color w:val="222222"/>
          <w:sz w:val="21"/>
        </w:rPr>
        <w:t>Truck dimensions and turning — can every machine move where it has to?</w:t>
      </w:r>
    </w:p>
    <w:tbl>
      <w:tblPr>
        <w:tblStyle w:val="LightGrid-Accent1"/>
        <w:tblW w:type="auto" w:w="0"/>
        <w:jc w:val="center"/>
        <w:tblLayout w:type="fixed"/>
        <w:tblLook w:firstColumn="1" w:firstRow="1" w:lastColumn="0" w:lastRow="0" w:noHBand="0" w:noVBand="1" w:val="04A0"/>
      </w:tblPr>
      <w:tblGrid>
        <w:gridCol w:w="1701"/>
        <w:gridCol w:w="1587"/>
        <w:gridCol w:w="1814"/>
        <w:gridCol w:w="1928"/>
        <w:gridCol w:w="2041"/>
      </w:tblGrid>
      <w:tr>
        <w:trPr>
          <w:cantSplit/>
        </w:trPr>
        <w:tc>
          <w:tcPr>
            <w:tcW w:type="dxa" w:w="1701"/>
          </w:tcPr>
          <w:p>
            <w:pPr>
              <w:keepNext/>
            </w:pPr>
            <w:r/>
            <w:r>
              <w:rPr>
                <w:b/>
                <w:sz w:val="19"/>
              </w:rPr>
              <w:t>Machine</w:t>
            </w:r>
          </w:p>
        </w:tc>
        <w:tc>
          <w:tcPr>
            <w:tcW w:type="dxa" w:w="1587"/>
          </w:tcPr>
          <w:p>
            <w:pPr>
              <w:keepNext/>
            </w:pPr>
            <w:r/>
            <w:r>
              <w:rPr>
                <w:b/>
                <w:sz w:val="19"/>
              </w:rPr>
              <w:t>Size (L × W)</w:t>
            </w:r>
          </w:p>
        </w:tc>
        <w:tc>
          <w:tcPr>
            <w:tcW w:type="dxa" w:w="1814"/>
          </w:tcPr>
          <w:p>
            <w:pPr>
              <w:keepNext/>
            </w:pPr>
            <w:r/>
            <w:r>
              <w:rPr>
                <w:b/>
                <w:sz w:val="19"/>
              </w:rPr>
              <w:t>Turning / aisle needed</w:t>
            </w:r>
          </w:p>
        </w:tc>
        <w:tc>
          <w:tcPr>
            <w:tcW w:type="dxa" w:w="1928"/>
          </w:tcPr>
          <w:p>
            <w:pPr>
              <w:keepNext/>
            </w:pPr>
            <w:r/>
            <w:r>
              <w:rPr>
                <w:b/>
                <w:sz w:val="19"/>
              </w:rPr>
              <w:t>Where it drives</w:t>
            </w:r>
          </w:p>
        </w:tc>
        <w:tc>
          <w:tcPr>
            <w:tcW w:type="dxa" w:w="2041"/>
          </w:tcPr>
          <w:p>
            <w:pPr>
              <w:keepNext/>
            </w:pPr>
            <w:r/>
            <w:r>
              <w:rPr>
                <w:b/>
                <w:sz w:val="19"/>
              </w:rPr>
              <w:t>Result</w:t>
            </w:r>
          </w:p>
        </w:tc>
      </w:tr>
      <w:tr>
        <w:trPr>
          <w:cantSplit/>
        </w:trPr>
        <w:tc>
          <w:tcPr>
            <w:tcW w:type="dxa" w:w="1701"/>
          </w:tcPr>
          <w:p>
            <w:pPr>
              <w:keepNext/>
            </w:pPr>
            <w:r/>
            <w:r>
              <w:rPr>
                <w:sz w:val="19"/>
              </w:rPr>
              <w:t>ETV 216i reach truck</w:t>
            </w:r>
          </w:p>
        </w:tc>
        <w:tc>
          <w:tcPr>
            <w:tcW w:type="dxa" w:w="1587"/>
          </w:tcPr>
          <w:p>
            <w:pPr>
              <w:keepNext/>
            </w:pPr>
            <w:r/>
            <w:r>
              <w:rPr>
                <w:sz w:val="19"/>
              </w:rPr>
              <w:t>2,419 x 1,270 mm</w:t>
            </w:r>
          </w:p>
        </w:tc>
        <w:tc>
          <w:tcPr>
            <w:tcW w:type="dxa" w:w="1814"/>
          </w:tcPr>
          <w:p>
            <w:pPr>
              <w:keepNext/>
            </w:pPr>
            <w:r/>
            <w:r>
              <w:rPr>
                <w:sz w:val="19"/>
              </w:rPr>
              <w:t>Wa 1,665 mm; aisle 2,631-2,785 mm</w:t>
            </w:r>
          </w:p>
        </w:tc>
        <w:tc>
          <w:tcPr>
            <w:tcW w:type="dxa" w:w="1928"/>
          </w:tcPr>
          <w:p>
            <w:pPr>
              <w:keepNext/>
            </w:pPr>
            <w:r/>
            <w:r>
              <w:rPr>
                <w:sz w:val="19"/>
              </w:rPr>
              <w:t>Perimeter + cross-aisles; storage aisles</w:t>
            </w:r>
          </w:p>
        </w:tc>
        <w:tc>
          <w:tcPr>
            <w:tcW w:type="dxa" w:w="2041"/>
          </w:tcPr>
          <w:p>
            <w:pPr>
              <w:keepNext/>
            </w:pPr>
            <w:r/>
            <w:r>
              <w:rPr>
                <w:sz w:val="19"/>
              </w:rPr>
              <w:t>OK - turns 90° in the 3.2 m cross-aisles; with a 2.05 m long load it needs 2976 mm -&gt; long goods only via 3.2 m aisles</w:t>
            </w:r>
          </w:p>
        </w:tc>
      </w:tr>
      <w:tr>
        <w:trPr>
          <w:cantSplit/>
        </w:trPr>
        <w:tc>
          <w:tcPr>
            <w:tcW w:type="dxa" w:w="1701"/>
          </w:tcPr>
          <w:p>
            <w:pPr>
              <w:keepNext/>
            </w:pPr>
            <w:r/>
            <w:r>
              <w:rPr>
                <w:sz w:val="19"/>
              </w:rPr>
              <w:t>EJE 120i pallet truck</w:t>
            </w:r>
          </w:p>
        </w:tc>
        <w:tc>
          <w:tcPr>
            <w:tcW w:type="dxa" w:w="1587"/>
          </w:tcPr>
          <w:p>
            <w:pPr>
              <w:keepNext/>
            </w:pPr>
            <w:r/>
            <w:r>
              <w:rPr>
                <w:sz w:val="19"/>
              </w:rPr>
              <w:t>1,575 x 720 mm</w:t>
            </w:r>
          </w:p>
        </w:tc>
        <w:tc>
          <w:tcPr>
            <w:tcW w:type="dxa" w:w="1814"/>
          </w:tcPr>
          <w:p>
            <w:pPr>
              <w:keepNext/>
            </w:pPr>
            <w:r/>
            <w:r>
              <w:rPr>
                <w:sz w:val="19"/>
              </w:rPr>
              <w:t>Wa 1,414-1,464 mm; aisle 1,787-1,936 mm</w:t>
            </w:r>
          </w:p>
        </w:tc>
        <w:tc>
          <w:tcPr>
            <w:tcW w:type="dxa" w:w="1928"/>
          </w:tcPr>
          <w:p>
            <w:pPr>
              <w:keepNext/>
            </w:pPr>
            <w:r/>
            <w:r>
              <w:rPr>
                <w:sz w:val="19"/>
              </w:rPr>
              <w:t>Fast-pick area, storage aisles, cross-aisles</w:t>
            </w:r>
          </w:p>
        </w:tc>
        <w:tc>
          <w:tcPr>
            <w:tcW w:type="dxa" w:w="2041"/>
          </w:tcPr>
          <w:p>
            <w:pPr>
              <w:keepNext/>
            </w:pPr>
            <w:r/>
            <w:r>
              <w:rPr>
                <w:sz w:val="19"/>
              </w:rPr>
              <w:t>OK - aisles open at both ends, so no U-turn needed</w:t>
            </w:r>
          </w:p>
        </w:tc>
      </w:tr>
      <w:tr>
        <w:trPr>
          <w:cantSplit/>
        </w:trPr>
        <w:tc>
          <w:tcPr>
            <w:tcW w:type="dxa" w:w="1701"/>
          </w:tcPr>
          <w:p>
            <w:pPr>
              <w:keepNext/>
            </w:pPr>
            <w:r/>
            <w:r>
              <w:rPr>
                <w:sz w:val="19"/>
              </w:rPr>
              <w:t>Pick trolley (manual)</w:t>
            </w:r>
          </w:p>
        </w:tc>
        <w:tc>
          <w:tcPr>
            <w:tcW w:type="dxa" w:w="1587"/>
          </w:tcPr>
          <w:p>
            <w:pPr>
              <w:keepNext/>
            </w:pPr>
            <w:r/>
            <w:r>
              <w:rPr>
                <w:sz w:val="19"/>
              </w:rPr>
              <w:t>1,000 x 600 mm</w:t>
            </w:r>
          </w:p>
        </w:tc>
        <w:tc>
          <w:tcPr>
            <w:tcW w:type="dxa" w:w="1814"/>
          </w:tcPr>
          <w:p>
            <w:pPr>
              <w:keepNext/>
            </w:pPr>
            <w:r/>
            <w:r>
              <w:rPr>
                <w:sz w:val="19"/>
              </w:rPr>
              <w:t>pushed by hand</w:t>
            </w:r>
          </w:p>
        </w:tc>
        <w:tc>
          <w:tcPr>
            <w:tcW w:type="dxa" w:w="1928"/>
          </w:tcPr>
          <w:p>
            <w:pPr>
              <w:keepNext/>
            </w:pPr>
            <w:r/>
            <w:r>
              <w:rPr>
                <w:sz w:val="19"/>
              </w:rPr>
              <w:t>Everywhere in the pick zones</w:t>
            </w:r>
          </w:p>
        </w:tc>
        <w:tc>
          <w:tcPr>
            <w:tcW w:type="dxa" w:w="2041"/>
          </w:tcPr>
          <w:p>
            <w:pPr>
              <w:keepNext/>
            </w:pPr>
            <w:r/>
            <w:r>
              <w:rPr>
                <w:sz w:val="19"/>
              </w:rPr>
              <w:t>OK</w:t>
            </w:r>
          </w:p>
        </w:tc>
      </w:tr>
      <w:tr>
        <w:trPr>
          <w:cantSplit/>
        </w:trPr>
        <w:tc>
          <w:tcPr>
            <w:tcW w:type="dxa" w:w="1701"/>
          </w:tcPr>
          <w:p>
            <w:pPr>
              <w:keepNext/>
            </w:pPr>
            <w:r/>
            <w:r>
              <w:rPr>
                <w:sz w:val="19"/>
              </w:rPr>
              <w:t>ERE 225 rider pallet truck</w:t>
            </w:r>
          </w:p>
        </w:tc>
        <w:tc>
          <w:tcPr>
            <w:tcW w:type="dxa" w:w="1587"/>
          </w:tcPr>
          <w:p>
            <w:pPr>
              <w:keepNext/>
            </w:pPr>
            <w:r/>
            <w:r>
              <w:rPr>
                <w:sz w:val="19"/>
              </w:rPr>
              <w:t>rider truck, 1,000 mm forks</w:t>
            </w:r>
          </w:p>
        </w:tc>
        <w:tc>
          <w:tcPr>
            <w:tcW w:type="dxa" w:w="1814"/>
          </w:tcPr>
          <w:p>
            <w:pPr>
              <w:keepNext/>
            </w:pPr>
            <w:r/>
            <w:r>
              <w:rPr>
                <w:sz w:val="19"/>
              </w:rPr>
              <w:t>dock work only</w:t>
            </w:r>
          </w:p>
        </w:tc>
        <w:tc>
          <w:tcPr>
            <w:tcW w:type="dxa" w:w="1928"/>
          </w:tcPr>
          <w:p>
            <w:pPr>
              <w:keepNext/>
            </w:pPr>
            <w:r/>
            <w:r>
              <w:rPr>
                <w:sz w:val="19"/>
              </w:rPr>
              <w:t>Dock strips and staging lanes (west + east)</w:t>
            </w:r>
          </w:p>
        </w:tc>
        <w:tc>
          <w:tcPr>
            <w:tcW w:type="dxa" w:w="2041"/>
          </w:tcPr>
          <w:p>
            <w:pPr>
              <w:keepNext/>
            </w:pPr>
            <w:r/>
            <w:r>
              <w:rPr>
                <w:sz w:val="19"/>
              </w:rPr>
              <w:t>OK - no aisle driving</w:t>
            </w:r>
          </w:p>
        </w:tc>
      </w:tr>
      <w:tr>
        <w:trPr>
          <w:cantSplit/>
        </w:trPr>
        <w:tc>
          <w:tcPr>
            <w:tcW w:type="dxa" w:w="1701"/>
          </w:tcPr>
          <w:p>
            <w:pPr>
              <w:keepNext/>
            </w:pPr>
            <w:r/>
            <w:r>
              <w:rPr>
                <w:sz w:val="19"/>
              </w:rPr>
              <w:t>EZS 130 tugger (option)</w:t>
            </w:r>
          </w:p>
        </w:tc>
        <w:tc>
          <w:tcPr>
            <w:tcW w:type="dxa" w:w="1587"/>
          </w:tcPr>
          <w:p>
            <w:pPr>
              <w:keepNext/>
            </w:pPr>
            <w:r/>
            <w:r>
              <w:rPr>
                <w:sz w:val="19"/>
              </w:rPr>
              <w:t>1,315 x 600 mm + carts</w:t>
            </w:r>
          </w:p>
        </w:tc>
        <w:tc>
          <w:tcPr>
            <w:tcW w:type="dxa" w:w="1814"/>
          </w:tcPr>
          <w:p>
            <w:pPr>
              <w:keepNext/>
            </w:pPr>
            <w:r/>
            <w:r>
              <w:rPr>
                <w:sz w:val="19"/>
              </w:rPr>
              <w:t>Wa ~1,080 mm (tractor)</w:t>
            </w:r>
          </w:p>
        </w:tc>
        <w:tc>
          <w:tcPr>
            <w:tcW w:type="dxa" w:w="1928"/>
          </w:tcPr>
          <w:p>
            <w:pPr>
              <w:keepNext/>
            </w:pPr>
            <w:r/>
            <w:r>
              <w:rPr>
                <w:sz w:val="19"/>
              </w:rPr>
              <w:t>Loop on perimeter + cross-aisles only</w:t>
            </w:r>
          </w:p>
        </w:tc>
        <w:tc>
          <w:tcPr>
            <w:tcW w:type="dxa" w:w="2041"/>
          </w:tcPr>
          <w:p>
            <w:pPr>
              <w:keepNext/>
            </w:pPr>
            <w:r/>
            <w:r>
              <w:rPr>
                <w:sz w:val="19"/>
              </w:rPr>
              <w:t>OK for a short train; not planned (low volume)</w:t>
            </w:r>
          </w:p>
        </w:tc>
      </w:tr>
      <w:tr>
        <w:trPr>
          <w:cantSplit/>
        </w:trPr>
        <w:tc>
          <w:tcPr>
            <w:tcW w:type="dxa" w:w="1701"/>
          </w:tcPr>
          <w:p>
            <w:r/>
            <w:r>
              <w:rPr>
                <w:sz w:val="19"/>
              </w:rPr>
              <w:t>ECE 225 order picker (dropped)</w:t>
            </w:r>
          </w:p>
        </w:tc>
        <w:tc>
          <w:tcPr>
            <w:tcW w:type="dxa" w:w="1587"/>
          </w:tcPr>
          <w:p>
            <w:r/>
            <w:r>
              <w:rPr>
                <w:sz w:val="19"/>
              </w:rPr>
              <w:t>3,670 x 810 mm, 2,400 mm forks</w:t>
            </w:r>
          </w:p>
        </w:tc>
        <w:tc>
          <w:tcPr>
            <w:tcW w:type="dxa" w:w="1814"/>
          </w:tcPr>
          <w:p>
            <w:r/>
            <w:r>
              <w:rPr>
                <w:sz w:val="19"/>
              </w:rPr>
              <w:t>too long for 3.0 m aisles</w:t>
            </w:r>
          </w:p>
        </w:tc>
        <w:tc>
          <w:tcPr>
            <w:tcW w:type="dxa" w:w="1928"/>
          </w:tcPr>
          <w:p>
            <w:r/>
            <w:r>
              <w:rPr>
                <w:sz w:val="19"/>
              </w:rPr>
              <w:t>-</w:t>
            </w:r>
          </w:p>
        </w:tc>
        <w:tc>
          <w:tcPr>
            <w:tcW w:type="dxa" w:w="2041"/>
          </w:tcPr>
          <w:p>
            <w:r/>
            <w:r>
              <w:rPr>
                <w:sz w:val="19"/>
              </w:rPr>
              <w:t>Rejected - cannot turn or U-turn in the aisles; 2 pallets far too big</w:t>
            </w:r>
          </w:p>
        </w:tc>
      </w:tr>
    </w:tbl>
    <w:p>
      <w:pPr>
        <w:spacing w:after="40"/>
      </w:pPr>
    </w:p>
    <w:tbl>
      <w:tblPr>
        <w:tblStyle w:val="LightGrid-Accent1"/>
        <w:tblW w:type="auto" w:w="0"/>
        <w:jc w:val="center"/>
        <w:tblLayout w:type="fixed"/>
        <w:tblLook w:firstColumn="1" w:firstRow="1" w:lastColumn="0" w:lastRow="0" w:noHBand="0" w:noVBand="1" w:val="04A0"/>
      </w:tblPr>
      <w:tblGrid>
        <w:gridCol w:w="3742"/>
        <w:gridCol w:w="1247"/>
        <w:gridCol w:w="1474"/>
        <w:gridCol w:w="1247"/>
        <w:gridCol w:w="1247"/>
      </w:tblGrid>
      <w:tr>
        <w:trPr>
          <w:cantSplit/>
        </w:trPr>
        <w:tc>
          <w:tcPr>
            <w:tcW w:type="dxa" w:w="3742"/>
          </w:tcPr>
          <w:p>
            <w:pPr>
              <w:keepNext/>
            </w:pPr>
            <w:r/>
            <w:r>
              <w:rPr>
                <w:b/>
                <w:sz w:val="19"/>
              </w:rPr>
              <w:t>Move</w:t>
            </w:r>
          </w:p>
        </w:tc>
        <w:tc>
          <w:tcPr>
            <w:tcW w:type="dxa" w:w="1247"/>
          </w:tcPr>
          <w:p>
            <w:pPr>
              <w:keepNext/>
            </w:pPr>
            <w:r/>
            <w:r>
              <w:rPr>
                <w:b/>
                <w:sz w:val="19"/>
              </w:rPr>
              <w:t>Truck</w:t>
            </w:r>
          </w:p>
        </w:tc>
        <w:tc>
          <w:tcPr>
            <w:tcW w:type="dxa" w:w="1474"/>
          </w:tcPr>
          <w:p>
            <w:pPr>
              <w:keepNext/>
            </w:pPr>
            <w:r/>
            <w:r>
              <w:rPr>
                <w:b/>
                <w:sz w:val="19"/>
              </w:rPr>
              <w:t>Avg one-way (m)</w:t>
            </w:r>
          </w:p>
        </w:tc>
        <w:tc>
          <w:tcPr>
            <w:tcW w:type="dxa" w:w="1247"/>
          </w:tcPr>
          <w:p>
            <w:pPr>
              <w:keepNext/>
            </w:pPr>
            <w:r/>
            <w:r>
              <w:rPr>
                <w:b/>
                <w:sz w:val="19"/>
              </w:rPr>
              <w:t>Cycle (min)</w:t>
            </w:r>
          </w:p>
        </w:tc>
        <w:tc>
          <w:tcPr>
            <w:tcW w:type="dxa" w:w="1247"/>
          </w:tcPr>
          <w:p>
            <w:pPr>
              <w:keepNext/>
            </w:pPr>
            <w:r/>
            <w:r>
              <w:rPr>
                <w:b/>
                <w:sz w:val="19"/>
              </w:rPr>
              <w:t>Moves / h</w:t>
            </w:r>
          </w:p>
        </w:tc>
      </w:tr>
      <w:tr>
        <w:trPr>
          <w:cantSplit/>
        </w:trPr>
        <w:tc>
          <w:tcPr>
            <w:tcW w:type="dxa" w:w="3742"/>
          </w:tcPr>
          <w:p>
            <w:pPr>
              <w:keepNext/>
            </w:pPr>
            <w:r/>
            <w:r>
              <w:rPr>
                <w:sz w:val="19"/>
              </w:rPr>
              <w:t>Putaway (receiving -&gt; reserve)</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2.38</w:t>
            </w:r>
          </w:p>
        </w:tc>
        <w:tc>
          <w:tcPr>
            <w:tcW w:type="dxa" w:w="1247"/>
          </w:tcPr>
          <w:p>
            <w:pPr>
              <w:keepNext/>
              <w:jc w:val="right"/>
            </w:pPr>
            <w:r/>
            <w:r>
              <w:rPr>
                <w:sz w:val="19"/>
              </w:rPr>
              <w:t>25</w:t>
            </w:r>
          </w:p>
        </w:tc>
      </w:tr>
      <w:tr>
        <w:trPr>
          <w:cantSplit/>
        </w:trPr>
        <w:tc>
          <w:tcPr>
            <w:tcW w:type="dxa" w:w="3742"/>
          </w:tcPr>
          <w:p>
            <w:pPr>
              <w:keepNext/>
            </w:pPr>
            <w:r/>
            <w:r>
              <w:rPr>
                <w:sz w:val="19"/>
              </w:rPr>
              <w:t>Replenishment (reserve -&gt; fast-pick rear)</w:t>
            </w:r>
          </w:p>
        </w:tc>
        <w:tc>
          <w:tcPr>
            <w:tcW w:type="dxa" w:w="1247"/>
          </w:tcPr>
          <w:p>
            <w:pPr>
              <w:keepNext/>
            </w:pPr>
            <w:r/>
            <w:r>
              <w:rPr>
                <w:sz w:val="19"/>
              </w:rPr>
              <w:t>ETV 216i</w:t>
            </w:r>
          </w:p>
        </w:tc>
        <w:tc>
          <w:tcPr>
            <w:tcW w:type="dxa" w:w="1474"/>
          </w:tcPr>
          <w:p>
            <w:pPr>
              <w:keepNext/>
              <w:jc w:val="right"/>
            </w:pPr>
            <w:r/>
            <w:r>
              <w:rPr>
                <w:sz w:val="19"/>
              </w:rPr>
              <w:t>28</w:t>
            </w:r>
          </w:p>
        </w:tc>
        <w:tc>
          <w:tcPr>
            <w:tcW w:type="dxa" w:w="1247"/>
          </w:tcPr>
          <w:p>
            <w:pPr>
              <w:keepNext/>
              <w:jc w:val="right"/>
            </w:pPr>
            <w:r/>
            <w:r>
              <w:rPr>
                <w:sz w:val="19"/>
              </w:rPr>
              <w:t>1.83</w:t>
            </w:r>
          </w:p>
        </w:tc>
        <w:tc>
          <w:tcPr>
            <w:tcW w:type="dxa" w:w="1247"/>
          </w:tcPr>
          <w:p>
            <w:pPr>
              <w:keepNext/>
              <w:jc w:val="right"/>
            </w:pPr>
            <w:r/>
            <w:r>
              <w:rPr>
                <w:sz w:val="19"/>
              </w:rPr>
              <w:t>33</w:t>
            </w:r>
          </w:p>
        </w:tc>
      </w:tr>
      <w:tr>
        <w:trPr>
          <w:cantSplit/>
        </w:trPr>
        <w:tc>
          <w:tcPr>
            <w:tcW w:type="dxa" w:w="3742"/>
          </w:tcPr>
          <w:p>
            <w:pPr>
              <w:keepNext/>
            </w:pPr>
            <w:r/>
            <w:r>
              <w:rPr>
                <w:sz w:val="19"/>
              </w:rPr>
              <w:t>Full-pallet pick (reserve -&gt; outbound)</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2.37</w:t>
            </w:r>
          </w:p>
        </w:tc>
        <w:tc>
          <w:tcPr>
            <w:tcW w:type="dxa" w:w="1247"/>
          </w:tcPr>
          <w:p>
            <w:pPr>
              <w:keepNext/>
              <w:jc w:val="right"/>
            </w:pPr>
            <w:r/>
            <w:r>
              <w:rPr>
                <w:sz w:val="19"/>
              </w:rPr>
              <w:t>25</w:t>
            </w:r>
          </w:p>
        </w:tc>
      </w:tr>
      <w:tr>
        <w:trPr>
          <w:cantSplit/>
        </w:trPr>
        <w:tc>
          <w:tcPr>
            <w:tcW w:type="dxa" w:w="3742"/>
          </w:tcPr>
          <w:p>
            <w:pPr>
              <w:keepNext/>
            </w:pPr>
            <w:r/>
            <w:r>
              <w:rPr>
                <w:sz w:val="19"/>
              </w:rPr>
              <w:t>Unload pallet (trailer -&gt; receiving lane)</w:t>
            </w:r>
          </w:p>
        </w:tc>
        <w:tc>
          <w:tcPr>
            <w:tcW w:type="dxa" w:w="1247"/>
          </w:tcPr>
          <w:p>
            <w:pPr>
              <w:keepNext/>
            </w:pPr>
            <w:r/>
            <w:r>
              <w:rPr>
                <w:sz w:val="19"/>
              </w:rPr>
              <w:t>ERE 225</w:t>
            </w:r>
          </w:p>
        </w:tc>
        <w:tc>
          <w:tcPr>
            <w:tcW w:type="dxa" w:w="1474"/>
          </w:tcPr>
          <w:p>
            <w:pPr>
              <w:keepNext/>
              <w:jc w:val="right"/>
            </w:pPr>
            <w:r/>
            <w:r>
              <w:rPr>
                <w:sz w:val="19"/>
              </w:rPr>
              <w:t>19</w:t>
            </w:r>
          </w:p>
        </w:tc>
        <w:tc>
          <w:tcPr>
            <w:tcW w:type="dxa" w:w="1247"/>
          </w:tcPr>
          <w:p>
            <w:pPr>
              <w:keepNext/>
              <w:jc w:val="right"/>
            </w:pPr>
            <w:r/>
            <w:r>
              <w:rPr>
                <w:sz w:val="19"/>
              </w:rPr>
              <w:t>0.99</w:t>
            </w:r>
          </w:p>
        </w:tc>
        <w:tc>
          <w:tcPr>
            <w:tcW w:type="dxa" w:w="1247"/>
          </w:tcPr>
          <w:p>
            <w:pPr>
              <w:keepNext/>
              <w:jc w:val="right"/>
            </w:pPr>
            <w:r/>
            <w:r>
              <w:rPr>
                <w:sz w:val="19"/>
              </w:rPr>
              <w:t>61</w:t>
            </w:r>
          </w:p>
        </w:tc>
      </w:tr>
      <w:tr>
        <w:trPr>
          <w:cantSplit/>
        </w:trPr>
        <w:tc>
          <w:tcPr>
            <w:tcW w:type="dxa" w:w="3742"/>
          </w:tcPr>
          <w:p>
            <w:r/>
            <w:r>
              <w:rPr>
                <w:sz w:val="19"/>
              </w:rPr>
              <w:t>Load pallet (staging -&gt; trailer)</w:t>
            </w:r>
          </w:p>
        </w:tc>
        <w:tc>
          <w:tcPr>
            <w:tcW w:type="dxa" w:w="1247"/>
          </w:tcPr>
          <w:p>
            <w:r/>
            <w:r>
              <w:rPr>
                <w:sz w:val="19"/>
              </w:rPr>
              <w:t>ERE 225</w:t>
            </w:r>
          </w:p>
        </w:tc>
        <w:tc>
          <w:tcPr>
            <w:tcW w:type="dxa" w:w="1474"/>
          </w:tcPr>
          <w:p>
            <w:pPr>
              <w:jc w:val="right"/>
            </w:pPr>
            <w:r/>
            <w:r>
              <w:rPr>
                <w:sz w:val="19"/>
              </w:rPr>
              <w:t>19</w:t>
            </w:r>
          </w:p>
        </w:tc>
        <w:tc>
          <w:tcPr>
            <w:tcW w:type="dxa" w:w="1247"/>
          </w:tcPr>
          <w:p>
            <w:pPr>
              <w:jc w:val="right"/>
            </w:pPr>
            <w:r/>
            <w:r>
              <w:rPr>
                <w:sz w:val="19"/>
              </w:rPr>
              <w:t>1.24</w:t>
            </w:r>
          </w:p>
        </w:tc>
        <w:tc>
          <w:tcPr>
            <w:tcW w:type="dxa" w:w="1247"/>
          </w:tcPr>
          <w:p>
            <w:pPr>
              <w:jc w:val="right"/>
            </w:pPr>
            <w:r/>
            <w:r>
              <w:rPr>
                <w:sz w:val="19"/>
              </w:rPr>
              <w:t>48</w:t>
            </w:r>
          </w:p>
        </w:tc>
      </w:tr>
    </w:tbl>
    <w:p>
      <w:pPr>
        <w:spacing w:after="40"/>
      </w:pPr>
    </w:p>
    <w:p>
      <w:pPr>
        <w:keepNext/>
        <w:spacing w:after="80"/>
      </w:pPr>
      <w:r>
        <w:rPr>
          <w:b w:val="0"/>
          <w:i w:val="0"/>
          <w:color w:val="222222"/>
          <w:sz w:val="21"/>
        </w:rPr>
        <w:t>Fit checks — layout and loads against the truck data:</w:t>
      </w:r>
    </w:p>
    <w:tbl>
      <w:tblPr>
        <w:tblStyle w:val="LightGrid-Accent1"/>
        <w:tblW w:type="auto" w:w="0"/>
        <w:jc w:val="center"/>
        <w:tblLayout w:type="fixed"/>
        <w:tblLook w:firstColumn="1" w:firstRow="1" w:lastColumn="0" w:lastRow="0" w:noHBand="0" w:noVBand="1" w:val="04A0"/>
      </w:tblPr>
      <w:tblGrid>
        <w:gridCol w:w="3175"/>
        <w:gridCol w:w="2608"/>
        <w:gridCol w:w="3288"/>
      </w:tblGrid>
      <w:tr>
        <w:trPr>
          <w:cantSplit/>
        </w:trPr>
        <w:tc>
          <w:tcPr>
            <w:tcW w:type="dxa" w:w="3175"/>
          </w:tcPr>
          <w:p>
            <w:pPr>
              <w:keepNext/>
            </w:pPr>
            <w:r/>
            <w:r>
              <w:rPr>
                <w:b/>
                <w:sz w:val="19"/>
              </w:rPr>
              <w:t>Check</w:t>
            </w:r>
          </w:p>
        </w:tc>
        <w:tc>
          <w:tcPr>
            <w:tcW w:type="dxa" w:w="2608"/>
          </w:tcPr>
          <w:p>
            <w:pPr>
              <w:keepNext/>
            </w:pPr>
            <w:r/>
            <w:r>
              <w:rPr>
                <w:b/>
                <w:sz w:val="19"/>
              </w:rPr>
              <w:t>Requirement</w:t>
            </w:r>
          </w:p>
        </w:tc>
        <w:tc>
          <w:tcPr>
            <w:tcW w:type="dxa" w:w="3288"/>
          </w:tcPr>
          <w:p>
            <w:pPr>
              <w:keepNext/>
            </w:pPr>
            <w:r/>
            <w:r>
              <w:rPr>
                <w:b/>
                <w:sz w:val="19"/>
              </w:rPr>
              <w:t>Result</w:t>
            </w:r>
          </w:p>
        </w:tc>
      </w:tr>
      <w:tr>
        <w:trPr>
          <w:cantSplit/>
        </w:trPr>
        <w:tc>
          <w:tcPr>
            <w:tcW w:type="dxa" w:w="3175"/>
          </w:tcPr>
          <w:p>
            <w:pPr>
              <w:keepNext/>
            </w:pPr>
            <w:r/>
            <w:r>
              <w:rPr>
                <w:sz w:val="19"/>
              </w:rPr>
              <w:t>Working aisle (reach aisle 3.0 m)</w:t>
            </w:r>
          </w:p>
        </w:tc>
        <w:tc>
          <w:tcPr>
            <w:tcW w:type="dxa" w:w="2608"/>
          </w:tcPr>
          <w:p>
            <w:pPr>
              <w:keepNext/>
            </w:pPr>
            <w:r/>
            <w:r>
              <w:rPr>
                <w:sz w:val="19"/>
              </w:rPr>
              <w:t>ETV 216i Ast 2,631-2,785 mm</w:t>
            </w:r>
          </w:p>
        </w:tc>
        <w:tc>
          <w:tcPr>
            <w:tcW w:type="dxa" w:w="3288"/>
          </w:tcPr>
          <w:p>
            <w:pPr>
              <w:keepNext/>
            </w:pPr>
            <w:r/>
            <w:r>
              <w:rPr>
                <w:sz w:val="19"/>
              </w:rPr>
              <w:t>OK - 0.2-0.4 m margin</w:t>
            </w:r>
          </w:p>
        </w:tc>
      </w:tr>
      <w:tr>
        <w:trPr>
          <w:cantSplit/>
        </w:trPr>
        <w:tc>
          <w:tcPr>
            <w:tcW w:type="dxa" w:w="3175"/>
          </w:tcPr>
          <w:p>
            <w:pPr>
              <w:keepNext/>
            </w:pPr>
            <w:r/>
            <w:r>
              <w:rPr>
                <w:sz w:val="19"/>
              </w:rPr>
              <w:t>Top beam 10.02 m (8 levels x 1.41 m)</w:t>
            </w:r>
          </w:p>
        </w:tc>
        <w:tc>
          <w:tcPr>
            <w:tcW w:type="dxa" w:w="2608"/>
          </w:tcPr>
          <w:p>
            <w:pPr>
              <w:keepNext/>
            </w:pPr>
            <w:r/>
            <w:r>
              <w:rPr>
                <w:sz w:val="19"/>
              </w:rPr>
              <w:t>Max lift 10.7 m</w:t>
            </w:r>
          </w:p>
        </w:tc>
        <w:tc>
          <w:tcPr>
            <w:tcW w:type="dxa" w:w="3288"/>
          </w:tcPr>
          <w:p>
            <w:pPr>
              <w:keepNext/>
            </w:pPr>
            <w:r/>
            <w:r>
              <w:rPr>
                <w:sz w:val="19"/>
              </w:rPr>
              <w:t>OK - 0.68 m spare</w:t>
            </w:r>
          </w:p>
        </w:tc>
      </w:tr>
      <w:tr>
        <w:trPr>
          <w:cantSplit/>
        </w:trPr>
        <w:tc>
          <w:tcPr>
            <w:tcW w:type="dxa" w:w="3175"/>
          </w:tcPr>
          <w:p>
            <w:pPr>
              <w:keepNext/>
            </w:pPr>
            <w:r/>
            <w:r>
              <w:rPr>
                <w:sz w:val="19"/>
              </w:rPr>
              <w:t>Clear height 12.2 m</w:t>
            </w:r>
          </w:p>
        </w:tc>
        <w:tc>
          <w:tcPr>
            <w:tcW w:type="dxa" w:w="2608"/>
          </w:tcPr>
          <w:p>
            <w:pPr>
              <w:keepNext/>
            </w:pPr>
            <w:r/>
            <w:r>
              <w:rPr>
                <w:sz w:val="19"/>
              </w:rPr>
              <w:t>Extended mast 11.7 m at max lift</w:t>
            </w:r>
          </w:p>
        </w:tc>
        <w:tc>
          <w:tcPr>
            <w:tcW w:type="dxa" w:w="3288"/>
          </w:tcPr>
          <w:p>
            <w:pPr>
              <w:keepNext/>
            </w:pPr>
            <w:r/>
            <w:r>
              <w:rPr>
                <w:sz w:val="19"/>
              </w:rPr>
              <w:t>OK - 0.5 m clearance</w:t>
            </w:r>
          </w:p>
        </w:tc>
      </w:tr>
      <w:tr>
        <w:trPr>
          <w:cantSplit/>
        </w:trPr>
        <w:tc>
          <w:tcPr>
            <w:tcW w:type="dxa" w:w="3175"/>
          </w:tcPr>
          <w:p>
            <w:pPr>
              <w:keepNext/>
            </w:pPr>
            <w:r/>
            <w:r>
              <w:rPr>
                <w:sz w:val="19"/>
              </w:rPr>
              <w:t>Pallet weight p95 875 kg / p99 1344 kg</w:t>
            </w:r>
          </w:p>
        </w:tc>
        <w:tc>
          <w:tcPr>
            <w:tcW w:type="dxa" w:w="2608"/>
          </w:tcPr>
          <w:p>
            <w:pPr>
              <w:keepNext/>
            </w:pPr>
            <w:r/>
            <w:r>
              <w:rPr>
                <w:sz w:val="19"/>
              </w:rPr>
              <w:t>1,600 kg @ 600 mm</w:t>
            </w:r>
          </w:p>
        </w:tc>
        <w:tc>
          <w:tcPr>
            <w:tcW w:type="dxa" w:w="3288"/>
          </w:tcPr>
          <w:p>
            <w:pPr>
              <w:keepNext/>
            </w:pPr>
            <w:r/>
            <w:r>
              <w:rPr>
                <w:sz w:val="19"/>
              </w:rPr>
              <w:t>OK for 99.4% of SKUs; &gt;1 t pallets slotted on low levels</w:t>
            </w:r>
          </w:p>
        </w:tc>
      </w:tr>
      <w:tr>
        <w:trPr>
          <w:cantSplit/>
        </w:trPr>
        <w:tc>
          <w:tcPr>
            <w:tcW w:type="dxa" w:w="3175"/>
          </w:tcPr>
          <w:p>
            <w:pPr>
              <w:keepNext/>
            </w:pPr>
            <w:r/>
            <w:r>
              <w:rPr>
                <w:sz w:val="19"/>
              </w:rPr>
              <w:t>Actual load weight in stock (qty x unit weight): 10 loads &gt; 1 t, 3 &gt; 1.6 t</w:t>
            </w:r>
          </w:p>
        </w:tc>
        <w:tc>
          <w:tcPr>
            <w:tcW w:type="dxa" w:w="2608"/>
          </w:tcPr>
          <w:p>
            <w:pPr>
              <w:keepNext/>
            </w:pPr>
            <w:r/>
            <w:r>
              <w:rPr>
                <w:sz w:val="19"/>
              </w:rPr>
              <w:t>1,600 kg @ 600 mm</w:t>
            </w:r>
          </w:p>
        </w:tc>
        <w:tc>
          <w:tcPr>
            <w:tcW w:type="dxa" w:w="3288"/>
          </w:tcPr>
          <w:p>
            <w:pPr>
              <w:keepNext/>
            </w:pPr>
            <w:r/>
            <w:r>
              <w:rPr>
                <w:sz w:val="19"/>
              </w:rPr>
              <w:t>OK - the few loads &gt; 1.6 t go to floor positions, moved with the ERE 225 (2.5 t)</w:t>
            </w:r>
          </w:p>
        </w:tc>
      </w:tr>
      <w:tr>
        <w:trPr>
          <w:cantSplit/>
        </w:trPr>
        <w:tc>
          <w:tcPr>
            <w:tcW w:type="dxa" w:w="3175"/>
          </w:tcPr>
          <w:p>
            <w:pPr>
              <w:keepNext/>
            </w:pPr>
            <w:r/>
            <w:r>
              <w:rPr>
                <w:sz w:val="19"/>
              </w:rPr>
              <w:t>Single-deep (back-to-back) racks</w:t>
            </w:r>
          </w:p>
        </w:tc>
        <w:tc>
          <w:tcPr>
            <w:tcW w:type="dxa" w:w="2608"/>
          </w:tcPr>
          <w:p>
            <w:pPr>
              <w:keepNext/>
            </w:pPr>
            <w:r/>
            <w:r>
              <w:rPr>
                <w:sz w:val="19"/>
              </w:rPr>
              <w:t>every pallet reachable from an aisle</w:t>
            </w:r>
          </w:p>
        </w:tc>
        <w:tc>
          <w:tcPr>
            <w:tcW w:type="dxa" w:w="3288"/>
          </w:tcPr>
          <w:p>
            <w:pPr>
              <w:keepNext/>
            </w:pPr>
            <w:r/>
            <w:r>
              <w:rPr>
                <w:sz w:val="19"/>
              </w:rPr>
              <w:t>OK - standard forks; no telescopic attachment, no residual-capacity loss</w:t>
            </w:r>
          </w:p>
        </w:tc>
      </w:tr>
      <w:tr>
        <w:trPr>
          <w:cantSplit/>
        </w:trPr>
        <w:tc>
          <w:tcPr>
            <w:tcW w:type="dxa" w:w="3175"/>
          </w:tcPr>
          <w:p>
            <w:pPr>
              <w:keepNext/>
            </w:pPr>
            <w:r/>
            <w:r>
              <w:rPr>
                <w:sz w:val="19"/>
              </w:rPr>
              <w:t>Long pallets: 140 loads 1.3-2.05 m (+115 recorded longer = data errors, capped at 2.05 m)</w:t>
            </w:r>
          </w:p>
        </w:tc>
        <w:tc>
          <w:tcPr>
            <w:tcW w:type="dxa" w:w="2608"/>
          </w:tcPr>
          <w:p>
            <w:pPr>
              <w:keepNext/>
            </w:pPr>
            <w:r/>
            <w:r>
              <w:rPr>
                <w:sz w:val="19"/>
              </w:rPr>
              <w:t>aisle &gt;= Ast 2976 mm with a 2.05 m load crosswise</w:t>
            </w:r>
          </w:p>
        </w:tc>
        <w:tc>
          <w:tcPr>
            <w:tcW w:type="dxa" w:w="3288"/>
          </w:tcPr>
          <w:p>
            <w:pPr>
              <w:keepNext/>
            </w:pPr>
            <w:r/>
            <w:r>
              <w:rPr>
                <w:sz w:val="19"/>
              </w:rPr>
              <w:t>OK - long-goods module with 4.5 m bays (2 pallets each) behind a 3.2 m aisle; forks under the long side (load centre 400 mm, full 1.6 t)</w:t>
            </w:r>
          </w:p>
        </w:tc>
      </w:tr>
      <w:tr>
        <w:trPr>
          <w:cantSplit/>
        </w:trPr>
        <w:tc>
          <w:tcPr>
            <w:tcW w:type="dxa" w:w="3175"/>
          </w:tcPr>
          <w:p>
            <w:pPr>
              <w:keepNext/>
            </w:pPr>
            <w:r/>
            <w:r>
              <w:rPr>
                <w:sz w:val="19"/>
              </w:rPr>
              <w:t>Tall loads: 940 loads 1.16-1.68 m, 42 &gt; 1.68 m</w:t>
            </w:r>
          </w:p>
        </w:tc>
        <w:tc>
          <w:tcPr>
            <w:tcW w:type="dxa" w:w="2608"/>
          </w:tcPr>
          <w:p>
            <w:pPr>
              <w:keepNext/>
            </w:pPr>
            <w:r/>
            <w:r>
              <w:rPr>
                <w:sz w:val="19"/>
              </w:rPr>
              <w:t>1.41 m level pitch</w:t>
            </w:r>
          </w:p>
        </w:tc>
        <w:tc>
          <w:tcPr>
            <w:tcW w:type="dxa" w:w="3288"/>
          </w:tcPr>
          <w:p>
            <w:pPr>
              <w:keepNext/>
            </w:pPr>
            <w:r/>
            <w:r>
              <w:rPr>
                <w:sz w:val="19"/>
              </w:rPr>
              <w:t>OK - top level (~1.7 m free under the roof clearance) has 1,120 positions; &gt; 1.68 m on the floor</w:t>
            </w:r>
          </w:p>
        </w:tc>
      </w:tr>
      <w:tr>
        <w:trPr>
          <w:cantSplit/>
        </w:trPr>
        <w:tc>
          <w:tcPr>
            <w:tcW w:type="dxa" w:w="3175"/>
          </w:tcPr>
          <w:p>
            <w:pPr>
              <w:keepNext/>
            </w:pPr>
            <w:r/>
            <w:r>
              <w:rPr>
                <w:sz w:val="19"/>
              </w:rPr>
              <w:t>Large orders up to p90 671 kg</w:t>
            </w:r>
          </w:p>
        </w:tc>
        <w:tc>
          <w:tcPr>
            <w:tcW w:type="dxa" w:w="2608"/>
          </w:tcPr>
          <w:p>
            <w:pPr>
              <w:keepNext/>
            </w:pPr>
            <w:r/>
            <w:r>
              <w:rPr>
                <w:sz w:val="19"/>
              </w:rPr>
              <w:t>EJE 120i 2,000 kg</w:t>
            </w:r>
          </w:p>
        </w:tc>
        <w:tc>
          <w:tcPr>
            <w:tcW w:type="dxa" w:w="3288"/>
          </w:tcPr>
          <w:p>
            <w:pPr>
              <w:keepNext/>
            </w:pPr>
            <w:r/>
            <w:r>
              <w:rPr>
                <w:sz w:val="19"/>
              </w:rPr>
              <w:t>OK - picked onto one pallet</w:t>
            </w:r>
          </w:p>
        </w:tc>
      </w:tr>
      <w:tr>
        <w:trPr>
          <w:cantSplit/>
        </w:trPr>
        <w:tc>
          <w:tcPr>
            <w:tcW w:type="dxa" w:w="3175"/>
          </w:tcPr>
          <w:p>
            <w:pPr>
              <w:keepNext/>
            </w:pPr>
            <w:r/>
            <w:r>
              <w:rPr>
                <w:sz w:val="19"/>
              </w:rPr>
              <w:t>Small orders (median 7 L)</w:t>
            </w:r>
          </w:p>
        </w:tc>
        <w:tc>
          <w:tcPr>
            <w:tcW w:type="dxa" w:w="2608"/>
          </w:tcPr>
          <w:p>
            <w:pPr>
              <w:keepNext/>
            </w:pPr>
            <w:r/>
            <w:r>
              <w:rPr>
                <w:sz w:val="19"/>
              </w:rPr>
              <w:t>Trolley 6 totes, 250 kg</w:t>
            </w:r>
          </w:p>
        </w:tc>
        <w:tc>
          <w:tcPr>
            <w:tcW w:type="dxa" w:w="3288"/>
          </w:tcPr>
          <w:p>
            <w:pPr>
              <w:keepNext/>
            </w:pPr>
            <w:r/>
            <w:r>
              <w:rPr>
                <w:sz w:val="19"/>
              </w:rPr>
              <w:t>OK - ~31 lines per tour</w:t>
            </w:r>
          </w:p>
        </w:tc>
      </w:tr>
      <w:tr>
        <w:trPr>
          <w:cantSplit/>
        </w:trPr>
        <w:tc>
          <w:tcPr>
            <w:tcW w:type="dxa" w:w="3175"/>
          </w:tcPr>
          <w:p>
            <w:r/>
            <w:r>
              <w:rPr>
                <w:sz w:val="19"/>
              </w:rPr>
              <w:t>Charging</w:t>
            </w:r>
          </w:p>
        </w:tc>
        <w:tc>
          <w:tcPr>
            <w:tcW w:type="dxa" w:w="2608"/>
          </w:tcPr>
          <w:p>
            <w:r/>
            <w:r>
              <w:rPr>
                <w:sz w:val="19"/>
              </w:rPr>
              <w:t>Li-ion opportunity charging</w:t>
            </w:r>
          </w:p>
        </w:tc>
        <w:tc>
          <w:tcPr>
            <w:tcW w:type="dxa" w:w="3288"/>
          </w:tcPr>
          <w:p>
            <w:r/>
            <w:r>
              <w:rPr>
                <w:sz w:val="19"/>
              </w:rPr>
              <w:t>No battery room; chargers at P&amp;D points</w:t>
            </w:r>
          </w:p>
        </w:tc>
      </w:tr>
    </w:tbl>
    <w:p>
      <w:pPr>
        <w:spacing w:after="40"/>
      </w:pPr>
    </w:p>
    <w:p>
      <w:pPr>
        <w:pStyle w:val="Heading2"/>
      </w:pPr>
      <w:r>
        <w:t>6.4 Expected performance on the W3 KPIs</w:t>
      </w:r>
    </w:p>
    <w:p>
      <w:pPr>
        <w:keepNext/>
        <w:spacing w:after="80"/>
      </w:pPr>
      <w:r>
        <w:rPr>
          <w:b w:val="0"/>
          <w:i w:val="0"/>
          <w:color w:val="222222"/>
          <w:sz w:val="21"/>
        </w:rPr>
        <w:t>W3 names the KPIs that layout, storage and picking design drive. Expected values for Option B (Deliverable 3 adds cost and the full KPI set):</w:t>
      </w:r>
    </w:p>
    <w:tbl>
      <w:tblPr>
        <w:tblStyle w:val="LightGrid-Accent1"/>
        <w:tblW w:type="auto" w:w="0"/>
        <w:jc w:val="center"/>
        <w:tblLayout w:type="fixed"/>
        <w:tblLook w:firstColumn="1" w:firstRow="1" w:lastColumn="0" w:lastRow="0" w:noHBand="0" w:noVBand="1" w:val="04A0"/>
      </w:tblPr>
      <w:tblGrid>
        <w:gridCol w:w="1928"/>
        <w:gridCol w:w="3515"/>
        <w:gridCol w:w="3628"/>
      </w:tblGrid>
      <w:tr>
        <w:trPr>
          <w:cantSplit/>
        </w:trPr>
        <w:tc>
          <w:tcPr>
            <w:tcW w:type="dxa" w:w="1928"/>
          </w:tcPr>
          <w:p>
            <w:pPr>
              <w:keepNext/>
            </w:pPr>
            <w:r/>
            <w:r>
              <w:rPr>
                <w:b/>
                <w:sz w:val="19"/>
              </w:rPr>
              <w:t>KPI (W3)</w:t>
            </w:r>
          </w:p>
        </w:tc>
        <w:tc>
          <w:tcPr>
            <w:tcW w:type="dxa" w:w="3515"/>
          </w:tcPr>
          <w:p>
            <w:pPr>
              <w:keepNext/>
            </w:pPr>
            <w:r/>
            <w:r>
              <w:rPr>
                <w:b/>
                <w:sz w:val="19"/>
              </w:rPr>
              <w:t>Expected</w:t>
            </w:r>
          </w:p>
        </w:tc>
        <w:tc>
          <w:tcPr>
            <w:tcW w:type="dxa" w:w="3628"/>
          </w:tcPr>
          <w:p>
            <w:pPr>
              <w:keepNext/>
            </w:pPr>
            <w:r/>
            <w:r>
              <w:rPr>
                <w:b/>
                <w:sz w:val="19"/>
              </w:rPr>
              <w:t>Basis</w:t>
            </w:r>
          </w:p>
        </w:tc>
      </w:tr>
      <w:tr>
        <w:trPr>
          <w:cantSplit/>
        </w:trPr>
        <w:tc>
          <w:tcPr>
            <w:tcW w:type="dxa" w:w="1928"/>
          </w:tcPr>
          <w:p>
            <w:pPr>
              <w:keepNext/>
            </w:pPr>
            <w:r/>
            <w:r>
              <w:rPr>
                <w:sz w:val="19"/>
              </w:rPr>
              <w:t>Dock-to-stock time</w:t>
            </w:r>
          </w:p>
        </w:tc>
        <w:tc>
          <w:tcPr>
            <w:tcW w:type="dxa" w:w="3515"/>
          </w:tcPr>
          <w:p>
            <w:pPr>
              <w:keepNext/>
            </w:pPr>
            <w:r/>
            <w:r>
              <w:rPr>
                <w:sz w:val="19"/>
              </w:rPr>
              <w:t>~1.5 h per palletised trailer; ~3.8 h per loose container</w:t>
            </w:r>
          </w:p>
        </w:tc>
        <w:tc>
          <w:tcPr>
            <w:tcW w:type="dxa" w:w="3628"/>
          </w:tcPr>
          <w:p>
            <w:pPr>
              <w:keepNext/>
            </w:pPr>
            <w:r/>
            <w:r>
              <w:rPr>
                <w:sz w:val="19"/>
              </w:rPr>
              <w:t>unload ~1 min/pallet (ERE 225) while 2 reach trucks put away in parallel; container unpacked in its own zone at R1</w:t>
            </w:r>
          </w:p>
        </w:tc>
      </w:tr>
      <w:tr>
        <w:trPr>
          <w:cantSplit/>
        </w:trPr>
        <w:tc>
          <w:tcPr>
            <w:tcW w:type="dxa" w:w="1928"/>
          </w:tcPr>
          <w:p>
            <w:pPr>
              <w:keepNext/>
            </w:pPr>
            <w:r/>
            <w:r>
              <w:rPr>
                <w:sz w:val="19"/>
              </w:rPr>
              <w:t>Put-away cycle time</w:t>
            </w:r>
          </w:p>
        </w:tc>
        <w:tc>
          <w:tcPr>
            <w:tcW w:type="dxa" w:w="3515"/>
          </w:tcPr>
          <w:p>
            <w:pPr>
              <w:keepNext/>
            </w:pPr>
            <w:r/>
            <w:r>
              <w:rPr>
                <w:sz w:val="19"/>
              </w:rPr>
              <w:t>2.4 min per pallet (~25 per truck-hour)</w:t>
            </w:r>
          </w:p>
        </w:tc>
        <w:tc>
          <w:tcPr>
            <w:tcW w:type="dxa" w:w="3628"/>
          </w:tcPr>
          <w:p>
            <w:pPr>
              <w:keepNext/>
            </w:pPr>
            <w:r/>
            <w:r>
              <w:rPr>
                <w:sz w:val="19"/>
              </w:rPr>
              <w:t>ETV 216i cycle model on the Option B routes (S006)</w:t>
            </w:r>
          </w:p>
        </w:tc>
      </w:tr>
      <w:tr>
        <w:trPr>
          <w:cantSplit/>
        </w:trPr>
        <w:tc>
          <w:tcPr>
            <w:tcW w:type="dxa" w:w="1928"/>
          </w:tcPr>
          <w:p>
            <w:pPr>
              <w:keepNext/>
            </w:pPr>
            <w:r/>
            <w:r>
              <w:rPr>
                <w:sz w:val="19"/>
              </w:rPr>
              <w:t>Pick rate</w:t>
            </w:r>
          </w:p>
        </w:tc>
        <w:tc>
          <w:tcPr>
            <w:tcW w:type="dxa" w:w="3515"/>
          </w:tcPr>
          <w:p>
            <w:pPr>
              <w:keepNext/>
            </w:pPr>
            <w:r/>
            <w:r>
              <w:rPr>
                <w:sz w:val="19"/>
              </w:rPr>
              <w:t>~59 lines per picker-hour overall (fast-pick 99, reserve 49, large orders 44)</w:t>
            </w:r>
          </w:p>
        </w:tc>
        <w:tc>
          <w:tcPr>
            <w:tcW w:type="dxa" w:w="3628"/>
          </w:tcPr>
          <w:p>
            <w:pPr>
              <w:keepNext/>
            </w:pPr>
            <w:r/>
            <w:r>
              <w:rPr>
                <w:sz w:val="19"/>
              </w:rPr>
              <w:t>pick-time model, largest-gap routing, trolley batching</w:t>
            </w:r>
          </w:p>
        </w:tc>
      </w:tr>
      <w:tr>
        <w:trPr>
          <w:cantSplit/>
        </w:trPr>
        <w:tc>
          <w:tcPr>
            <w:tcW w:type="dxa" w:w="1928"/>
          </w:tcPr>
          <w:p>
            <w:r/>
            <w:r>
              <w:rPr>
                <w:sz w:val="19"/>
              </w:rPr>
              <w:t>On-time shipment rate</w:t>
            </w:r>
          </w:p>
        </w:tc>
        <w:tc>
          <w:tcPr>
            <w:tcW w:type="dxa" w:w="3515"/>
          </w:tcPr>
          <w:p>
            <w:r/>
            <w:r>
              <w:rPr>
                <w:sz w:val="19"/>
              </w:rPr>
              <w:t>target ≥ 98% staged before the booked departure</w:t>
            </w:r>
          </w:p>
        </w:tc>
        <w:tc>
          <w:tcPr>
            <w:tcW w:type="dxa" w:w="3628"/>
          </w:tcPr>
          <w:p>
            <w:r/>
            <w:r>
              <w:rPr>
                <w:sz w:val="19"/>
              </w:rPr>
              <w:t>waves end 45 min before each slot; today 50.1% of lines are staged 'LATE' (A005, definition to confirm)</w:t>
            </w:r>
          </w:p>
        </w:tc>
      </w:tr>
    </w:tbl>
    <w:p>
      <w:pPr>
        <w:spacing w:after="40"/>
      </w:pPr>
    </w:p>
    <w:p>
      <w:pPr>
        <w:pStyle w:val="Heading1"/>
      </w:pPr>
      <w:r>
        <w:t>7. Assumptions &amp; open questions</w:t>
      </w:r>
    </w:p>
    <w:p>
      <w:pPr>
        <w:spacing w:after="120"/>
      </w:pPr>
      <w:r>
        <w:rPr>
          <w:b w:val="0"/>
          <w:i w:val="0"/>
          <w:color w:val="222222"/>
          <w:sz w:val="21"/>
        </w:rPr>
        <w:t>Full register in data/assumptions.json; sources in documentation/sources.md. High-impact items:</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ListBullet"/>
      </w:pPr>
      <w:r>
        <w:rPr>
          <w:b w:val="0"/>
          <w:sz w:val="21"/>
        </w:rPr>
      </w:r>
      <w:r>
        <w:rPr>
          <w:b/>
          <w:sz w:val="21"/>
        </w:rPr>
        <w:t>To confirm with DHL:</w:t>
      </w:r>
      <w:r>
        <w:rPr>
          <w:b w:val="0"/>
          <w:sz w:val="21"/>
        </w:rPr>
        <w:t xml:space="preserve"> labour productivity and pick-time standards (A006/A014/A025); the 7,000 m² scope (A008); container share and contractor quotes (A019/A026); whether carriers accept the departure slots (A020/A027).</w:t>
      </w:r>
    </w:p>
    <w:p>
      <w:pPr>
        <w:pStyle w:val="ListBullet"/>
      </w:pPr>
      <w:r>
        <w:rPr>
          <w:b w:val="0"/>
          <w:sz w:val="21"/>
        </w:rPr>
      </w:r>
      <w:r>
        <w:rPr>
          <w:b/>
          <w:sz w:val="21"/>
        </w:rPr>
        <w:t>To confirm with Jungheinrich:</w:t>
      </w:r>
      <w:r>
        <w:rPr>
          <w:b w:val="0"/>
          <w:sz w:val="21"/>
        </w:rPr>
        <w:t xml:space="preserve"> a lease quote for 2 ETV 216i, 3 EJE 120i and 2 ERE 225 (A038).</w:t>
      </w:r>
    </w:p>
    <w:p>
      <w:pPr>
        <w:pStyle w:val="ListBullet"/>
      </w:pPr>
      <w:r>
        <w:rPr>
          <w:b w:val="0"/>
          <w:sz w:val="21"/>
        </w:rPr>
      </w:r>
      <w:r>
        <w:rPr>
          <w:b/>
          <w:sz w:val="21"/>
        </w:rPr>
        <w:t>To confirm with Assa Abloy:</w:t>
      </w:r>
      <w:r>
        <w:rPr>
          <w:b w:val="0"/>
          <w:sz w:val="21"/>
        </w:rPr>
        <w:t xml:space="preserve"> the hazard class of the 138 flagged SKUs, which decides the hazmat section (A028).</w:t>
      </w:r>
    </w:p>
    <w:sectPr w:rsidR="00FC693F" w:rsidRPr="0006063C" w:rsidSect="00034616">
      <w:footerReference w:type="default" r:id="rId2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OTM — Assa Abloy @ DHL Bemmel  ·  Deliverable 2 (Future State)  ·  Page</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