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Flowcharts follow.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→ receive &amp; scan (RMA) at receiving docks → inspect &amp; grade at Returns/VAS → sellable? restock : reworkable? rework (VAS) &amp; restock : scrap / return-to-vendor → update inventory &amp;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via the same velocity-based putaway; graded stock rejoins reserve, scrap/RTV leaves the building. A small share of outbound orders also route through VAS before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Order-flow map:</w:t>
      </w:r>
      <w:r>
        <w:rPr>
          <w:b w:val="0"/>
          <w:sz w:val="21"/>
        </w:rPr>
        <w:t xml:space="preserve"> steps 7–9 (purple) in Fig 6 show returns in → grade → restock/scrap; the grey dashed line shows cross-dock for the 855 SKUs shipped but never stocked.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fast movers SPREAD across zones + extreme SKUs duplicated (not clustered);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SKUs=80% vol; A=60% of picks (congestion, S003)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2"/>
      </w:pPr>
      <w:r>
        <w:t>3.1 Peak-season slotting (congestion control)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At peak, congestion — not walk distance — becomes the dominant cost (Gadeyne, S003). Because our peak is spiky (1.83× lines / 2.85× units) and picks are concentrated, a standard 'cluster the fast movers in one golden zone' slotting would jam a single area. We therefore adopt peak-aware slotting: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Picks are concentrated:</w:t>
      </w:r>
      <w:r>
        <w:rPr>
          <w:b w:val="0"/>
          <w:sz w:val="21"/>
        </w:rPr>
        <w:t xml:space="preserve"> the top 1% of SKUs (~43) do ~15.0% of all picks, and A-class SKUs ~60.0% of picks.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Spread fast movers across all pick zones</w:t>
      </w:r>
      <w:r>
        <w:rPr>
          <w:b w:val="0"/>
          <w:sz w:val="21"/>
        </w:rPr>
        <w:t xml:space="preserve"> (balanced on peak-day pick frequency, not annual velocity): clustering A in one zone loads it with ~60.0% of picks; spreading across 3 zones drops it to ~20.0% each — roughly a 3× congestion cut.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Duplicate the extreme SKUs</w:t>
      </w:r>
      <w:r>
        <w:rPr>
          <w:b w:val="0"/>
          <w:sz w:val="21"/>
        </w:rPr>
        <w:t xml:space="preserve"> (~43 items) with multiple pick faces in different zones to enable parallel picking; insert gaps between hot locations.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Re-check affinity groups</w:t>
      </w:r>
      <w:r>
        <w:rPr>
          <w:b w:val="0"/>
          <w:sz w:val="21"/>
        </w:rPr>
        <w:t xml:space="preserve"> so commonly co-ordered items don't re-concentrate picks in one aisle.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Levers in priority order</w:t>
      </w:r>
      <w:r>
        <w:rPr>
          <w:b w:val="0"/>
          <w:sz w:val="21"/>
        </w:rPr>
        <w:t xml:space="preserve"> (S003): slotting (before peak) → order batching/clustering → wave-release timing → pick-path sequencing.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Validate by simulation</w:t>
      </w:r>
      <w:r>
        <w:rPr>
          <w:b w:val="0"/>
          <w:sz w:val="21"/>
        </w:rPr>
        <w:t xml:space="preserve"> at 150% / 200% / 250% of normal volume (Deliverable 3) to confirm whether congestion or pick density governs staffing at peak.</w:t>
      </w: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93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262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180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11%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8%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216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6,541 m² = 93% of a 7,000 m² envelope.**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Working areas are sized from the actual order volume</w:t>
      </w:r>
      <w:r>
        <w:rPr>
          <w:b w:val="0"/>
          <w:sz w:val="21"/>
        </w:rPr>
        <w:t>, not a flat allowance: peak inbound ≈ 90 and outbound ≈ 50 palletised loads/day (the operation is parcel-heavy), so receiving/outbound staging are compact — receiving 262 m², outbound 216 m², packing 450 m² (parcel put-wall).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The design fits within the envelope: 6,541 m² = 93% of 7,000 m²</w:t>
      </w:r>
      <w:r>
        <w:rPr>
          <w:b w:val="0"/>
          <w:sz w:val="21"/>
        </w:rPr>
        <w:t>, holding ~14,074 pallet positions (peak 11,015 + 15% growth, at 90% utilisation) with ~7% floor buffer.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Headroom if demand outgrows this:</w:t>
      </w:r>
      <w:r>
        <w:rPr>
          <w:b w:val="0"/>
          <w:sz w:val="21"/>
        </w:rPr>
        <w:t xml:space="preserve"> add an 8th rack level (12.2 m allows it, subject to truck reach), raise the double-deep share, or move reserve to VNA (Option C). Confirm the 7,000 m² scope (A008).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25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2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Layout, zoning &amp; full order flow — forward (1–6), returns (7–9), cross-dock.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4627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Option B 3D massing (isometric) — reserve racking ≈ 11.5 m within the 12.2 m limit.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96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9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Worker movement — zone picking keeps picker paths short and separated.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