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The swimlane (Fig 1) gives the end-to-end overview; per-process flowcharts follow.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3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End-to-end future-state process — cross-functional swimlane (all lanes, incl. returns).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7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25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2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4627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Option B 3D massing (isometric) — reserve racking ≈ 11.5 m within the 12.2 m limit.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96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9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Worker movement — zone picking keeps picker paths short and separated.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10.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