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Flowcharts follow.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6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A in golden zone;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of SKUs = 80% of volume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108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10%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560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7,493 m² = 107% of a 7,000 m² envelope.**</w:t>
      </w:r>
    </w:p>
    <w:p>
      <w:pPr>
        <w:pStyle w:val="ListBullet"/>
      </w:pPr>
      <w:r>
        <w:rPr>
          <w:b w:val="0"/>
          <w:sz w:val="21"/>
        </w:rPr>
        <w:t xml:space="preserve">At the detailed zoning level Option B lands </w:t>
      </w:r>
      <w:r>
        <w:rPr>
          <w:b/>
          <w:sz w:val="21"/>
        </w:rPr>
        <w:t>slightly over 7,000 m² (107%)</w:t>
      </w:r>
      <w:r>
        <w:rPr>
          <w:b w:val="0"/>
          <w:sz w:val="21"/>
        </w:rPr>
        <w:t xml:space="preserve"> once full functional areas are included — tighter than the concept-level estimate.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Mitigations if 7,000 m² is the binding Assa-only envelope (A008):</w:t>
      </w:r>
      <w:r>
        <w:rPr>
          <w:b w:val="0"/>
          <w:sz w:val="21"/>
        </w:rPr>
        <w:t xml:space="preserve"> (a) raise the double-deep share or add an 8th rack level (12.2 m height allows it, subject to truck reach); (b) trim office/returns/staging; (c) switch reserve to </w:t>
      </w:r>
      <w:r>
        <w:rPr>
          <w:b/>
          <w:sz w:val="21"/>
        </w:rPr>
        <w:t>VNA (Option C)</w:t>
      </w:r>
      <w:r>
        <w:rPr>
          <w:b w:val="0"/>
          <w:sz w:val="21"/>
        </w:rPr>
        <w:t>, which frees ~2,000 m² and gives real headroom.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88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8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236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Option B 3D massing (isometric) — reserve racking ≈ 11.5 m within the 12.2 m limit.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9363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Worker movement — zone picking keeps picker paths short and separated.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