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100"/>
      </w:pPr>
    </w:p>
    <w:p>
      <w:pPr>
        <w:spacing w:after="40"/>
        <w:jc w:val="center"/>
      </w:pPr>
      <w:r>
        <w:rPr>
          <w:b/>
          <w:i w:val="0"/>
          <w:color w:val="D40011"/>
          <w:sz w:val="26"/>
        </w:rPr>
        <w:t>PROJECT OTM</w:t>
      </w:r>
    </w:p>
    <w:p>
      <w:pPr>
        <w:spacing w:after="40"/>
        <w:jc w:val="center"/>
      </w:pPr>
      <w:r>
        <w:rPr>
          <w:b/>
          <w:i w:val="0"/>
          <w:color w:val="222222"/>
          <w:sz w:val="44"/>
        </w:rPr>
        <w:t>Future-State Operational Design</w:t>
      </w:r>
    </w:p>
    <w:p>
      <w:pPr>
        <w:spacing w:after="520"/>
        <w:jc w:val="center"/>
      </w:pPr>
      <w:r>
        <w:rPr>
          <w:b w:val="0"/>
          <w:i w:val="0"/>
          <w:color w:val="666666"/>
          <w:sz w:val="24"/>
        </w:rPr>
        <w:t>Assa Abloy operation · DHL Supply Chain, Bemmel (NL_0032)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</w:tcPr>
          <w:p>
            <w:r/>
            <w:r>
              <w:rPr>
                <w:b/>
                <w:sz w:val="19"/>
              </w:rPr>
              <w:t>Field</w:t>
            </w:r>
          </w:p>
        </w:tc>
        <w:tc>
          <w:tcPr>
            <w:tcW w:type="dxa" w:w="6236"/>
          </w:tcPr>
          <w:p>
            <w:r/>
            <w:r>
              <w:rPr>
                <w:b/>
                <w:sz w:val="19"/>
              </w:rPr>
              <w:t>Detail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Deliverable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2 — Proposed future state for the in-scope processes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Due date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07-10-2026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Concept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Option B — Hybrid density + velocity slotting + zone/batch picking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Envelope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≤ 7,000 m² · ≤ 12.2 m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Author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________________________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Version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DRAFT — processes, flowcharts, layout (3D), capacity plan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/>
          <w:color w:val="666666"/>
          <w:sz w:val="18"/>
        </w:rPr>
        <w:t>Future-state design for the recommended Option B (Deliverable 1). Workload drivers are measured from the Assa Abloy Q2-2025 data; productivities are benchmarked assumptions (Section 6) to be validated with DHL. Reproducible from analysis/*.py.</w:t>
      </w:r>
    </w:p>
    <w:p>
      <w:r>
        <w:br w:type="page"/>
      </w:r>
    </w:p>
    <w:p>
      <w:pPr>
        <w:pStyle w:val="Heading1"/>
      </w:pPr>
      <w:r>
        <w:t>1. Recommended concept (recap)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Option B was selected via the Deliverable-1 decision matrix (robust across base and cost-driven weightings). It combines double-deep reserve racking for A/B stock, selective + cantilever racking for irregular and long goods, and a forward-pick module (carton-flow / shelving) for the case- and each-heavy demand, operated with velocity-based slotting and zone + batch/wave picking.</w:t>
      </w:r>
    </w:p>
    <w:p>
      <w:pPr>
        <w:pStyle w:val="Heading1"/>
      </w:pPr>
      <w:r>
        <w:t>2. Future-state processes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Each in-scope process below states the steps, the system transaction, the physical movement, the equipment, and where the Deliverable-1 design choices are applied. The swimlane (Fig 1) gives the end-to-end overview; per-process flowcharts follow.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7312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swimla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731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1. End-to-end future-state process — cross-functional swimlane (all lanes, incl. returns).</w:t>
      </w:r>
    </w:p>
    <w:p>
      <w:pPr>
        <w:pStyle w:val="Heading2"/>
      </w:pPr>
      <w:r>
        <w:t>2.1 Receiving &amp; putaway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Steps:</w:t>
      </w:r>
      <w:r>
        <w:rPr>
          <w:b w:val="0"/>
          <w:sz w:val="21"/>
        </w:rPr>
        <w:t xml:space="preserve"> trailer arrival → unload &amp; RF-scan (ASN check) → quality/qty check → register stock (LODNUM) → system-directed putaway → reach-truck move → confirm.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Policy applied:</w:t>
      </w:r>
      <w:r>
        <w:rPr>
          <w:b w:val="0"/>
          <w:sz w:val="21"/>
        </w:rPr>
        <w:t xml:space="preserve"> velocity-based directed putaway (A/B to double-deep reserve near pick faces; C to deep/upper); cantilever for XLONG goods (43 SKUs &gt;240 cm).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344488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receiving_putawa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4448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2. Receiving &amp; putaway flow.</w:t>
      </w:r>
    </w:p>
    <w:p>
      <w:pPr>
        <w:pStyle w:val="Heading2"/>
      </w:pPr>
      <w:r>
        <w:t>2.2 Replenishment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Steps:</w:t>
      </w:r>
      <w:r>
        <w:rPr>
          <w:b w:val="0"/>
          <w:sz w:val="21"/>
        </w:rPr>
        <w:t xml:space="preserve"> forward face below min → WMS replen task → pull reserve pallet → top-up carton-flow/pick face → confirm.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Policy applied:</w:t>
      </w:r>
      <w:r>
        <w:rPr>
          <w:b w:val="0"/>
          <w:sz w:val="21"/>
        </w:rPr>
        <w:t xml:space="preserve"> min/max replenishment; FIFO via FIF DATE where relevant.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347091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replenishm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4709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3. Replenishment flow.</w:t>
      </w:r>
    </w:p>
    <w:p>
      <w:pPr>
        <w:pStyle w:val="Heading2"/>
      </w:pPr>
      <w:r>
        <w:t>2.3 Picking (zone + batch / wave)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Steps:</w:t>
      </w:r>
      <w:r>
        <w:rPr>
          <w:b w:val="0"/>
          <w:sz w:val="21"/>
        </w:rPr>
        <w:t xml:space="preserve"> orders allocated → wave release by carrier cut-off → route by profile → full-pallet / case (batched) / each pick → to consolidation.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Policy applied:</w:t>
      </w:r>
      <w:r>
        <w:rPr>
          <w:b w:val="0"/>
          <w:sz w:val="21"/>
        </w:rPr>
        <w:t xml:space="preserve"> batch the 50% single-line orders; A-movers in a golden-zone forward pick; voice/RF direction; zone picking across areas.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38723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pick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872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4. Picking flow (zone + batch/wave).</w:t>
      </w:r>
    </w:p>
    <w:p>
      <w:pPr>
        <w:pStyle w:val="Heading2"/>
      </w:pPr>
      <w:r>
        <w:t>2.4 Consolidation, packing &amp; shipping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Steps:</w:t>
      </w:r>
      <w:r>
        <w:rPr>
          <w:b w:val="0"/>
          <w:sz w:val="21"/>
        </w:rPr>
        <w:t xml:space="preserve"> picked totes/pallets → put-to-light sort by order → pack &amp; print-and-apply → parcel vs pallet → stage by carrier → load &amp; dispatch.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Policy applied:</w:t>
      </w:r>
      <w:r>
        <w:rPr>
          <w:b w:val="0"/>
          <w:sz w:val="21"/>
        </w:rPr>
        <w:t xml:space="preserve"> put-to-light consolidation of multi-zone picks; pack sized to peak (labour bottleneck); parcel-heavy outbound (~18 palletised shipments/day).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411533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pack_shi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115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5. Consolidation, packing &amp; shipping flow.</w:t>
      </w:r>
    </w:p>
    <w:p>
      <w:pPr>
        <w:pStyle w:val="Heading2"/>
      </w:pPr>
      <w:r>
        <w:t>2.5 Returns (reverse logistics)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Steps:</w:t>
      </w:r>
      <w:r>
        <w:rPr>
          <w:b w:val="0"/>
          <w:sz w:val="21"/>
        </w:rPr>
        <w:t xml:space="preserve"> customer return arrives → receive &amp; scan (RMA) at receiving docks → inspect &amp; grade at Returns/VAS → sellable? restock : reworkable? rework (VAS) &amp; restock : scrap / return-to-vendor → update inventory &amp; credit.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Policy applied:</w:t>
      </w:r>
      <w:r>
        <w:rPr>
          <w:b w:val="0"/>
          <w:sz w:val="21"/>
        </w:rPr>
        <w:t xml:space="preserve"> returns re-enter via the same velocity-based putaway; graded stock rejoins reserve, scrap/RTV leaves the building. A small share of outbound orders also route through VAS before packing.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Order-flow map:</w:t>
      </w:r>
      <w:r>
        <w:rPr>
          <w:b w:val="0"/>
          <w:sz w:val="21"/>
        </w:rPr>
        <w:t xml:space="preserve"> steps 7–9 (purple) in Fig 8 show returns in → grade → restock/scrap; the grey dashed line shows cross-dock for the 855 SKUs shipped but never stocked.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475027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return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750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6. Returns / reverse-logistics flow.</w:t>
      </w:r>
    </w:p>
    <w:p>
      <w:pPr>
        <w:pStyle w:val="Heading1"/>
      </w:pPr>
      <w:r>
        <w:t>3. Warehouse policies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01"/>
          </w:tcPr>
          <w:p>
            <w:r/>
            <w:r>
              <w:rPr>
                <w:b/>
                <w:sz w:val="19"/>
              </w:rPr>
              <w:t>Policy</w:t>
            </w:r>
          </w:p>
        </w:tc>
        <w:tc>
          <w:tcPr>
            <w:tcW w:type="dxa" w:w="4252"/>
          </w:tcPr>
          <w:p>
            <w:r/>
            <w:r>
              <w:rPr>
                <w:b/>
                <w:sz w:val="19"/>
              </w:rPr>
              <w:t>Decision</w:t>
            </w:r>
          </w:p>
        </w:tc>
        <w:tc>
          <w:tcPr>
            <w:tcW w:type="dxa" w:w="3118"/>
          </w:tcPr>
          <w:p>
            <w:r/>
            <w:r>
              <w:rPr>
                <w:b/>
                <w:sz w:val="19"/>
              </w:rPr>
              <w:t>Why (data)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Storage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Hybrid: random within velocity zones; fixed forward-pick faces + random reserve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73% single-load tail; 48.6% ABC mismatch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Slotting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Velocity/demand-ABC (hot/med/cold); fast movers SPREAD across zones + extreme SKUs duplicated (not clustered); heavy low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13% SKUs=80% vol; A=60% of picks (congestion, S003)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Zoning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Forward-pick vs reserve; pick zones by area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case-dominant picking (83% of lifts)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Batching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Batch single-line/single-unit orders; wave by carrier cut-off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50% single-line, 24% single-unit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Routing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S-shape / return within aisles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reduce travel in reserve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Putaway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System-directed, velocity-based to zone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align stock to demand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Replenishment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Min/max forward-pick top-up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keep pick faces filled at peak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FIFO/FEFO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FIFO via FIF DATE where relevant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stock age present; most parts not date-critical (confirm)</w:t>
            </w:r>
          </w:p>
        </w:tc>
      </w:tr>
    </w:tbl>
    <w:p>
      <w:pPr>
        <w:spacing w:after="40"/>
      </w:pPr>
    </w:p>
    <w:p>
      <w:pPr>
        <w:pStyle w:val="Heading2"/>
      </w:pPr>
      <w:r>
        <w:t>3.1 Peak-season slotting (congestion control)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At peak, congestion — not walk distance — becomes the dominant cost (Gadeyne, S003). Because our peak is spiky (1.83× lines / 2.85× units) and picks are concentrated, a standard 'cluster the fast movers in one golden zone' slotting would jam a single area. We therefore adopt peak-aware slotting: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Picks are concentrated:</w:t>
      </w:r>
      <w:r>
        <w:rPr>
          <w:b w:val="0"/>
          <w:sz w:val="21"/>
        </w:rPr>
        <w:t xml:space="preserve"> the top 1% of SKUs (~43) do ~15.0% of all picks, and A-class SKUs ~60.0% of picks.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Spread fast movers across all pick zones</w:t>
      </w:r>
      <w:r>
        <w:rPr>
          <w:b w:val="0"/>
          <w:sz w:val="21"/>
        </w:rPr>
        <w:t xml:space="preserve"> (balanced on peak-day pick frequency, not annual velocity): clustering A in one zone loads it with ~60.0% of picks; spreading across 3 zones drops it to ~20.0% each — roughly a 3× congestion cut.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Duplicate the extreme SKUs</w:t>
      </w:r>
      <w:r>
        <w:rPr>
          <w:b w:val="0"/>
          <w:sz w:val="21"/>
        </w:rPr>
        <w:t xml:space="preserve"> (~43 items) with multiple pick faces in different zones to enable parallel picking; insert gaps between hot locations.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Re-check affinity groups</w:t>
      </w:r>
      <w:r>
        <w:rPr>
          <w:b w:val="0"/>
          <w:sz w:val="21"/>
        </w:rPr>
        <w:t xml:space="preserve"> so commonly co-ordered items don't re-concentrate picks in one aisle.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Levers in priority order</w:t>
      </w:r>
      <w:r>
        <w:rPr>
          <w:b w:val="0"/>
          <w:sz w:val="21"/>
        </w:rPr>
        <w:t xml:space="preserve"> (S003): slotting (before peak) → order batching/clustering → wave-release timing → pick-path sequencing.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Validate by simulation</w:t>
      </w:r>
      <w:r>
        <w:rPr>
          <w:b w:val="0"/>
          <w:sz w:val="21"/>
        </w:rPr>
        <w:t xml:space="preserve"> at 150% / 200% / 250% of normal volume (Deliverable 3) to confirm whether congestion or pick density governs staffing at peak.</w:t>
      </w:r>
    </w:p>
    <w:p>
      <w:pPr>
        <w:pStyle w:val="Heading1"/>
      </w:pPr>
      <w:r>
        <w:t>4. Layout &amp; zoning (3-dimensional)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The zones are sized from the capacity analysis and laid out flow-through (receiving one side, shipping the other). Building ≈ 93 m × 70 m, providing ~14,074 pallet positions against the ~14,074 target.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4819"/>
          </w:tcPr>
          <w:p>
            <w:r/>
            <w:r>
              <w:rPr>
                <w:b/>
                <w:sz w:val="19"/>
              </w:rPr>
              <w:t>Zone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19"/>
              </w:rPr>
              <w:t>Area m²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19"/>
              </w:rPr>
              <w:t>% of building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Receiving &amp; inbound staging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262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4%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Offices &amp; amenities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250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4%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Returns / VAS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180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3%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Double-deep reserve (A/B)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3,505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54%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Selective + cantilever (irregular/XLONG/C)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728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11%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Forward-pick module (carton-flow/shelving)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500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8%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Packing &amp; consolidation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450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7%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Outbound staging &amp; shipping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216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3%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Circulation / aisles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450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7%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color w:val="222222"/>
          <w:sz w:val="21"/>
        </w:rPr>
        <w:t>**Total floor area 6,541 m² = 93% of a 7,000 m² envelope.**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Working areas are sized from the actual order volume</w:t>
      </w:r>
      <w:r>
        <w:rPr>
          <w:b w:val="0"/>
          <w:sz w:val="21"/>
        </w:rPr>
        <w:t>, not a flat allowance: peak inbound ≈ 90 and outbound ≈ 50 palletised loads/day (the operation is parcel-heavy), so receiving/outbound staging are compact — receiving 262 m², outbound 216 m², packing 450 m² (parcel put-wall).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The design fits within the envelope: 6,541 m² = 93% of 7,000 m²</w:t>
      </w:r>
      <w:r>
        <w:rPr>
          <w:b w:val="0"/>
          <w:sz w:val="21"/>
        </w:rPr>
        <w:t>, holding ~14,074 pallet positions (peak 11,015 + 15% growth, at 90% utilisation) with ~7% floor buffer.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Headroom if demand outgrows this:</w:t>
      </w:r>
      <w:r>
        <w:rPr>
          <w:b w:val="0"/>
          <w:sz w:val="21"/>
        </w:rPr>
        <w:t xml:space="preserve"> add an 8th rack level (12.2 m allows it, subject to truck reach), raise the double-deep share, or move reserve to VNA (Option C). Confirm the 7,000 m² scope (A008).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525866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out_floorpla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258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7. Detailed warehouse floor plan (rack-level, to scale) — racks, aisles, docks, dimensions.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543257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out_pla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432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8. Layout, zoning &amp; full order flow — forward (1–6), returns (7–9), cross-dock.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04726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out_3d_rende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472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9. Option B — warehouse 3D (Blender render): rack rows, forward-pick, zones, docks.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22598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out_worker_rende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225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10. Worker movement (Blender): zone-picking routes through ghosted racks.</w:t>
      </w:r>
    </w:p>
    <w:p>
      <w:pPr>
        <w:pStyle w:val="Heading1"/>
      </w:pPr>
      <w:r>
        <w:t>5. Capacity plan — labour &amp; equipment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Workload drivers (measured): outbound ≈ 18 palletised shipments/day (rest parcel), inbound ≈ 32 pallets/day, forward-pick replen ≈ 22 pallets/day. Productivities are benchmark assumptions (A014).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685"/>
          </w:tcPr>
          <w:p>
            <w:r/>
            <w:r>
              <w:rPr>
                <w:b/>
                <w:sz w:val="19"/>
              </w:rPr>
              <w:t>Process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9"/>
              </w:rPr>
              <w:t>Rate/h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9"/>
              </w:rPr>
              <w:t>FTE avg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9"/>
              </w:rPr>
              <w:t>FTE peak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Receiving (unload+check)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25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0.17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0.48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Putaway (reach)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20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0.21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0.60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Replenishment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18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0.16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0.47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Case picking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80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0.87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1.59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Each picking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55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0.25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0.45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Full-pallet picking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22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0.10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0.18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Packing/consolidation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45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1.85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3.38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Shipping/loading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30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0.08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0.22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color w:val="222222"/>
          <w:sz w:val="21"/>
        </w:rPr>
        <w:t>**Total direct labour ≈ 3.7 FTE average, 7.4 FTE at peak** (≈ 12 if each process is staffed separately; cross-training reduces this). Add supervision/admin and value-add separately.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47972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acity_plan_ft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797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11. Labour requirement by process (average vs peak).</w:t>
      </w:r>
    </w:p>
    <w:p>
      <w:pPr>
        <w:spacing w:after="80"/>
      </w:pPr>
      <w:r>
        <w:rPr>
          <w:b w:val="0"/>
          <w:i w:val="0"/>
          <w:color w:val="222222"/>
          <w:sz w:val="21"/>
        </w:rPr>
        <w:t>Material-handling equipment (peak):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4819"/>
          </w:tcPr>
          <w:p>
            <w:r/>
            <w:r>
              <w:rPr>
                <w:b/>
                <w:sz w:val="19"/>
              </w:rPr>
              <w:t>Equipment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9"/>
              </w:rPr>
              <w:t>Peak equip-hours/day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9"/>
              </w:rPr>
              <w:t>Units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Reach truck (putaway/replen/pallet pick)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sz w:val="19"/>
              </w:rPr>
              <w:t>9.4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2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Low-level order picker (case/each)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sz w:val="19"/>
              </w:rPr>
              <w:t>15.3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3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Pallet truck (receiving/shipping)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sz w:val="19"/>
              </w:rPr>
              <w:t>5.3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1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/>
          <w:color w:val="666666"/>
          <w:sz w:val="18"/>
        </w:rPr>
        <w:t>Plus RF/voice terminals per picker, print-and-apply at pack, and a small spares allowance. Peak may need overtime or a partial second shift rather than extra permanent FTE.</w:t>
      </w:r>
    </w:p>
    <w:p>
      <w:pPr>
        <w:pStyle w:val="Heading1"/>
      </w:pPr>
      <w:r>
        <w:t>6. Assumptions &amp; open questions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Full register in data/assumptions.json. High-impact items for the future state: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50"/>
          </w:tcPr>
          <w:p>
            <w:r/>
            <w:r>
              <w:rPr>
                <w:b/>
                <w:sz w:val="19"/>
              </w:rPr>
              <w:t>ID</w:t>
            </w:r>
          </w:p>
        </w:tc>
        <w:tc>
          <w:tcPr>
            <w:tcW w:type="dxa" w:w="6520"/>
          </w:tcPr>
          <w:p>
            <w:r/>
            <w:r>
              <w:rPr>
                <w:b/>
                <w:sz w:val="19"/>
              </w:rPr>
              <w:t>Assumption / open question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19"/>
              </w:rPr>
              <w:t>Impact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A001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Max facility footprint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A002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Max clear/building height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A003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Analysis period is representative of normal operation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A004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One LODNUM (load) occupies one pallet position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A005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STAGED STATUS 'LATE' reflects staging vs the LATE SHIP window, i.e. a genuine on-time-staging miss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A006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No labour-productivity, MHE-fleet or cost data was provided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A008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The 7,000 m2 / 12.2 m envelope is the space available to DESIGN THE ASSA ABLOY operation within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A010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Design pallet-position target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A013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Functional (non-storage) areas sized from actual order volume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A014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Labour productivity benchmarks (units/person-hour)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A017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Peak-aware slotting: spread fast movers, duplicate extreme SKUs, balance picks/aisle on peak forecast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2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6666"/>
        <w:sz w:val="16"/>
      </w:rPr>
      <w:t xml:space="preserve">Project OTM — Assa Abloy @ DHL Bemmel  ·  Deliverable 2 (Future State) DRAFT  ·  Page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D40011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22222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22222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