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40"/>
        <w:jc w:val="center"/>
      </w:pPr>
      <w:r>
        <w:rPr>
          <w:b/>
          <w:i w:val="0"/>
          <w:color w:val="D40011"/>
          <w:sz w:val="26"/>
        </w:rPr>
        <w:t>PROJECT OTM</w:t>
      </w:r>
    </w:p>
    <w:p>
      <w:pPr>
        <w:spacing w:after="40"/>
        <w:jc w:val="center"/>
      </w:pPr>
      <w:r>
        <w:rPr>
          <w:b/>
          <w:i w:val="0"/>
          <w:color w:val="222222"/>
          <w:sz w:val="44"/>
        </w:rPr>
        <w:t>Warehouse Design — Analysis &amp; Policy Pre-selection</w:t>
      </w:r>
    </w:p>
    <w:p>
      <w:pPr>
        <w:spacing w:after="600"/>
        <w:jc w:val="center"/>
      </w:pPr>
      <w:r>
        <w:rPr>
          <w:b w:val="0"/>
          <w:i w:val="0"/>
          <w:color w:val="666666"/>
          <w:sz w:val="24"/>
        </w:rPr>
        <w:t>Assa Abloy operation · DHL Supply Chain, Bemmel (NL_0032)</w:t>
      </w:r>
    </w:p>
    <w:tbl>
      <w:tblPr>
        <w:tblStyle w:val="LightGrid-Accent1"/>
        <w:tblW w:type="auto" w:w="0"/>
        <w:jc w:val="center"/>
        <w:tblLook w:firstColumn="1" w:firstRow="1" w:lastColumn="0" w:lastRow="0" w:noHBand="0" w:noVBand="1" w:val="04A0"/>
      </w:tblPr>
      <w:tblGrid>
        <w:gridCol w:w="4320"/>
        <w:gridCol w:w="4320"/>
      </w:tblGrid>
      <w:tr>
        <w:tc>
          <w:tcPr>
            <w:tcW w:type="dxa" w:w="2551"/>
          </w:tcPr>
          <w:p>
            <w:r/>
            <w:r>
              <w:rPr>
                <w:b/>
                <w:sz w:val="19"/>
              </w:rPr>
              <w:t>Field</w:t>
            </w:r>
          </w:p>
        </w:tc>
        <w:tc>
          <w:tcPr>
            <w:tcW w:type="dxa" w:w="6236"/>
          </w:tcPr>
          <w:p>
            <w:r/>
            <w:r>
              <w:rPr>
                <w:b/>
                <w:sz w:val="19"/>
              </w:rPr>
              <w:t>Detail</w:t>
            </w:r>
          </w:p>
        </w:tc>
      </w:tr>
      <w:tr>
        <w:tc>
          <w:tcPr>
            <w:tcW w:type="dxa" w:w="2551"/>
          </w:tcPr>
          <w:p>
            <w:r/>
            <w:r>
              <w:rPr>
                <w:sz w:val="19"/>
              </w:rPr>
              <w:t>Deliverable</w:t>
            </w:r>
          </w:p>
        </w:tc>
        <w:tc>
          <w:tcPr>
            <w:tcW w:type="dxa" w:w="6236"/>
          </w:tcPr>
          <w:p>
            <w:pPr>
              <w:jc w:val="right"/>
            </w:pPr>
            <w:r/>
            <w:r>
              <w:rPr>
                <w:sz w:val="19"/>
              </w:rPr>
              <w:t>1 — Analysis of data, pre-selection &amp; justification of policies</w:t>
            </w:r>
          </w:p>
        </w:tc>
      </w:tr>
      <w:tr>
        <w:tc>
          <w:tcPr>
            <w:tcW w:type="dxa" w:w="2551"/>
          </w:tcPr>
          <w:p>
            <w:r/>
            <w:r>
              <w:rPr>
                <w:sz w:val="19"/>
              </w:rPr>
              <w:t>Due date</w:t>
            </w:r>
          </w:p>
        </w:tc>
        <w:tc>
          <w:tcPr>
            <w:tcW w:type="dxa" w:w="6236"/>
          </w:tcPr>
          <w:p>
            <w:pPr>
              <w:jc w:val="right"/>
            </w:pPr>
            <w:r/>
            <w:r>
              <w:rPr>
                <w:sz w:val="19"/>
              </w:rPr>
              <w:t>16-09-2026</w:t>
            </w:r>
          </w:p>
        </w:tc>
      </w:tr>
      <w:tr>
        <w:tc>
          <w:tcPr>
            <w:tcW w:type="dxa" w:w="2551"/>
          </w:tcPr>
          <w:p>
            <w:r/>
            <w:r>
              <w:rPr>
                <w:sz w:val="19"/>
              </w:rPr>
              <w:t>Data period analysed</w:t>
            </w:r>
          </w:p>
        </w:tc>
        <w:tc>
          <w:tcPr>
            <w:tcW w:type="dxa" w:w="6236"/>
          </w:tcPr>
          <w:p>
            <w:pPr>
              <w:jc w:val="right"/>
            </w:pPr>
            <w:r/>
            <w:r>
              <w:rPr>
                <w:sz w:val="19"/>
              </w:rPr>
              <w:t>Q2 2025 (01 Apr – 30 Jun)</w:t>
            </w:r>
          </w:p>
        </w:tc>
      </w:tr>
      <w:tr>
        <w:tc>
          <w:tcPr>
            <w:tcW w:type="dxa" w:w="2551"/>
          </w:tcPr>
          <w:p>
            <w:r/>
            <w:r>
              <w:rPr>
                <w:sz w:val="19"/>
              </w:rPr>
              <w:t>Site constraints</w:t>
            </w:r>
          </w:p>
        </w:tc>
        <w:tc>
          <w:tcPr>
            <w:tcW w:type="dxa" w:w="6236"/>
          </w:tcPr>
          <w:p>
            <w:pPr>
              <w:jc w:val="right"/>
            </w:pPr>
            <w:r/>
            <w:r>
              <w:rPr>
                <w:sz w:val="19"/>
              </w:rPr>
              <w:t>≤ 7,000 m² footprint · ≤ 12.2 m height</w:t>
            </w:r>
          </w:p>
        </w:tc>
      </w:tr>
      <w:tr>
        <w:tc>
          <w:tcPr>
            <w:tcW w:type="dxa" w:w="2551"/>
          </w:tcPr>
          <w:p>
            <w:r/>
            <w:r>
              <w:rPr>
                <w:sz w:val="19"/>
              </w:rPr>
              <w:t>Scope</w:t>
            </w:r>
          </w:p>
        </w:tc>
        <w:tc>
          <w:tcPr>
            <w:tcW w:type="dxa" w:w="6236"/>
          </w:tcPr>
          <w:p>
            <w:pPr>
              <w:jc w:val="right"/>
            </w:pPr>
            <w:r/>
            <w:r>
              <w:rPr>
                <w:sz w:val="19"/>
              </w:rPr>
              <w:t>Receiving · Storage · Picking · Shipping (end-to-end)</w:t>
            </w:r>
          </w:p>
        </w:tc>
      </w:tr>
      <w:tr>
        <w:tc>
          <w:tcPr>
            <w:tcW w:type="dxa" w:w="2551"/>
          </w:tcPr>
          <w:p>
            <w:r/>
            <w:r>
              <w:rPr>
                <w:sz w:val="19"/>
              </w:rPr>
              <w:t>Author</w:t>
            </w:r>
          </w:p>
        </w:tc>
        <w:tc>
          <w:tcPr>
            <w:tcW w:type="dxa" w:w="6236"/>
          </w:tcPr>
          <w:p>
            <w:pPr>
              <w:jc w:val="right"/>
            </w:pPr>
            <w:r/>
            <w:r>
              <w:rPr>
                <w:sz w:val="19"/>
              </w:rPr>
              <w:t>________________________</w:t>
            </w:r>
          </w:p>
        </w:tc>
      </w:tr>
      <w:tr>
        <w:tc>
          <w:tcPr>
            <w:tcW w:type="dxa" w:w="2551"/>
          </w:tcPr>
          <w:p>
            <w:r/>
            <w:r>
              <w:rPr>
                <w:sz w:val="19"/>
              </w:rPr>
              <w:t>Version</w:t>
            </w:r>
          </w:p>
        </w:tc>
        <w:tc>
          <w:tcPr>
            <w:tcW w:type="dxa" w:w="6236"/>
          </w:tcPr>
          <w:p>
            <w:pPr>
              <w:jc w:val="right"/>
            </w:pPr>
            <w:r/>
            <w:r>
              <w:rPr>
                <w:sz w:val="19"/>
              </w:rPr>
              <w:t>v2 — analysis, design options, policies &amp; recommendation (updated with teacher feedback)</w:t>
            </w:r>
          </w:p>
        </w:tc>
      </w:tr>
    </w:tbl>
    <w:p>
      <w:pPr>
        <w:spacing w:after="40"/>
      </w:pPr>
    </w:p>
    <w:p>
      <w:pPr>
        <w:spacing w:after="120"/>
      </w:pPr>
      <w:r>
        <w:rPr>
          <w:b w:val="0"/>
          <w:i/>
          <w:color w:val="666666"/>
          <w:sz w:val="18"/>
        </w:rPr>
        <w:t>This draft covers Deliverable 1 end-to-end: data analysis, storage-capacity feasibility, three design options, policy pre-selection, equipment, and a recommended concept with a decision matrix. All figures are measured from the provided Assa Abloy data or computed by the analysis scripts; nothing is fabricated, and open assumptions are listed in Section 13.</w:t>
      </w:r>
    </w:p>
    <w:p>
      <w:r>
        <w:br w:type="page"/>
      </w:r>
    </w:p>
    <w:p>
      <w:pPr>
        <w:pStyle w:val="Heading1"/>
      </w:pPr>
      <w:r>
        <w:t>Contents</w:t>
      </w:r>
    </w:p>
    <w:p>
      <w:fldSimple w:instr="TOC \o &quot;1-2&quot; \h \z \u">
        <w:r>
          <w:t>(In Word: right-click → Update Field to build the table of contents.)</w:t>
        </w:r>
      </w:fldSimple>
    </w:p>
    <w:p>
      <w:r>
        <w:br w:type="page"/>
      </w:r>
    </w:p>
    <w:p>
      <w:pPr>
        <w:pStyle w:val="Heading1"/>
      </w:pPr>
      <w:r>
        <w:t>1. Introduction &amp; scope</w:t>
      </w:r>
    </w:p>
    <w:p>
      <w:pPr>
        <w:spacing w:after="120"/>
      </w:pPr>
      <w:r>
        <w:rPr>
          <w:b w:val="0"/>
          <w:i w:val="0"/>
          <w:color w:val="222222"/>
          <w:sz w:val="21"/>
        </w:rPr>
        <w:t>DHL Supply Chain previously ran warehouse operations for four clients in Tiel and recently relocated to a new site in Bemmel under significant time pressure. The Operations Manager considers the current (post-move) design sub-optimal. The objective of this project is to develop an alternative, more efficient and effective warehouse design for the Assa Abloy operation, based on a thorough analysis of the operational data.</w:t>
      </w:r>
    </w:p>
    <w:p>
      <w:pPr>
        <w:spacing w:after="120"/>
      </w:pPr>
      <w:r>
        <w:rPr>
          <w:b w:val="0"/>
          <w:i w:val="0"/>
          <w:color w:val="222222"/>
          <w:sz w:val="21"/>
        </w:rPr>
        <w:t>The design covers four processes end-to-end — receiving, storage, picking and shipping — with all choices aligned across them. Facility architecture is out of scope; legal aspects (fire safety, compliance) are considered. The site envelope is a maximum footprint of 7,000 m² and a maximum height of 12.2 m.</w:t>
      </w:r>
    </w:p>
    <w:p>
      <w:pPr>
        <w:pStyle w:val="Heading1"/>
      </w:pPr>
      <w:r>
        <w:t>2. Data sources &amp; method</w:t>
      </w:r>
    </w:p>
    <w:p>
      <w:pPr>
        <w:spacing w:after="120"/>
      </w:pPr>
      <w:r>
        <w:rPr>
          <w:b w:val="0"/>
          <w:i w:val="0"/>
          <w:color w:val="222222"/>
          <w:sz w:val="21"/>
        </w:rPr>
        <w:t>Two datasets from the Assa Abloy operation (warehouse NL_0032) form the primary source of truth: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54"/>
          </w:tcPr>
          <w:p>
            <w:r/>
            <w:r>
              <w:rPr>
                <w:b/>
                <w:sz w:val="19"/>
              </w:rPr>
              <w:t>Dataset</w:t>
            </w:r>
          </w:p>
        </w:tc>
        <w:tc>
          <w:tcPr>
            <w:tcW w:type="dxa" w:w="2608"/>
          </w:tcPr>
          <w:p>
            <w:r/>
            <w:r>
              <w:rPr>
                <w:b/>
                <w:sz w:val="19"/>
              </w:rPr>
              <w:t>Files</w:t>
            </w:r>
          </w:p>
        </w:tc>
        <w:tc>
          <w:tcPr>
            <w:tcW w:type="dxa" w:w="2041"/>
          </w:tcPr>
          <w:p>
            <w:r/>
            <w:r>
              <w:rPr>
                <w:b/>
                <w:sz w:val="19"/>
              </w:rPr>
              <w:t>Grain</w:t>
            </w:r>
          </w:p>
        </w:tc>
        <w:tc>
          <w:tcPr>
            <w:tcW w:type="dxa" w:w="1984"/>
          </w:tcPr>
          <w:p>
            <w:r/>
            <w:r>
              <w:rPr>
                <w:b/>
                <w:sz w:val="19"/>
              </w:rPr>
              <w:t>Volume</w:t>
            </w:r>
          </w:p>
        </w:tc>
      </w:tr>
      <w:tr>
        <w:tc>
          <w:tcPr>
            <w:tcW w:type="dxa" w:w="2154"/>
          </w:tcPr>
          <w:p>
            <w:r/>
            <w:r>
              <w:rPr>
                <w:sz w:val="19"/>
              </w:rPr>
              <w:t>Storage / inventory</w:t>
            </w:r>
          </w:p>
        </w:tc>
        <w:tc>
          <w:tcPr>
            <w:tcW w:type="dxa" w:w="2608"/>
          </w:tcPr>
          <w:p>
            <w:pPr>
              <w:jc w:val="right"/>
            </w:pPr>
            <w:r/>
            <w:r>
              <w:rPr>
                <w:sz w:val="19"/>
              </w:rPr>
              <w:t>3 snapshots (01-04/05/06-2025)</w:t>
            </w:r>
          </w:p>
        </w:tc>
        <w:tc>
          <w:tcPr>
            <w:tcW w:type="dxa" w:w="2041"/>
          </w:tcPr>
          <w:p>
            <w:pPr>
              <w:jc w:val="right"/>
            </w:pPr>
            <w:r/>
            <w:r>
              <w:rPr>
                <w:sz w:val="19"/>
              </w:rPr>
              <w:t>Inventory detail (DTLNUM)</w:t>
            </w:r>
          </w:p>
        </w:tc>
        <w:tc>
          <w:tcPr>
            <w:tcW w:type="dxa" w:w="1984"/>
          </w:tcPr>
          <w:p>
            <w:pPr>
              <w:jc w:val="right"/>
            </w:pPr>
            <w:r/>
            <w:r>
              <w:rPr>
                <w:sz w:val="19"/>
              </w:rPr>
              <w:t>16,575–17,290 records</w:t>
            </w:r>
          </w:p>
        </w:tc>
      </w:tr>
      <w:tr>
        <w:tc>
          <w:tcPr>
            <w:tcW w:type="dxa" w:w="2154"/>
          </w:tcPr>
          <w:p>
            <w:r/>
            <w:r>
              <w:rPr>
                <w:sz w:val="19"/>
              </w:rPr>
              <w:t>Outbound shipping &amp; picking</w:t>
            </w:r>
          </w:p>
        </w:tc>
        <w:tc>
          <w:tcPr>
            <w:tcW w:type="dxa" w:w="2608"/>
          </w:tcPr>
          <w:p>
            <w:pPr>
              <w:jc w:val="right"/>
            </w:pPr>
            <w:r/>
            <w:r>
              <w:rPr>
                <w:sz w:val="19"/>
              </w:rPr>
              <w:t>3 months (Apr–Jun 2025)</w:t>
            </w:r>
          </w:p>
        </w:tc>
        <w:tc>
          <w:tcPr>
            <w:tcW w:type="dxa" w:w="2041"/>
          </w:tcPr>
          <w:p>
            <w:pPr>
              <w:jc w:val="right"/>
            </w:pPr>
            <w:r/>
            <w:r>
              <w:rPr>
                <w:sz w:val="19"/>
              </w:rPr>
              <w:t>Order line</w:t>
            </w:r>
          </w:p>
        </w:tc>
        <w:tc>
          <w:tcPr>
            <w:tcW w:type="dxa" w:w="1984"/>
          </w:tcPr>
          <w:p>
            <w:pPr>
              <w:jc w:val="right"/>
            </w:pPr>
            <w:r/>
            <w:r>
              <w:rPr>
                <w:sz w:val="19"/>
              </w:rPr>
              <w:t>39,069 lines · 8,781 orders</w:t>
            </w:r>
          </w:p>
        </w:tc>
      </w:tr>
    </w:tbl>
    <w:p>
      <w:pPr>
        <w:spacing w:after="40"/>
      </w:pPr>
    </w:p>
    <w:p>
      <w:pPr>
        <w:spacing w:after="120"/>
      </w:pPr>
      <w:r>
        <w:rPr>
          <w:b w:val="0"/>
          <w:i/>
          <w:color w:val="666666"/>
          <w:sz w:val="19"/>
        </w:rPr>
        <w:t>Analysis is performed in Python (pandas). Every headline number is reproducible from the scripts in /analysis and cached in outputs/reports/phase1_metrics.json. Data-quality issues are flagged (Section 8), not silently corrected.</w:t>
      </w:r>
    </w:p>
    <w:p>
      <w:pPr>
        <w:pStyle w:val="Heading1"/>
      </w:pPr>
      <w:r>
        <w:t>3. SKU profile</w:t>
      </w:r>
    </w:p>
    <w:p>
      <w:pPr>
        <w:pStyle w:val="ListBullet"/>
      </w:pPr>
      <w:r>
        <w:rPr>
          <w:b w:val="0"/>
          <w:sz w:val="21"/>
        </w:rPr>
      </w:r>
      <w:r>
        <w:rPr>
          <w:b/>
          <w:sz w:val="21"/>
        </w:rPr>
        <w:t>5,291 SKUs</w:t>
      </w:r>
      <w:r>
        <w:rPr>
          <w:b w:val="0"/>
          <w:sz w:val="21"/>
        </w:rPr>
        <w:t xml:space="preserve"> in stock across </w:t>
      </w:r>
      <w:r>
        <w:rPr>
          <w:b/>
          <w:sz w:val="21"/>
        </w:rPr>
        <w:t>11 product families</w:t>
      </w:r>
      <w:r>
        <w:rPr>
          <w:b w:val="0"/>
          <w:sz w:val="21"/>
        </w:rPr>
        <w:t>.</w:t>
      </w:r>
    </w:p>
    <w:p>
      <w:pPr>
        <w:pStyle w:val="ListBullet"/>
      </w:pPr>
      <w:r>
        <w:rPr>
          <w:b w:val="0"/>
          <w:sz w:val="21"/>
        </w:rPr>
      </w:r>
      <w:r>
        <w:rPr>
          <w:b/>
          <w:sz w:val="21"/>
        </w:rPr>
        <w:t>3,115 SKUs have a case pack; 2,176 are each-only</w:t>
      </w:r>
      <w:r>
        <w:rPr>
          <w:b w:val="0"/>
          <w:sz w:val="21"/>
        </w:rPr>
        <w:t xml:space="preserve"> (≈41%) — confirming real each-pick demand.</w:t>
      </w:r>
    </w:p>
    <w:p>
      <w:pPr>
        <w:pStyle w:val="ListBullet"/>
      </w:pPr>
      <w:r>
        <w:rPr>
          <w:sz w:val="21"/>
        </w:rPr>
        <w:t>Each size is small: median cube 0.0005 m³ (~500 cm³) — typical for locks, cylinders and fittings.</w:t>
      </w:r>
    </w:p>
    <w:p>
      <w:pPr>
        <w:pStyle w:val="ListBullet"/>
      </w:pPr>
      <w:r>
        <w:rPr>
          <w:b w:val="0"/>
          <w:sz w:val="21"/>
        </w:rPr>
        <w:t xml:space="preserve">Units per pallet: median </w:t>
      </w:r>
      <w:r>
        <w:rPr>
          <w:b/>
          <w:sz w:val="21"/>
        </w:rPr>
        <w:t>1000</w:t>
      </w:r>
      <w:r>
        <w:rPr>
          <w:b w:val="0"/>
          <w:sz w:val="21"/>
        </w:rPr>
        <w:t xml:space="preserve"> (mean skewed by high-count small parts).</w:t>
      </w:r>
    </w:p>
    <w:p>
      <w:pPr>
        <w:pStyle w:val="ListBullet"/>
      </w:pPr>
      <w:r>
        <w:rPr>
          <w:b w:val="0"/>
          <w:sz w:val="21"/>
        </w:rPr>
        <w:t xml:space="preserve">Pallet weight: median </w:t>
      </w:r>
      <w:r>
        <w:rPr>
          <w:b/>
          <w:sz w:val="21"/>
        </w:rPr>
        <w:t>431 kg</w:t>
      </w:r>
      <w:r>
        <w:rPr>
          <w:b w:val="0"/>
          <w:sz w:val="21"/>
        </w:rPr>
        <w:t xml:space="preserve"> — realistic for a EURO pallet (see data-quality flag on sentinel maxima).</w:t>
      </w:r>
    </w:p>
    <w:p>
      <w:pPr>
        <w:pStyle w:val="ListBullet"/>
      </w:pPr>
      <w:r>
        <w:rPr>
          <w:sz w:val="21"/>
        </w:rPr>
        <w:t>Pallet-type mix (SKU level): EURO 2,864, K3 2,040, XLONGPALLET 168 (long goods), plus K1/K2/K5/CONS.</w:t>
      </w:r>
    </w:p>
    <w:p>
      <w:pPr>
        <w:pStyle w:val="ListBullet"/>
      </w:pPr>
      <w:r>
        <w:rPr>
          <w:sz w:val="21"/>
        </w:rPr>
        <w:t>Hazardous SKUs: 138 — require segregation/compliance consideration.</w:t>
      </w:r>
    </w:p>
    <w:p>
      <w:pPr>
        <w:jc w:val="center"/>
      </w:pPr>
      <w:r>
        <w:drawing>
          <wp:inline xmlns:a="http://schemas.openxmlformats.org/drawingml/2006/main" xmlns:pic="http://schemas.openxmlformats.org/drawingml/2006/picture">
            <wp:extent cx="4320000" cy="2715066"/>
            <wp:docPr id="1" name="Picture 1"/>
            <wp:cNvGraphicFramePr>
              <a:graphicFrameLocks noChangeAspect="1"/>
            </wp:cNvGraphicFramePr>
            <a:graphic>
              <a:graphicData uri="http://schemas.openxmlformats.org/drawingml/2006/picture">
                <pic:pic>
                  <pic:nvPicPr>
                    <pic:cNvPr id="0" name="sku_pallet_weight_hist.png"/>
                    <pic:cNvPicPr/>
                  </pic:nvPicPr>
                  <pic:blipFill>
                    <a:blip r:embed="rId9"/>
                    <a:stretch>
                      <a:fillRect/>
                    </a:stretch>
                  </pic:blipFill>
                  <pic:spPr>
                    <a:xfrm>
                      <a:off x="0" y="0"/>
                      <a:ext cx="4320000" cy="2715066"/>
                    </a:xfrm>
                    <a:prstGeom prst="rect"/>
                  </pic:spPr>
                </pic:pic>
              </a:graphicData>
            </a:graphic>
          </wp:inline>
        </w:drawing>
      </w:r>
    </w:p>
    <w:p>
      <w:pPr>
        <w:spacing w:after="200"/>
        <w:jc w:val="center"/>
      </w:pPr>
      <w:r>
        <w:rPr>
          <w:b w:val="0"/>
          <w:i/>
          <w:color w:val="666666"/>
          <w:sz w:val="17"/>
        </w:rPr>
        <w:t>Fig 1. Pallet-weight distribution at SKU level (&lt;p99).</w:t>
      </w:r>
    </w:p>
    <w:p>
      <w:pPr>
        <w:pStyle w:val="Heading1"/>
      </w:pPr>
      <w:r>
        <w:t>4. Inventory &amp; storage-position requirement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531"/>
          </w:tcPr>
          <w:p>
            <w:r/>
            <w:r>
              <w:rPr>
                <w:b/>
                <w:sz w:val="19"/>
              </w:rPr>
              <w:t>Snapshot</w:t>
            </w:r>
          </w:p>
        </w:tc>
        <w:tc>
          <w:tcPr>
            <w:tcW w:type="dxa" w:w="1361"/>
          </w:tcPr>
          <w:p>
            <w:r/>
            <w:r>
              <w:rPr>
                <w:b/>
                <w:sz w:val="19"/>
              </w:rPr>
              <w:t>Detail recs</w:t>
            </w:r>
          </w:p>
        </w:tc>
        <w:tc>
          <w:tcPr>
            <w:tcW w:type="dxa" w:w="1701"/>
          </w:tcPr>
          <w:p>
            <w:r/>
            <w:r>
              <w:rPr>
                <w:b/>
                <w:sz w:val="19"/>
              </w:rPr>
              <w:t>Loads (positions)</w:t>
            </w:r>
          </w:p>
        </w:tc>
        <w:tc>
          <w:tcPr>
            <w:tcW w:type="dxa" w:w="1814"/>
          </w:tcPr>
          <w:p>
            <w:r/>
            <w:r>
              <w:rPr>
                <w:b/>
                <w:sz w:val="19"/>
              </w:rPr>
              <w:t>Occupied locations</w:t>
            </w:r>
          </w:p>
        </w:tc>
        <w:tc>
          <w:tcPr>
            <w:tcW w:type="dxa" w:w="1247"/>
          </w:tcPr>
          <w:p>
            <w:r/>
            <w:r>
              <w:rPr>
                <w:b/>
                <w:sz w:val="19"/>
              </w:rPr>
              <w:t>Active SKUs</w:t>
            </w:r>
          </w:p>
        </w:tc>
        <w:tc>
          <w:tcPr>
            <w:tcW w:type="dxa" w:w="1134"/>
          </w:tcPr>
          <w:p>
            <w:r/>
            <w:r>
              <w:rPr>
                <w:b/>
                <w:sz w:val="19"/>
              </w:rPr>
              <w:t>Cube (m³)</w:t>
            </w:r>
          </w:p>
        </w:tc>
      </w:tr>
      <w:tr>
        <w:tc>
          <w:tcPr>
            <w:tcW w:type="dxa" w:w="1531"/>
          </w:tcPr>
          <w:p>
            <w:r/>
            <w:r>
              <w:rPr>
                <w:sz w:val="19"/>
              </w:rPr>
              <w:t>2025-04-01</w:t>
            </w:r>
          </w:p>
        </w:tc>
        <w:tc>
          <w:tcPr>
            <w:tcW w:type="dxa" w:w="1361"/>
          </w:tcPr>
          <w:p>
            <w:pPr>
              <w:jc w:val="right"/>
            </w:pPr>
            <w:r/>
            <w:r>
              <w:rPr>
                <w:sz w:val="19"/>
              </w:rPr>
              <w:t>16,575</w:t>
            </w:r>
          </w:p>
        </w:tc>
        <w:tc>
          <w:tcPr>
            <w:tcW w:type="dxa" w:w="1701"/>
          </w:tcPr>
          <w:p>
            <w:pPr>
              <w:jc w:val="right"/>
            </w:pPr>
            <w:r/>
            <w:r>
              <w:rPr>
                <w:sz w:val="19"/>
              </w:rPr>
              <w:t>10,176</w:t>
            </w:r>
          </w:p>
        </w:tc>
        <w:tc>
          <w:tcPr>
            <w:tcW w:type="dxa" w:w="1814"/>
          </w:tcPr>
          <w:p>
            <w:pPr>
              <w:jc w:val="right"/>
            </w:pPr>
            <w:r/>
            <w:r>
              <w:rPr>
                <w:sz w:val="19"/>
              </w:rPr>
              <w:t>7,715</w:t>
            </w:r>
          </w:p>
        </w:tc>
        <w:tc>
          <w:tcPr>
            <w:tcW w:type="dxa" w:w="1247"/>
          </w:tcPr>
          <w:p>
            <w:pPr>
              <w:jc w:val="right"/>
            </w:pPr>
            <w:r/>
            <w:r>
              <w:rPr>
                <w:sz w:val="19"/>
              </w:rPr>
              <w:t>5,164</w:t>
            </w:r>
          </w:p>
        </w:tc>
        <w:tc>
          <w:tcPr>
            <w:tcW w:type="dxa" w:w="1134"/>
          </w:tcPr>
          <w:p>
            <w:pPr>
              <w:jc w:val="right"/>
            </w:pPr>
            <w:r/>
            <w:r>
              <w:rPr>
                <w:sz w:val="19"/>
              </w:rPr>
              <w:t>3,209</w:t>
            </w:r>
          </w:p>
        </w:tc>
      </w:tr>
      <w:tr>
        <w:tc>
          <w:tcPr>
            <w:tcW w:type="dxa" w:w="1531"/>
          </w:tcPr>
          <w:p>
            <w:r/>
            <w:r>
              <w:rPr>
                <w:sz w:val="19"/>
              </w:rPr>
              <w:t>2025-05-01</w:t>
            </w:r>
          </w:p>
        </w:tc>
        <w:tc>
          <w:tcPr>
            <w:tcW w:type="dxa" w:w="1361"/>
          </w:tcPr>
          <w:p>
            <w:pPr>
              <w:jc w:val="right"/>
            </w:pPr>
            <w:r/>
            <w:r>
              <w:rPr>
                <w:sz w:val="19"/>
              </w:rPr>
              <w:t>16,793</w:t>
            </w:r>
          </w:p>
        </w:tc>
        <w:tc>
          <w:tcPr>
            <w:tcW w:type="dxa" w:w="1701"/>
          </w:tcPr>
          <w:p>
            <w:pPr>
              <w:jc w:val="right"/>
            </w:pPr>
            <w:r/>
            <w:r>
              <w:rPr>
                <w:sz w:val="19"/>
              </w:rPr>
              <w:t>10,534</w:t>
            </w:r>
          </w:p>
        </w:tc>
        <w:tc>
          <w:tcPr>
            <w:tcW w:type="dxa" w:w="1814"/>
          </w:tcPr>
          <w:p>
            <w:pPr>
              <w:jc w:val="right"/>
            </w:pPr>
            <w:r/>
            <w:r>
              <w:rPr>
                <w:sz w:val="19"/>
              </w:rPr>
              <w:t>8,149</w:t>
            </w:r>
          </w:p>
        </w:tc>
        <w:tc>
          <w:tcPr>
            <w:tcW w:type="dxa" w:w="1247"/>
          </w:tcPr>
          <w:p>
            <w:pPr>
              <w:jc w:val="right"/>
            </w:pPr>
            <w:r/>
            <w:r>
              <w:rPr>
                <w:sz w:val="19"/>
              </w:rPr>
              <w:t>5,273</w:t>
            </w:r>
          </w:p>
        </w:tc>
        <w:tc>
          <w:tcPr>
            <w:tcW w:type="dxa" w:w="1134"/>
          </w:tcPr>
          <w:p>
            <w:pPr>
              <w:jc w:val="right"/>
            </w:pPr>
            <w:r/>
            <w:r>
              <w:rPr>
                <w:sz w:val="19"/>
              </w:rPr>
              <w:t>3,434</w:t>
            </w:r>
          </w:p>
        </w:tc>
      </w:tr>
      <w:tr>
        <w:tc>
          <w:tcPr>
            <w:tcW w:type="dxa" w:w="1531"/>
          </w:tcPr>
          <w:p>
            <w:r/>
            <w:r>
              <w:rPr>
                <w:sz w:val="19"/>
              </w:rPr>
              <w:t>2025-06-01</w:t>
            </w:r>
          </w:p>
        </w:tc>
        <w:tc>
          <w:tcPr>
            <w:tcW w:type="dxa" w:w="1361"/>
          </w:tcPr>
          <w:p>
            <w:pPr>
              <w:jc w:val="right"/>
            </w:pPr>
            <w:r/>
            <w:r>
              <w:rPr>
                <w:sz w:val="19"/>
              </w:rPr>
              <w:t>17,290</w:t>
            </w:r>
          </w:p>
        </w:tc>
        <w:tc>
          <w:tcPr>
            <w:tcW w:type="dxa" w:w="1701"/>
          </w:tcPr>
          <w:p>
            <w:pPr>
              <w:jc w:val="right"/>
            </w:pPr>
            <w:r/>
            <w:r>
              <w:rPr>
                <w:sz w:val="19"/>
              </w:rPr>
              <w:t>11,015</w:t>
            </w:r>
          </w:p>
        </w:tc>
        <w:tc>
          <w:tcPr>
            <w:tcW w:type="dxa" w:w="1814"/>
          </w:tcPr>
          <w:p>
            <w:pPr>
              <w:jc w:val="right"/>
            </w:pPr>
            <w:r/>
            <w:r>
              <w:rPr>
                <w:sz w:val="19"/>
              </w:rPr>
              <w:t>8,512</w:t>
            </w:r>
          </w:p>
        </w:tc>
        <w:tc>
          <w:tcPr>
            <w:tcW w:type="dxa" w:w="1247"/>
          </w:tcPr>
          <w:p>
            <w:pPr>
              <w:jc w:val="right"/>
            </w:pPr>
            <w:r/>
            <w:r>
              <w:rPr>
                <w:sz w:val="19"/>
              </w:rPr>
              <w:t>5,291</w:t>
            </w:r>
          </w:p>
        </w:tc>
        <w:tc>
          <w:tcPr>
            <w:tcW w:type="dxa" w:w="1134"/>
          </w:tcPr>
          <w:p>
            <w:pPr>
              <w:jc w:val="right"/>
            </w:pPr>
            <w:r/>
            <w:r>
              <w:rPr>
                <w:sz w:val="19"/>
              </w:rPr>
              <w:t>3,679</w:t>
            </w:r>
          </w:p>
        </w:tc>
      </w:tr>
    </w:tbl>
    <w:p>
      <w:pPr>
        <w:spacing w:after="40"/>
      </w:pPr>
    </w:p>
    <w:p>
      <w:pPr>
        <w:pStyle w:val="ListBullet"/>
      </w:pPr>
      <w:r>
        <w:rPr>
          <w:b w:val="0"/>
          <w:sz w:val="21"/>
        </w:rPr>
        <w:t xml:space="preserve">Occupied locations (pallet positions) grew </w:t>
      </w:r>
      <w:r>
        <w:rPr>
          <w:b/>
          <w:sz w:val="21"/>
        </w:rPr>
        <w:t>7,715 → 8,512</w:t>
      </w:r>
      <w:r>
        <w:rPr>
          <w:b w:val="0"/>
          <w:sz w:val="21"/>
        </w:rPr>
        <w:t xml:space="preserve"> over the quarter; loads grew +8.2% (10,176 → 11,015); cube +15%.</w:t>
      </w:r>
    </w:p>
    <w:p>
      <w:pPr>
        <w:pStyle w:val="ListBullet"/>
      </w:pPr>
      <w:r>
        <w:rPr>
          <w:b w:val="0"/>
          <w:sz w:val="21"/>
        </w:rPr>
      </w:r>
      <w:r>
        <w:rPr>
          <w:b/>
          <w:sz w:val="21"/>
        </w:rPr>
        <w:t>Peak pallet positions ≈ 8,512 occupied locations</w:t>
      </w:r>
      <w:r>
        <w:rPr>
          <w:b w:val="0"/>
          <w:sz w:val="21"/>
        </w:rPr>
        <w:t xml:space="preserve"> → the storage baseline. The 11,015 loads sit in those locations (some locations hold more than one load), so loads overstate the positions needed (A004).</w:t>
      </w:r>
    </w:p>
    <w:p>
      <w:pPr>
        <w:pStyle w:val="ListBullet"/>
      </w:pPr>
      <w:r>
        <w:rPr>
          <w:b w:val="0"/>
          <w:sz w:val="21"/>
        </w:rPr>
        <w:t xml:space="preserve">Loads per SKU: mean 2.07, median 1, max 337; </w:t>
      </w:r>
      <w:r>
        <w:rPr>
          <w:b/>
          <w:sz w:val="21"/>
        </w:rPr>
        <w:t>72.7% of SKUs occupy a single load</w:t>
      </w:r>
      <w:r>
        <w:rPr>
          <w:b w:val="0"/>
          <w:sz w:val="21"/>
        </w:rPr>
        <w:t xml:space="preserve"> — a long slow-moving tail one pallet deep.</w:t>
      </w:r>
    </w:p>
    <w:p>
      <w:pPr>
        <w:pStyle w:val="ListBullet"/>
      </w:pPr>
      <w:r>
        <w:rPr>
          <w:sz w:val="21"/>
        </w:rPr>
        <w:t>Eaches held roughly flat (~2.9M) while loads rose → stock is fragmenting into more, less-full locations: a current-design inefficiency to target.</w:t>
      </w:r>
    </w:p>
    <w:p>
      <w:pPr>
        <w:jc w:val="center"/>
      </w:pPr>
      <w:r>
        <w:drawing>
          <wp:inline xmlns:a="http://schemas.openxmlformats.org/drawingml/2006/main" xmlns:pic="http://schemas.openxmlformats.org/drawingml/2006/picture">
            <wp:extent cx="4680000" cy="2721086"/>
            <wp:docPr id="2" name="Picture 2"/>
            <wp:cNvGraphicFramePr>
              <a:graphicFrameLocks noChangeAspect="1"/>
            </wp:cNvGraphicFramePr>
            <a:graphic>
              <a:graphicData uri="http://schemas.openxmlformats.org/drawingml/2006/picture">
                <pic:pic>
                  <pic:nvPicPr>
                    <pic:cNvPr id="0" name="inventory_trend.png"/>
                    <pic:cNvPicPr/>
                  </pic:nvPicPr>
                  <pic:blipFill>
                    <a:blip r:embed="rId10"/>
                    <a:stretch>
                      <a:fillRect/>
                    </a:stretch>
                  </pic:blipFill>
                  <pic:spPr>
                    <a:xfrm>
                      <a:off x="0" y="0"/>
                      <a:ext cx="4680000" cy="2721086"/>
                    </a:xfrm>
                    <a:prstGeom prst="rect"/>
                  </pic:spPr>
                </pic:pic>
              </a:graphicData>
            </a:graphic>
          </wp:inline>
        </w:drawing>
      </w:r>
    </w:p>
    <w:p>
      <w:pPr>
        <w:spacing w:after="200"/>
        <w:jc w:val="center"/>
      </w:pPr>
      <w:r>
        <w:rPr>
          <w:b w:val="0"/>
          <w:i/>
          <w:color w:val="666666"/>
          <w:sz w:val="17"/>
        </w:rPr>
        <w:t>Fig 2. Inventory footprint trend, Q2 2025 (loads and occupied locations).</w:t>
      </w:r>
    </w:p>
    <w:p>
      <w:pPr>
        <w:jc w:val="center"/>
      </w:pPr>
      <w:r>
        <w:drawing>
          <wp:inline xmlns:a="http://schemas.openxmlformats.org/drawingml/2006/main" xmlns:pic="http://schemas.openxmlformats.org/drawingml/2006/picture">
            <wp:extent cx="4680000" cy="2743650"/>
            <wp:docPr id="3" name="Picture 3"/>
            <wp:cNvGraphicFramePr>
              <a:graphicFrameLocks noChangeAspect="1"/>
            </wp:cNvGraphicFramePr>
            <a:graphic>
              <a:graphicData uri="http://schemas.openxmlformats.org/drawingml/2006/picture">
                <pic:pic>
                  <pic:nvPicPr>
                    <pic:cNvPr id="0" name="report_stock_ageing.png"/>
                    <pic:cNvPicPr/>
                  </pic:nvPicPr>
                  <pic:blipFill>
                    <a:blip r:embed="rId11"/>
                    <a:stretch>
                      <a:fillRect/>
                    </a:stretch>
                  </pic:blipFill>
                  <pic:spPr>
                    <a:xfrm>
                      <a:off x="0" y="0"/>
                      <a:ext cx="4680000" cy="2743650"/>
                    </a:xfrm>
                    <a:prstGeom prst="rect"/>
                  </pic:spPr>
                </pic:pic>
              </a:graphicData>
            </a:graphic>
          </wp:inline>
        </w:drawing>
      </w:r>
    </w:p>
    <w:p>
      <w:pPr>
        <w:spacing w:after="200"/>
        <w:jc w:val="center"/>
      </w:pPr>
      <w:r>
        <w:rPr>
          <w:b w:val="0"/>
          <w:i/>
          <w:color w:val="666666"/>
          <w:sz w:val="17"/>
        </w:rPr>
        <w:t>Fig 2b. Stock ageing — 21% of loads have been in stock &gt;1 year (dead-stock signal).</w:t>
      </w:r>
    </w:p>
    <w:p>
      <w:pPr>
        <w:pStyle w:val="Heading1"/>
      </w:pPr>
      <w:r>
        <w:t>5. Order &amp; picking profile and lead time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551"/>
          </w:tcPr>
          <w:p>
            <w:r/>
            <w:r>
              <w:rPr>
                <w:b/>
                <w:sz w:val="19"/>
              </w:rPr>
              <w:t>Metric</w:t>
            </w:r>
          </w:p>
        </w:tc>
        <w:tc>
          <w:tcPr>
            <w:tcW w:type="dxa" w:w="1417"/>
          </w:tcPr>
          <w:p>
            <w:r/>
            <w:r>
              <w:rPr>
                <w:b/>
                <w:sz w:val="19"/>
              </w:rPr>
              <w:t>Mean</w:t>
            </w:r>
          </w:p>
        </w:tc>
        <w:tc>
          <w:tcPr>
            <w:tcW w:type="dxa" w:w="1417"/>
          </w:tcPr>
          <w:p>
            <w:r/>
            <w:r>
              <w:rPr>
                <w:b/>
                <w:sz w:val="19"/>
              </w:rPr>
              <w:t>Median</w:t>
            </w:r>
          </w:p>
        </w:tc>
        <w:tc>
          <w:tcPr>
            <w:tcW w:type="dxa" w:w="1417"/>
          </w:tcPr>
          <w:p>
            <w:r/>
            <w:r>
              <w:rPr>
                <w:b/>
                <w:sz w:val="19"/>
              </w:rPr>
              <w:t>p95</w:t>
            </w:r>
          </w:p>
        </w:tc>
        <w:tc>
          <w:tcPr>
            <w:tcW w:type="dxa" w:w="1701"/>
          </w:tcPr>
          <w:p>
            <w:r/>
            <w:r>
              <w:rPr>
                <w:b/>
                <w:sz w:val="19"/>
              </w:rPr>
              <w:t>Max</w:t>
            </w:r>
          </w:p>
        </w:tc>
      </w:tr>
      <w:tr>
        <w:tc>
          <w:tcPr>
            <w:tcW w:type="dxa" w:w="2551"/>
          </w:tcPr>
          <w:p>
            <w:r/>
            <w:r>
              <w:rPr>
                <w:sz w:val="19"/>
              </w:rPr>
              <w:t>Lines per order</w:t>
            </w:r>
          </w:p>
        </w:tc>
        <w:tc>
          <w:tcPr>
            <w:tcW w:type="dxa" w:w="1417"/>
          </w:tcPr>
          <w:p>
            <w:pPr>
              <w:jc w:val="right"/>
            </w:pPr>
            <w:r/>
            <w:r>
              <w:rPr>
                <w:sz w:val="19"/>
              </w:rPr>
              <w:t>4.45</w:t>
            </w:r>
          </w:p>
        </w:tc>
        <w:tc>
          <w:tcPr>
            <w:tcW w:type="dxa" w:w="1417"/>
          </w:tcPr>
          <w:p>
            <w:pPr>
              <w:jc w:val="right"/>
            </w:pPr>
            <w:r/>
            <w:r>
              <w:rPr>
                <w:sz w:val="19"/>
              </w:rPr>
              <w:t>1</w:t>
            </w:r>
          </w:p>
        </w:tc>
        <w:tc>
          <w:tcPr>
            <w:tcW w:type="dxa" w:w="1417"/>
          </w:tcPr>
          <w:p>
            <w:pPr>
              <w:jc w:val="right"/>
            </w:pPr>
            <w:r/>
            <w:r>
              <w:rPr>
                <w:sz w:val="19"/>
              </w:rPr>
              <w:t>19</w:t>
            </w:r>
          </w:p>
        </w:tc>
        <w:tc>
          <w:tcPr>
            <w:tcW w:type="dxa" w:w="1701"/>
          </w:tcPr>
          <w:p>
            <w:pPr>
              <w:jc w:val="right"/>
            </w:pPr>
            <w:r/>
            <w:r>
              <w:rPr>
                <w:sz w:val="19"/>
              </w:rPr>
              <w:t>191</w:t>
            </w:r>
          </w:p>
        </w:tc>
      </w:tr>
      <w:tr>
        <w:tc>
          <w:tcPr>
            <w:tcW w:type="dxa" w:w="2551"/>
          </w:tcPr>
          <w:p>
            <w:r/>
            <w:r>
              <w:rPr>
                <w:sz w:val="19"/>
              </w:rPr>
              <w:t>Units per line</w:t>
            </w:r>
          </w:p>
        </w:tc>
        <w:tc>
          <w:tcPr>
            <w:tcW w:type="dxa" w:w="1417"/>
          </w:tcPr>
          <w:p>
            <w:pPr>
              <w:jc w:val="right"/>
            </w:pPr>
            <w:r/>
            <w:r>
              <w:rPr>
                <w:sz w:val="19"/>
              </w:rPr>
              <w:t>34.77</w:t>
            </w:r>
          </w:p>
        </w:tc>
        <w:tc>
          <w:tcPr>
            <w:tcW w:type="dxa" w:w="1417"/>
          </w:tcPr>
          <w:p>
            <w:pPr>
              <w:jc w:val="right"/>
            </w:pPr>
            <w:r/>
            <w:r>
              <w:rPr>
                <w:sz w:val="19"/>
              </w:rPr>
              <w:t>5</w:t>
            </w:r>
          </w:p>
        </w:tc>
        <w:tc>
          <w:tcPr>
            <w:tcW w:type="dxa" w:w="1417"/>
          </w:tcPr>
          <w:p>
            <w:pPr>
              <w:jc w:val="right"/>
            </w:pPr>
            <w:r/>
            <w:r>
              <w:rPr>
                <w:sz w:val="19"/>
              </w:rPr>
              <w:t>150</w:t>
            </w:r>
          </w:p>
        </w:tc>
        <w:tc>
          <w:tcPr>
            <w:tcW w:type="dxa" w:w="1701"/>
          </w:tcPr>
          <w:p>
            <w:pPr>
              <w:jc w:val="right"/>
            </w:pPr>
            <w:r/>
            <w:r>
              <w:rPr>
                <w:sz w:val="19"/>
              </w:rPr>
              <w:t>12020</w:t>
            </w:r>
          </w:p>
        </w:tc>
      </w:tr>
      <w:tr>
        <w:tc>
          <w:tcPr>
            <w:tcW w:type="dxa" w:w="2551"/>
          </w:tcPr>
          <w:p>
            <w:r/>
            <w:r>
              <w:rPr>
                <w:sz w:val="19"/>
              </w:rPr>
              <w:t>Units per order</w:t>
            </w:r>
          </w:p>
        </w:tc>
        <w:tc>
          <w:tcPr>
            <w:tcW w:type="dxa" w:w="1417"/>
          </w:tcPr>
          <w:p>
            <w:pPr>
              <w:jc w:val="right"/>
            </w:pPr>
            <w:r/>
            <w:r>
              <w:rPr>
                <w:sz w:val="19"/>
              </w:rPr>
              <w:t>154.7</w:t>
            </w:r>
          </w:p>
        </w:tc>
        <w:tc>
          <w:tcPr>
            <w:tcW w:type="dxa" w:w="1417"/>
          </w:tcPr>
          <w:p>
            <w:pPr>
              <w:jc w:val="right"/>
            </w:pPr>
            <w:r/>
            <w:r>
              <w:rPr>
                <w:sz w:val="19"/>
              </w:rPr>
              <w:t>8</w:t>
            </w:r>
          </w:p>
        </w:tc>
        <w:tc>
          <w:tcPr>
            <w:tcW w:type="dxa" w:w="1417"/>
          </w:tcPr>
          <w:p>
            <w:pPr>
              <w:jc w:val="right"/>
            </w:pPr>
            <w:r/>
            <w:r>
              <w:rPr>
                <w:sz w:val="19"/>
              </w:rPr>
              <w:t>575</w:t>
            </w:r>
          </w:p>
        </w:tc>
        <w:tc>
          <w:tcPr>
            <w:tcW w:type="dxa" w:w="1701"/>
          </w:tcPr>
          <w:p>
            <w:pPr>
              <w:jc w:val="right"/>
            </w:pPr>
            <w:r/>
            <w:r>
              <w:rPr>
                <w:sz w:val="19"/>
              </w:rPr>
              <w:t>20480</w:t>
            </w:r>
          </w:p>
        </w:tc>
      </w:tr>
    </w:tbl>
    <w:p>
      <w:pPr>
        <w:spacing w:after="40"/>
      </w:pPr>
    </w:p>
    <w:p>
      <w:pPr>
        <w:pStyle w:val="ListBullet"/>
      </w:pPr>
      <w:r>
        <w:rPr>
          <w:b w:val="0"/>
          <w:sz w:val="21"/>
        </w:rPr>
      </w:r>
      <w:r>
        <w:rPr>
          <w:b/>
          <w:sz w:val="21"/>
        </w:rPr>
        <w:t>8,781 orders / 39,069 lines</w:t>
      </w:r>
      <w:r>
        <w:rPr>
          <w:b w:val="0"/>
          <w:sz w:val="21"/>
        </w:rPr>
        <w:t xml:space="preserve">; </w:t>
      </w:r>
      <w:r>
        <w:rPr>
          <w:b/>
          <w:sz w:val="21"/>
        </w:rPr>
        <w:t>50.5% single-line</w:t>
      </w:r>
      <w:r>
        <w:rPr>
          <w:b w:val="0"/>
          <w:sz w:val="21"/>
        </w:rPr>
        <w:t xml:space="preserve"> orders and </w:t>
      </w:r>
      <w:r>
        <w:rPr>
          <w:b/>
          <w:sz w:val="21"/>
        </w:rPr>
        <w:t>23.6% single-unit</w:t>
      </w:r>
      <w:r>
        <w:rPr>
          <w:b w:val="0"/>
          <w:sz w:val="21"/>
        </w:rPr>
        <w:t xml:space="preserve"> lines — a small-order-heavy profile.</w:t>
      </w:r>
    </w:p>
    <w:p>
      <w:pPr>
        <w:pStyle w:val="ListBullet"/>
      </w:pPr>
      <w:r>
        <w:rPr>
          <w:b w:val="0"/>
          <w:sz w:val="21"/>
        </w:rPr>
      </w:r>
      <w:r>
        <w:rPr>
          <w:b/>
          <w:sz w:val="21"/>
        </w:rPr>
        <w:t>Pick type is derived from what the client ordered</w:t>
      </w:r>
      <w:r>
        <w:rPr>
          <w:b w:val="0"/>
          <w:sz w:val="21"/>
        </w:rPr>
        <w:t xml:space="preserve"> (A022) — each line's quantity is compared with the SKU's case and pallet quantity: </w:t>
      </w:r>
      <w:r>
        <w:rPr>
          <w:b/>
          <w:sz w:val="21"/>
        </w:rPr>
        <w:t>75% each-pick lines, 24% case lines, 1% full-pallet lines</w:t>
      </w:r>
      <w:r>
        <w:rPr>
          <w:b w:val="0"/>
          <w:sz w:val="21"/>
        </w:rPr>
        <w:t xml:space="preserve"> (by units: 61% case, 26% each, 13% pallet).</w:t>
      </w:r>
    </w:p>
    <w:p>
      <w:pPr>
        <w:pStyle w:val="ListBullet"/>
      </w:pPr>
      <w:r>
        <w:rPr>
          <w:b w:val="0"/>
          <w:sz w:val="21"/>
        </w:rPr>
      </w:r>
      <w:r>
        <w:rPr>
          <w:b/>
          <w:sz w:val="21"/>
        </w:rPr>
        <w:t>Picking is each-dominant by line count</w:t>
      </w:r>
      <w:r>
        <w:rPr>
          <w:b w:val="0"/>
          <w:sz w:val="21"/>
        </w:rPr>
        <w:t xml:space="preserve"> (the labour driver) and case-dominant by volume. DHL's historical pick flags (case/list 60.8%, each 16.0%, 20.6% unflagged) reflect past practice and are not used for design.</w:t>
      </w:r>
    </w:p>
    <w:p>
      <w:pPr>
        <w:pStyle w:val="ListBullet"/>
      </w:pPr>
      <w:r>
        <w:rPr>
          <w:b w:val="0"/>
          <w:sz w:val="21"/>
        </w:rPr>
        <w:t xml:space="preserve">Delivery lead time (order received → dispatched): </w:t>
      </w:r>
      <w:r>
        <w:rPr>
          <w:b/>
          <w:sz w:val="21"/>
        </w:rPr>
        <w:t>average 78.3 h (~3.3 days)</w:t>
      </w:r>
      <w:r>
        <w:rPr>
          <w:b w:val="0"/>
          <w:sz w:val="21"/>
        </w:rPr>
        <w:t>, median 52.4 h (~2.2 days), p90 166.9 h. Right-skewed (mean &gt; median), so the typical order is nearer the median; measured as TRAILER DISPATCED DATE − ORDER ARRIVE DATE.</w:t>
      </w:r>
    </w:p>
    <w:p>
      <w:pPr>
        <w:pStyle w:val="ListBullet"/>
      </w:pPr>
      <w:r>
        <w:rPr>
          <w:sz w:val="21"/>
        </w:rPr>
        <w:t>Channel mix (order type): NLD 20,944, EDC 4,703, BEL 4,596, DIRECT 4,003, AMADE 2,216.</w:t>
      </w:r>
    </w:p>
    <w:p>
      <w:pPr>
        <w:pStyle w:val="ListBullet"/>
      </w:pPr>
      <w:r>
        <w:rPr>
          <w:sz w:val="21"/>
        </w:rPr>
        <w:t>Geography: NLD 22,510, BEL 6,386, DEU 3,534, FRA 1,041, POL 911 — an NL hub serving Western Europe.</w:t>
      </w:r>
    </w:p>
    <w:p>
      <w:pPr>
        <w:jc w:val="center"/>
      </w:pPr>
      <w:r>
        <w:drawing>
          <wp:inline xmlns:a="http://schemas.openxmlformats.org/drawingml/2006/main" xmlns:pic="http://schemas.openxmlformats.org/drawingml/2006/picture">
            <wp:extent cx="4680000" cy="2067160"/>
            <wp:docPr id="4" name="Picture 4"/>
            <wp:cNvGraphicFramePr>
              <a:graphicFrameLocks noChangeAspect="1"/>
            </wp:cNvGraphicFramePr>
            <a:graphic>
              <a:graphicData uri="http://schemas.openxmlformats.org/drawingml/2006/picture">
                <pic:pic>
                  <pic:nvPicPr>
                    <pic:cNvPr id="0" name="order_pick_type_derived.png"/>
                    <pic:cNvPicPr/>
                  </pic:nvPicPr>
                  <pic:blipFill>
                    <a:blip r:embed="rId12"/>
                    <a:stretch>
                      <a:fillRect/>
                    </a:stretch>
                  </pic:blipFill>
                  <pic:spPr>
                    <a:xfrm>
                      <a:off x="0" y="0"/>
                      <a:ext cx="4680000" cy="2067160"/>
                    </a:xfrm>
                    <a:prstGeom prst="rect"/>
                  </pic:spPr>
                </pic:pic>
              </a:graphicData>
            </a:graphic>
          </wp:inline>
        </w:drawing>
      </w:r>
    </w:p>
    <w:p>
      <w:pPr>
        <w:spacing w:after="200"/>
        <w:jc w:val="center"/>
      </w:pPr>
      <w:r>
        <w:rPr>
          <w:b w:val="0"/>
          <w:i/>
          <w:color w:val="666666"/>
          <w:sz w:val="17"/>
        </w:rPr>
        <w:t>Fig 3. Pick type derived from the orders (line quantity vs case / pallet quantity).</w:t>
      </w:r>
    </w:p>
    <w:p>
      <w:pPr>
        <w:pStyle w:val="Heading1"/>
      </w:pPr>
      <w:r>
        <w:t>6. Demand-based ABC classification</w:t>
      </w:r>
    </w:p>
    <w:p>
      <w:pPr>
        <w:spacing w:after="120"/>
      </w:pPr>
      <w:r>
        <w:rPr>
          <w:b w:val="0"/>
          <w:i w:val="0"/>
          <w:color w:val="222222"/>
          <w:sz w:val="21"/>
        </w:rPr>
        <w:t>ABC is recomputed from actual outbound demand (picked quantity), not assumed. The distribution is steeper than the classic 80/20 rule:</w:t>
      </w:r>
    </w:p>
    <w:tbl>
      <w:tblPr>
        <w:tblStyle w:val="LightGrid-Accent1"/>
        <w:tblW w:type="auto" w:w="0"/>
        <w:jc w:val="center"/>
        <w:tblLook w:firstColumn="1" w:firstRow="1" w:lastColumn="0" w:lastRow="0" w:noHBand="0" w:noVBand="1" w:val="04A0"/>
      </w:tblPr>
      <w:tblGrid>
        <w:gridCol w:w="4320"/>
        <w:gridCol w:w="4320"/>
      </w:tblGrid>
      <w:tr>
        <w:tc>
          <w:tcPr>
            <w:tcW w:type="dxa" w:w="3402"/>
          </w:tcPr>
          <w:p>
            <w:r/>
            <w:r>
              <w:rPr>
                <w:b/>
                <w:sz w:val="19"/>
              </w:rPr>
              <w:t>Top X% of SKUs</w:t>
            </w:r>
          </w:p>
        </w:tc>
        <w:tc>
          <w:tcPr>
            <w:tcW w:type="dxa" w:w="3402"/>
          </w:tcPr>
          <w:p>
            <w:r/>
            <w:r>
              <w:rPr>
                <w:b/>
                <w:sz w:val="19"/>
              </w:rPr>
              <w:t>% of picked volume</w:t>
            </w:r>
          </w:p>
        </w:tc>
      </w:tr>
      <w:tr>
        <w:tc>
          <w:tcPr>
            <w:tcW w:type="dxa" w:w="3402"/>
          </w:tcPr>
          <w:p>
            <w:r/>
            <w:r>
              <w:rPr>
                <w:sz w:val="19"/>
              </w:rPr>
              <w:t>5% of SKUs</w:t>
            </w:r>
          </w:p>
        </w:tc>
        <w:tc>
          <w:tcPr>
            <w:tcW w:type="dxa" w:w="3402"/>
          </w:tcPr>
          <w:p>
            <w:pPr>
              <w:jc w:val="right"/>
            </w:pPr>
            <w:r/>
            <w:r>
              <w:rPr>
                <w:sz w:val="19"/>
              </w:rPr>
              <w:t>58.9%</w:t>
            </w:r>
          </w:p>
        </w:tc>
      </w:tr>
      <w:tr>
        <w:tc>
          <w:tcPr>
            <w:tcW w:type="dxa" w:w="3402"/>
          </w:tcPr>
          <w:p>
            <w:r/>
            <w:r>
              <w:rPr>
                <w:sz w:val="19"/>
              </w:rPr>
              <w:t>10% of SKUs</w:t>
            </w:r>
          </w:p>
        </w:tc>
        <w:tc>
          <w:tcPr>
            <w:tcW w:type="dxa" w:w="3402"/>
          </w:tcPr>
          <w:p>
            <w:pPr>
              <w:jc w:val="right"/>
            </w:pPr>
            <w:r/>
            <w:r>
              <w:rPr>
                <w:sz w:val="19"/>
              </w:rPr>
              <w:t>74.5%</w:t>
            </w:r>
          </w:p>
        </w:tc>
      </w:tr>
      <w:tr>
        <w:tc>
          <w:tcPr>
            <w:tcW w:type="dxa" w:w="3402"/>
          </w:tcPr>
          <w:p>
            <w:r/>
            <w:r>
              <w:rPr>
                <w:sz w:val="19"/>
              </w:rPr>
              <w:t>20% of SKUs</w:t>
            </w:r>
          </w:p>
        </w:tc>
        <w:tc>
          <w:tcPr>
            <w:tcW w:type="dxa" w:w="3402"/>
          </w:tcPr>
          <w:p>
            <w:pPr>
              <w:jc w:val="right"/>
            </w:pPr>
            <w:r/>
            <w:r>
              <w:rPr>
                <w:sz w:val="19"/>
              </w:rPr>
              <w:t>88.1%</w:t>
            </w:r>
          </w:p>
        </w:tc>
      </w:tr>
      <w:tr>
        <w:tc>
          <w:tcPr>
            <w:tcW w:type="dxa" w:w="3402"/>
          </w:tcPr>
          <w:p>
            <w:r/>
            <w:r>
              <w:rPr>
                <w:sz w:val="19"/>
              </w:rPr>
              <w:t>30% of SKUs</w:t>
            </w:r>
          </w:p>
        </w:tc>
        <w:tc>
          <w:tcPr>
            <w:tcW w:type="dxa" w:w="3402"/>
          </w:tcPr>
          <w:p>
            <w:pPr>
              <w:jc w:val="right"/>
            </w:pPr>
            <w:r/>
            <w:r>
              <w:rPr>
                <w:sz w:val="19"/>
              </w:rPr>
              <w:t>94.0%</w:t>
            </w:r>
          </w:p>
        </w:tc>
      </w:tr>
      <w:tr>
        <w:tc>
          <w:tcPr>
            <w:tcW w:type="dxa" w:w="3402"/>
          </w:tcPr>
          <w:p>
            <w:r/>
            <w:r>
              <w:rPr>
                <w:sz w:val="19"/>
              </w:rPr>
              <w:t>50% of SKUs</w:t>
            </w:r>
          </w:p>
        </w:tc>
        <w:tc>
          <w:tcPr>
            <w:tcW w:type="dxa" w:w="3402"/>
          </w:tcPr>
          <w:p>
            <w:pPr>
              <w:jc w:val="right"/>
            </w:pPr>
            <w:r/>
            <w:r>
              <w:rPr>
                <w:sz w:val="19"/>
              </w:rPr>
              <w:t>98.5%</w:t>
            </w:r>
          </w:p>
        </w:tc>
      </w:tr>
    </w:tbl>
    <w:p>
      <w:pPr>
        <w:spacing w:after="40"/>
      </w:pPr>
    </w:p>
    <w:p>
      <w:pPr>
        <w:spacing w:after="80"/>
      </w:pPr>
      <w:r>
        <w:rPr>
          <w:b w:val="0"/>
          <w:i w:val="0"/>
          <w:color w:val="222222"/>
          <w:sz w:val="21"/>
        </w:rPr>
        <w:t>A/B/C by demand volume (A ≤ 80% cumulative, B ≤ 95%, C remainder):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tcPr>
          <w:p>
            <w:r/>
            <w:r>
              <w:rPr>
                <w:b/>
                <w:sz w:val="19"/>
              </w:rPr>
              <w:t>Class</w:t>
            </w:r>
          </w:p>
        </w:tc>
        <w:tc>
          <w:tcPr>
            <w:tcW w:type="dxa" w:w="1417"/>
          </w:tcPr>
          <w:p>
            <w:r/>
            <w:r>
              <w:rPr>
                <w:b/>
                <w:sz w:val="19"/>
              </w:rPr>
              <w:t>SKUs</w:t>
            </w:r>
          </w:p>
        </w:tc>
        <w:tc>
          <w:tcPr>
            <w:tcW w:type="dxa" w:w="1701"/>
          </w:tcPr>
          <w:p>
            <w:r/>
            <w:r>
              <w:rPr>
                <w:b/>
                <w:sz w:val="19"/>
              </w:rPr>
              <w:t>% SKUs</w:t>
            </w:r>
          </w:p>
        </w:tc>
        <w:tc>
          <w:tcPr>
            <w:tcW w:type="dxa" w:w="1701"/>
          </w:tcPr>
          <w:p>
            <w:r/>
            <w:r>
              <w:rPr>
                <w:b/>
                <w:sz w:val="19"/>
              </w:rPr>
              <w:t>% volume</w:t>
            </w:r>
          </w:p>
        </w:tc>
        <w:tc>
          <w:tcPr>
            <w:tcW w:type="dxa" w:w="1984"/>
          </w:tcPr>
          <w:p>
            <w:r/>
            <w:r>
              <w:rPr>
                <w:b/>
                <w:sz w:val="19"/>
              </w:rPr>
              <w:t>% pick-lines</w:t>
            </w:r>
          </w:p>
        </w:tc>
      </w:tr>
      <w:tr>
        <w:tc>
          <w:tcPr>
            <w:tcW w:type="dxa" w:w="1417"/>
          </w:tcPr>
          <w:p>
            <w:r/>
            <w:r>
              <w:rPr>
                <w:sz w:val="19"/>
              </w:rPr>
              <w:t>A</w:t>
            </w:r>
          </w:p>
        </w:tc>
        <w:tc>
          <w:tcPr>
            <w:tcW w:type="dxa" w:w="1417"/>
          </w:tcPr>
          <w:p>
            <w:pPr>
              <w:jc w:val="right"/>
            </w:pPr>
            <w:r/>
            <w:r>
              <w:rPr>
                <w:sz w:val="19"/>
              </w:rPr>
              <w:t>565</w:t>
            </w:r>
          </w:p>
        </w:tc>
        <w:tc>
          <w:tcPr>
            <w:tcW w:type="dxa" w:w="1701"/>
          </w:tcPr>
          <w:p>
            <w:pPr>
              <w:jc w:val="right"/>
            </w:pPr>
            <w:r/>
            <w:r>
              <w:rPr>
                <w:sz w:val="19"/>
              </w:rPr>
              <w:t>13.0%</w:t>
            </w:r>
          </w:p>
        </w:tc>
        <w:tc>
          <w:tcPr>
            <w:tcW w:type="dxa" w:w="1701"/>
          </w:tcPr>
          <w:p>
            <w:pPr>
              <w:jc w:val="right"/>
            </w:pPr>
            <w:r/>
            <w:r>
              <w:rPr>
                <w:sz w:val="19"/>
              </w:rPr>
              <w:t>80.0%</w:t>
            </w:r>
          </w:p>
        </w:tc>
        <w:tc>
          <w:tcPr>
            <w:tcW w:type="dxa" w:w="1984"/>
          </w:tcPr>
          <w:p>
            <w:pPr>
              <w:jc w:val="right"/>
            </w:pPr>
            <w:r/>
            <w:r>
              <w:rPr>
                <w:sz w:val="19"/>
              </w:rPr>
              <w:t>41.8%</w:t>
            </w:r>
          </w:p>
        </w:tc>
      </w:tr>
      <w:tr>
        <w:tc>
          <w:tcPr>
            <w:tcW w:type="dxa" w:w="1417"/>
          </w:tcPr>
          <w:p>
            <w:r/>
            <w:r>
              <w:rPr>
                <w:sz w:val="19"/>
              </w:rPr>
              <w:t>B</w:t>
            </w:r>
          </w:p>
        </w:tc>
        <w:tc>
          <w:tcPr>
            <w:tcW w:type="dxa" w:w="1417"/>
          </w:tcPr>
          <w:p>
            <w:pPr>
              <w:jc w:val="right"/>
            </w:pPr>
            <w:r/>
            <w:r>
              <w:rPr>
                <w:sz w:val="19"/>
              </w:rPr>
              <w:t>858</w:t>
            </w:r>
          </w:p>
        </w:tc>
        <w:tc>
          <w:tcPr>
            <w:tcW w:type="dxa" w:w="1701"/>
          </w:tcPr>
          <w:p>
            <w:pPr>
              <w:jc w:val="right"/>
            </w:pPr>
            <w:r/>
            <w:r>
              <w:rPr>
                <w:sz w:val="19"/>
              </w:rPr>
              <w:t>19.7%</w:t>
            </w:r>
          </w:p>
        </w:tc>
        <w:tc>
          <w:tcPr>
            <w:tcW w:type="dxa" w:w="1701"/>
          </w:tcPr>
          <w:p>
            <w:pPr>
              <w:jc w:val="right"/>
            </w:pPr>
            <w:r/>
            <w:r>
              <w:rPr>
                <w:sz w:val="19"/>
              </w:rPr>
              <w:t>15.0%</w:t>
            </w:r>
          </w:p>
        </w:tc>
        <w:tc>
          <w:tcPr>
            <w:tcW w:type="dxa" w:w="1984"/>
          </w:tcPr>
          <w:p>
            <w:pPr>
              <w:jc w:val="right"/>
            </w:pPr>
            <w:r/>
            <w:r>
              <w:rPr>
                <w:sz w:val="19"/>
              </w:rPr>
              <w:t>30.0%</w:t>
            </w:r>
          </w:p>
        </w:tc>
      </w:tr>
      <w:tr>
        <w:tc>
          <w:tcPr>
            <w:tcW w:type="dxa" w:w="1417"/>
          </w:tcPr>
          <w:p>
            <w:r/>
            <w:r>
              <w:rPr>
                <w:sz w:val="19"/>
              </w:rPr>
              <w:t>C</w:t>
            </w:r>
          </w:p>
        </w:tc>
        <w:tc>
          <w:tcPr>
            <w:tcW w:type="dxa" w:w="1417"/>
          </w:tcPr>
          <w:p>
            <w:pPr>
              <w:jc w:val="right"/>
            </w:pPr>
            <w:r/>
            <w:r>
              <w:rPr>
                <w:sz w:val="19"/>
              </w:rPr>
              <w:t>2,931</w:t>
            </w:r>
          </w:p>
        </w:tc>
        <w:tc>
          <w:tcPr>
            <w:tcW w:type="dxa" w:w="1701"/>
          </w:tcPr>
          <w:p>
            <w:pPr>
              <w:jc w:val="right"/>
            </w:pPr>
            <w:r/>
            <w:r>
              <w:rPr>
                <w:sz w:val="19"/>
              </w:rPr>
              <w:t>67.3%</w:t>
            </w:r>
          </w:p>
        </w:tc>
        <w:tc>
          <w:tcPr>
            <w:tcW w:type="dxa" w:w="1701"/>
          </w:tcPr>
          <w:p>
            <w:pPr>
              <w:jc w:val="right"/>
            </w:pPr>
            <w:r/>
            <w:r>
              <w:rPr>
                <w:sz w:val="19"/>
              </w:rPr>
              <w:t>5.0%</w:t>
            </w:r>
          </w:p>
        </w:tc>
        <w:tc>
          <w:tcPr>
            <w:tcW w:type="dxa" w:w="1984"/>
          </w:tcPr>
          <w:p>
            <w:pPr>
              <w:jc w:val="right"/>
            </w:pPr>
            <w:r/>
            <w:r>
              <w:rPr>
                <w:sz w:val="19"/>
              </w:rPr>
              <w:t>28.3%</w:t>
            </w:r>
          </w:p>
        </w:tc>
      </w:tr>
    </w:tbl>
    <w:p>
      <w:pPr>
        <w:spacing w:after="40"/>
      </w:pPr>
    </w:p>
    <w:p>
      <w:pPr>
        <w:pStyle w:val="ListBullet"/>
      </w:pPr>
      <w:r>
        <w:rPr>
          <w:b w:val="0"/>
          <w:sz w:val="21"/>
        </w:rPr>
      </w:r>
      <w:r>
        <w:rPr>
          <w:b/>
          <w:sz w:val="21"/>
        </w:rPr>
        <w:t>~13% of SKUs drive 80% of volume</w:t>
      </w:r>
      <w:r>
        <w:rPr>
          <w:b w:val="0"/>
          <w:sz w:val="21"/>
        </w:rPr>
        <w:t>, yet C-class is 67% of SKUs and still 28% of picks → forward-pick / fast-lane slotting is high-value.</w:t>
      </w:r>
    </w:p>
    <w:p>
      <w:pPr>
        <w:pStyle w:val="ListBullet"/>
      </w:pPr>
      <w:r>
        <w:rPr>
          <w:b w:val="0"/>
          <w:sz w:val="21"/>
        </w:rPr>
      </w:r>
      <w:r>
        <w:rPr>
          <w:b/>
          <w:sz w:val="21"/>
        </w:rPr>
        <w:t>Demand-ABC agrees with the WMS classification on only 48.6% of SKUs</w:t>
      </w:r>
      <w:r>
        <w:rPr>
          <w:b w:val="0"/>
          <w:sz w:val="21"/>
        </w:rPr>
        <w:t xml:space="preserve"> → strong evidence the current slotting is misaligned with real demand (re-slot).</w:t>
      </w:r>
    </w:p>
    <w:p>
      <w:pPr>
        <w:pStyle w:val="ListBullet"/>
      </w:pPr>
      <w:r>
        <w:rPr>
          <w:sz w:val="21"/>
        </w:rPr>
        <w:t>4,354 SKUs shipped in Q2; 855 shipped were not in the latest stock snapshot (transient/cross-dock — to confirm).</w:t>
      </w:r>
    </w:p>
    <w:p>
      <w:pPr>
        <w:jc w:val="center"/>
      </w:pPr>
      <w:r>
        <w:drawing>
          <wp:inline xmlns:a="http://schemas.openxmlformats.org/drawingml/2006/main" xmlns:pic="http://schemas.openxmlformats.org/drawingml/2006/picture">
            <wp:extent cx="4680000" cy="2976285"/>
            <wp:docPr id="5" name="Picture 5"/>
            <wp:cNvGraphicFramePr>
              <a:graphicFrameLocks noChangeAspect="1"/>
            </wp:cNvGraphicFramePr>
            <a:graphic>
              <a:graphicData uri="http://schemas.openxmlformats.org/drawingml/2006/picture">
                <pic:pic>
                  <pic:nvPicPr>
                    <pic:cNvPr id="0" name="abc_pareto.png"/>
                    <pic:cNvPicPr/>
                  </pic:nvPicPr>
                  <pic:blipFill>
                    <a:blip r:embed="rId13"/>
                    <a:stretch>
                      <a:fillRect/>
                    </a:stretch>
                  </pic:blipFill>
                  <pic:spPr>
                    <a:xfrm>
                      <a:off x="0" y="0"/>
                      <a:ext cx="4680000" cy="2976285"/>
                    </a:xfrm>
                    <a:prstGeom prst="rect"/>
                  </pic:spPr>
                </pic:pic>
              </a:graphicData>
            </a:graphic>
          </wp:inline>
        </w:drawing>
      </w:r>
    </w:p>
    <w:p>
      <w:pPr>
        <w:spacing w:after="200"/>
        <w:jc w:val="center"/>
      </w:pPr>
      <w:r>
        <w:rPr>
          <w:b w:val="0"/>
          <w:i/>
          <w:color w:val="666666"/>
          <w:sz w:val="17"/>
        </w:rPr>
        <w:t>Fig 4. Demand Pareto — cumulative picked quantity vs ranked SKUs.</w:t>
      </w:r>
    </w:p>
    <w:p>
      <w:pPr>
        <w:jc w:val="center"/>
      </w:pPr>
      <w:r>
        <w:drawing>
          <wp:inline xmlns:a="http://schemas.openxmlformats.org/drawingml/2006/main" xmlns:pic="http://schemas.openxmlformats.org/drawingml/2006/picture">
            <wp:extent cx="5400000" cy="4149817"/>
            <wp:docPr id="6" name="Picture 6"/>
            <wp:cNvGraphicFramePr>
              <a:graphicFrameLocks noChangeAspect="1"/>
            </wp:cNvGraphicFramePr>
            <a:graphic>
              <a:graphicData uri="http://schemas.openxmlformats.org/drawingml/2006/picture">
                <pic:pic>
                  <pic:nvPicPr>
                    <pic:cNvPr id="0" name="report_top20_products.png"/>
                    <pic:cNvPicPr/>
                  </pic:nvPicPr>
                  <pic:blipFill>
                    <a:blip r:embed="rId14"/>
                    <a:stretch>
                      <a:fillRect/>
                    </a:stretch>
                  </pic:blipFill>
                  <pic:spPr>
                    <a:xfrm>
                      <a:off x="0" y="0"/>
                      <a:ext cx="5400000" cy="4149817"/>
                    </a:xfrm>
                    <a:prstGeom prst="rect"/>
                  </pic:spPr>
                </pic:pic>
              </a:graphicData>
            </a:graphic>
          </wp:inline>
        </w:drawing>
      </w:r>
    </w:p>
    <w:p>
      <w:pPr>
        <w:spacing w:after="200"/>
        <w:jc w:val="center"/>
      </w:pPr>
      <w:r>
        <w:rPr>
          <w:b w:val="0"/>
          <w:i/>
          <w:color w:val="666666"/>
          <w:sz w:val="17"/>
        </w:rPr>
        <w:t>Fig 4b. Top-20 SKUs by demand — note several high-demand items still WMS-classed C.</w:t>
      </w:r>
    </w:p>
    <w:p>
      <w:pPr>
        <w:pStyle w:val="Heading1"/>
      </w:pPr>
      <w:r>
        <w:t>7. Peak activity analysis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814"/>
          </w:tcPr>
          <w:p>
            <w:r/>
            <w:r>
              <w:rPr>
                <w:b/>
                <w:sz w:val="19"/>
              </w:rPr>
              <w:t>Metric</w:t>
            </w:r>
          </w:p>
        </w:tc>
        <w:tc>
          <w:tcPr>
            <w:tcW w:type="dxa" w:w="1814"/>
          </w:tcPr>
          <w:p>
            <w:r/>
            <w:r>
              <w:rPr>
                <w:b/>
                <w:sz w:val="19"/>
              </w:rPr>
              <w:t>Average / day</w:t>
            </w:r>
          </w:p>
        </w:tc>
        <w:tc>
          <w:tcPr>
            <w:tcW w:type="dxa" w:w="1701"/>
          </w:tcPr>
          <w:p>
            <w:r/>
            <w:r>
              <w:rPr>
                <w:b/>
                <w:sz w:val="19"/>
              </w:rPr>
              <w:t>PEAK / day</w:t>
            </w:r>
          </w:p>
        </w:tc>
        <w:tc>
          <w:tcPr>
            <w:tcW w:type="dxa" w:w="1474"/>
          </w:tcPr>
          <w:p>
            <w:r/>
            <w:r>
              <w:rPr>
                <w:b/>
                <w:sz w:val="19"/>
              </w:rPr>
              <w:t>Peak ÷ Avg</w:t>
            </w:r>
          </w:p>
        </w:tc>
        <w:tc>
          <w:tcPr>
            <w:tcW w:type="dxa" w:w="1701"/>
          </w:tcPr>
          <w:p>
            <w:r/>
            <w:r>
              <w:rPr>
                <w:b/>
                <w:sz w:val="19"/>
              </w:rPr>
              <w:t>Peak date</w:t>
            </w:r>
          </w:p>
        </w:tc>
      </w:tr>
      <w:tr>
        <w:tc>
          <w:tcPr>
            <w:tcW w:type="dxa" w:w="1814"/>
          </w:tcPr>
          <w:p>
            <w:r/>
            <w:r>
              <w:rPr>
                <w:sz w:val="19"/>
              </w:rPr>
              <w:t>Order lines</w:t>
            </w:r>
          </w:p>
        </w:tc>
        <w:tc>
          <w:tcPr>
            <w:tcW w:type="dxa" w:w="1814"/>
          </w:tcPr>
          <w:p>
            <w:pPr>
              <w:jc w:val="right"/>
            </w:pPr>
            <w:r/>
            <w:r>
              <w:rPr>
                <w:sz w:val="19"/>
              </w:rPr>
              <w:t>640</w:t>
            </w:r>
          </w:p>
        </w:tc>
        <w:tc>
          <w:tcPr>
            <w:tcW w:type="dxa" w:w="1701"/>
          </w:tcPr>
          <w:p>
            <w:pPr>
              <w:jc w:val="right"/>
            </w:pPr>
            <w:r/>
            <w:r>
              <w:rPr>
                <w:sz w:val="19"/>
              </w:rPr>
              <w:t>1171</w:t>
            </w:r>
          </w:p>
        </w:tc>
        <w:tc>
          <w:tcPr>
            <w:tcW w:type="dxa" w:w="1474"/>
          </w:tcPr>
          <w:p>
            <w:pPr>
              <w:jc w:val="right"/>
            </w:pPr>
            <w:r/>
            <w:r>
              <w:rPr>
                <w:sz w:val="19"/>
              </w:rPr>
              <w:t>1.83×</w:t>
            </w:r>
          </w:p>
        </w:tc>
        <w:tc>
          <w:tcPr>
            <w:tcW w:type="dxa" w:w="1701"/>
          </w:tcPr>
          <w:p>
            <w:pPr>
              <w:jc w:val="right"/>
            </w:pPr>
            <w:r/>
            <w:r>
              <w:rPr>
                <w:sz w:val="19"/>
              </w:rPr>
              <w:t>2025-05-27</w:t>
            </w:r>
          </w:p>
        </w:tc>
      </w:tr>
      <w:tr>
        <w:tc>
          <w:tcPr>
            <w:tcW w:type="dxa" w:w="1814"/>
          </w:tcPr>
          <w:p>
            <w:r/>
            <w:r>
              <w:rPr>
                <w:sz w:val="19"/>
              </w:rPr>
              <w:t>Units</w:t>
            </w:r>
          </w:p>
        </w:tc>
        <w:tc>
          <w:tcPr>
            <w:tcW w:type="dxa" w:w="1814"/>
          </w:tcPr>
          <w:p>
            <w:pPr>
              <w:jc w:val="right"/>
            </w:pPr>
            <w:r/>
            <w:r>
              <w:rPr>
                <w:sz w:val="19"/>
              </w:rPr>
              <w:t>22269</w:t>
            </w:r>
          </w:p>
        </w:tc>
        <w:tc>
          <w:tcPr>
            <w:tcW w:type="dxa" w:w="1701"/>
          </w:tcPr>
          <w:p>
            <w:pPr>
              <w:jc w:val="right"/>
            </w:pPr>
            <w:r/>
            <w:r>
              <w:rPr>
                <w:sz w:val="19"/>
              </w:rPr>
              <w:t>63469</w:t>
            </w:r>
          </w:p>
        </w:tc>
        <w:tc>
          <w:tcPr>
            <w:tcW w:type="dxa" w:w="1474"/>
          </w:tcPr>
          <w:p>
            <w:pPr>
              <w:jc w:val="right"/>
            </w:pPr>
            <w:r/>
            <w:r>
              <w:rPr>
                <w:sz w:val="19"/>
              </w:rPr>
              <w:t>2.85×</w:t>
            </w:r>
          </w:p>
        </w:tc>
        <w:tc>
          <w:tcPr>
            <w:tcW w:type="dxa" w:w="1701"/>
          </w:tcPr>
          <w:p>
            <w:pPr>
              <w:jc w:val="right"/>
            </w:pPr>
            <w:r/>
            <w:r>
              <w:rPr>
                <w:sz w:val="19"/>
              </w:rPr>
              <w:t>2025-05-27</w:t>
            </w:r>
          </w:p>
        </w:tc>
      </w:tr>
      <w:tr>
        <w:tc>
          <w:tcPr>
            <w:tcW w:type="dxa" w:w="1814"/>
          </w:tcPr>
          <w:p>
            <w:r/>
            <w:r>
              <w:rPr>
                <w:sz w:val="19"/>
              </w:rPr>
              <w:t>Orders</w:t>
            </w:r>
          </w:p>
        </w:tc>
        <w:tc>
          <w:tcPr>
            <w:tcW w:type="dxa" w:w="1814"/>
          </w:tcPr>
          <w:p>
            <w:pPr>
              <w:jc w:val="right"/>
            </w:pPr>
            <w:r/>
            <w:r>
              <w:rPr>
                <w:sz w:val="19"/>
              </w:rPr>
              <w:t>144</w:t>
            </w:r>
          </w:p>
        </w:tc>
        <w:tc>
          <w:tcPr>
            <w:tcW w:type="dxa" w:w="1701"/>
          </w:tcPr>
          <w:p>
            <w:pPr>
              <w:jc w:val="right"/>
            </w:pPr>
            <w:r/>
            <w:r>
              <w:rPr>
                <w:sz w:val="19"/>
              </w:rPr>
              <w:t>250</w:t>
            </w:r>
          </w:p>
        </w:tc>
        <w:tc>
          <w:tcPr>
            <w:tcW w:type="dxa" w:w="1474"/>
          </w:tcPr>
          <w:p>
            <w:pPr>
              <w:jc w:val="right"/>
            </w:pPr>
            <w:r/>
            <w:r>
              <w:rPr>
                <w:sz w:val="19"/>
              </w:rPr>
              <w:t>1.74×</w:t>
            </w:r>
          </w:p>
        </w:tc>
        <w:tc>
          <w:tcPr>
            <w:tcW w:type="dxa" w:w="1701"/>
          </w:tcPr>
          <w:p>
            <w:pPr>
              <w:jc w:val="right"/>
            </w:pPr>
            <w:r/>
            <w:r>
              <w:rPr>
                <w:sz w:val="19"/>
              </w:rPr>
              <w:t>2025-04-29</w:t>
            </w:r>
          </w:p>
        </w:tc>
      </w:tr>
      <w:tr>
        <w:tc>
          <w:tcPr>
            <w:tcW w:type="dxa" w:w="1814"/>
          </w:tcPr>
          <w:p>
            <w:r/>
            <w:r>
              <w:rPr>
                <w:sz w:val="19"/>
              </w:rPr>
              <w:t>Shipments</w:t>
            </w:r>
          </w:p>
        </w:tc>
        <w:tc>
          <w:tcPr>
            <w:tcW w:type="dxa" w:w="1814"/>
          </w:tcPr>
          <w:p>
            <w:pPr>
              <w:jc w:val="right"/>
            </w:pPr>
            <w:r/>
            <w:r>
              <w:rPr>
                <w:sz w:val="19"/>
              </w:rPr>
              <w:t>134</w:t>
            </w:r>
          </w:p>
        </w:tc>
        <w:tc>
          <w:tcPr>
            <w:tcW w:type="dxa" w:w="1701"/>
          </w:tcPr>
          <w:p>
            <w:pPr>
              <w:jc w:val="right"/>
            </w:pPr>
            <w:r/>
            <w:r>
              <w:rPr>
                <w:sz w:val="19"/>
              </w:rPr>
              <w:t>229</w:t>
            </w:r>
          </w:p>
        </w:tc>
        <w:tc>
          <w:tcPr>
            <w:tcW w:type="dxa" w:w="1474"/>
          </w:tcPr>
          <w:p>
            <w:pPr>
              <w:jc w:val="right"/>
            </w:pPr>
            <w:r/>
            <w:r>
              <w:rPr>
                <w:sz w:val="19"/>
              </w:rPr>
              <w:t>1.71×</w:t>
            </w:r>
          </w:p>
        </w:tc>
        <w:tc>
          <w:tcPr>
            <w:tcW w:type="dxa" w:w="1701"/>
          </w:tcPr>
          <w:p>
            <w:pPr>
              <w:jc w:val="right"/>
            </w:pPr>
            <w:r/>
            <w:r>
              <w:rPr>
                <w:sz w:val="19"/>
              </w:rPr>
              <w:t>2025-04-29</w:t>
            </w:r>
          </w:p>
        </w:tc>
      </w:tr>
    </w:tbl>
    <w:p>
      <w:pPr>
        <w:spacing w:after="40"/>
      </w:pPr>
    </w:p>
    <w:p>
      <w:pPr>
        <w:pStyle w:val="ListBullet"/>
      </w:pPr>
      <w:r>
        <w:rPr>
          <w:b w:val="0"/>
          <w:sz w:val="21"/>
        </w:rPr>
      </w:r>
      <w:r>
        <w:rPr>
          <w:b/>
          <w:sz w:val="21"/>
        </w:rPr>
        <w:t>Design to peak, not average.</w:t>
      </w:r>
      <w:r>
        <w:rPr>
          <w:b w:val="0"/>
          <w:sz w:val="21"/>
        </w:rPr>
        <w:t xml:space="preserve"> Units peak (2.85×) is far spikier than lines (1.83×), so sizing on lines alone understates pick/pack surges.</w:t>
      </w:r>
    </w:p>
    <w:p>
      <w:pPr>
        <w:pStyle w:val="ListBullet"/>
      </w:pPr>
      <w:r>
        <w:rPr>
          <w:sz w:val="21"/>
        </w:rPr>
        <w:t>Weekly peak 3563 lines (week of 2025-06-01) vs ~2791 average.</w:t>
      </w:r>
    </w:p>
    <w:p>
      <w:pPr>
        <w:pStyle w:val="ListBullet"/>
      </w:pPr>
      <w:r>
        <w:rPr>
          <w:b w:val="0"/>
          <w:sz w:val="21"/>
        </w:rPr>
      </w:r>
      <w:r>
        <w:rPr>
          <w:b/>
          <w:sz w:val="21"/>
        </w:rPr>
        <w:t>The 08:00 intraday peak is caused by the order-release routine, not by customers</w:t>
      </w:r>
      <w:r>
        <w:rPr>
          <w:b w:val="0"/>
          <w:sz w:val="21"/>
        </w:rPr>
        <w:t xml:space="preserve"> (A023): 55% of orders arrive 15:00–17:00, are released 16:00–18:00 and are picked the next morning, so the backlog hits the floor at shift start (1.31× the average hour). Monday–Friday only, weekdays fairly even.</w:t>
      </w:r>
    </w:p>
    <w:p>
      <w:pPr>
        <w:jc w:val="center"/>
      </w:pPr>
      <w:r>
        <w:drawing>
          <wp:inline xmlns:a="http://schemas.openxmlformats.org/drawingml/2006/main" xmlns:pic="http://schemas.openxmlformats.org/drawingml/2006/picture">
            <wp:extent cx="5400000" cy="2546698"/>
            <wp:docPr id="7" name="Picture 7"/>
            <wp:cNvGraphicFramePr>
              <a:graphicFrameLocks noChangeAspect="1"/>
            </wp:cNvGraphicFramePr>
            <a:graphic>
              <a:graphicData uri="http://schemas.openxmlformats.org/drawingml/2006/picture">
                <pic:pic>
                  <pic:nvPicPr>
                    <pic:cNvPr id="0" name="throughput_daily.png"/>
                    <pic:cNvPicPr/>
                  </pic:nvPicPr>
                  <pic:blipFill>
                    <a:blip r:embed="rId15"/>
                    <a:stretch>
                      <a:fillRect/>
                    </a:stretch>
                  </pic:blipFill>
                  <pic:spPr>
                    <a:xfrm>
                      <a:off x="0" y="0"/>
                      <a:ext cx="5400000" cy="2546698"/>
                    </a:xfrm>
                    <a:prstGeom prst="rect"/>
                  </pic:spPr>
                </pic:pic>
              </a:graphicData>
            </a:graphic>
          </wp:inline>
        </w:drawing>
      </w:r>
    </w:p>
    <w:p>
      <w:pPr>
        <w:spacing w:after="200"/>
        <w:jc w:val="center"/>
      </w:pPr>
      <w:r>
        <w:rPr>
          <w:b w:val="0"/>
          <w:i/>
          <w:color w:val="666666"/>
          <w:sz w:val="17"/>
        </w:rPr>
        <w:t>Fig 5. Daily shipped order-lines with average and peak.</w:t>
      </w:r>
    </w:p>
    <w:p>
      <w:pPr>
        <w:jc w:val="center"/>
      </w:pPr>
      <w:r>
        <w:drawing>
          <wp:inline xmlns:a="http://schemas.openxmlformats.org/drawingml/2006/main" xmlns:pic="http://schemas.openxmlformats.org/drawingml/2006/picture">
            <wp:extent cx="5400000" cy="2598791"/>
            <wp:docPr id="8" name="Picture 8"/>
            <wp:cNvGraphicFramePr>
              <a:graphicFrameLocks noChangeAspect="1"/>
            </wp:cNvGraphicFramePr>
            <a:graphic>
              <a:graphicData uri="http://schemas.openxmlformats.org/drawingml/2006/picture">
                <pic:pic>
                  <pic:nvPicPr>
                    <pic:cNvPr id="0" name="order_release_profile.png"/>
                    <pic:cNvPicPr/>
                  </pic:nvPicPr>
                  <pic:blipFill>
                    <a:blip r:embed="rId16"/>
                    <a:stretch>
                      <a:fillRect/>
                    </a:stretch>
                  </pic:blipFill>
                  <pic:spPr>
                    <a:xfrm>
                      <a:off x="0" y="0"/>
                      <a:ext cx="5400000" cy="2598791"/>
                    </a:xfrm>
                    <a:prstGeom prst="rect"/>
                  </pic:spPr>
                </pic:pic>
              </a:graphicData>
            </a:graphic>
          </wp:inline>
        </w:drawing>
      </w:r>
    </w:p>
    <w:p>
      <w:pPr>
        <w:spacing w:after="200"/>
        <w:jc w:val="center"/>
      </w:pPr>
      <w:r>
        <w:rPr>
          <w:b w:val="0"/>
          <w:i/>
          <w:color w:val="666666"/>
          <w:sz w:val="17"/>
        </w:rPr>
        <w:t>Fig 6. Order arrival vs release vs picking by hour — the 08:00 peak is the release backlog.</w:t>
      </w:r>
    </w:p>
    <w:p>
      <w:pPr>
        <w:pStyle w:val="Heading1"/>
      </w:pPr>
      <w:r>
        <w:t>8. Data-quality flags</w:t>
      </w:r>
    </w:p>
    <w:p>
      <w:pPr>
        <w:spacing w:after="120"/>
      </w:pPr>
      <w:r>
        <w:rPr>
          <w:b w:val="0"/>
          <w:i w:val="0"/>
          <w:color w:val="222222"/>
          <w:sz w:val="21"/>
        </w:rPr>
        <w:t>Raised, not silently corrected:</w:t>
      </w:r>
    </w:p>
    <w:p>
      <w:pPr>
        <w:pStyle w:val="ListBullet"/>
      </w:pPr>
      <w:r>
        <w:rPr>
          <w:b w:val="0"/>
          <w:sz w:val="21"/>
        </w:rPr>
      </w:r>
      <w:r>
        <w:rPr>
          <w:b/>
          <w:sz w:val="21"/>
        </w:rPr>
        <w:t>PA WGT sentinel/impossible values</w:t>
      </w:r>
      <w:r>
        <w:rPr>
          <w:b w:val="0"/>
          <w:sz w:val="21"/>
        </w:rPr>
        <w:t xml:space="preserve"> — median 431 kg is fine, but p95 = 9999 kg and max = 60423 kg are impossible for one pallet (9,999 looks like a placeholder). To be cleaned before rack load-rating.</w:t>
      </w:r>
    </w:p>
    <w:p>
      <w:pPr>
        <w:pStyle w:val="ListBullet"/>
      </w:pPr>
      <w:r>
        <w:rPr>
          <w:b w:val="0"/>
          <w:sz w:val="21"/>
        </w:rPr>
      </w:r>
      <w:r>
        <w:rPr>
          <w:b/>
          <w:sz w:val="21"/>
        </w:rPr>
        <w:t>units_per_pallet extreme mean</w:t>
      </w:r>
      <w:r>
        <w:rPr>
          <w:b w:val="0"/>
          <w:sz w:val="21"/>
        </w:rPr>
        <w:t xml:space="preserve"> (15171 vs median 1000) — use robust statistics.</w:t>
      </w:r>
    </w:p>
    <w:p>
      <w:pPr>
        <w:pStyle w:val="ListBullet"/>
      </w:pPr>
      <w:r>
        <w:rPr>
          <w:b w:val="0"/>
          <w:sz w:val="21"/>
        </w:rPr>
      </w:r>
      <w:r>
        <w:rPr>
          <w:b/>
          <w:sz w:val="21"/>
        </w:rPr>
        <w:t>"Other" pick class = 20.6% of lines</w:t>
      </w:r>
      <w:r>
        <w:rPr>
          <w:b w:val="0"/>
          <w:sz w:val="21"/>
        </w:rPr>
        <w:t xml:space="preserve"> — no PALL/LIST/TROLLEY flag set. Resolved for the design: the pick type is derived from order quantities instead of these flags (A022).</w:t>
      </w:r>
    </w:p>
    <w:p>
      <w:pPr>
        <w:pStyle w:val="ListBullet"/>
      </w:pPr>
      <w:r>
        <w:rPr>
          <w:b w:val="0"/>
          <w:sz w:val="21"/>
        </w:rPr>
      </w:r>
      <w:r>
        <w:rPr>
          <w:b/>
          <w:sz w:val="21"/>
        </w:rPr>
        <w:t>Stock vs demand mismatch</w:t>
      </w:r>
      <w:r>
        <w:rPr>
          <w:b w:val="0"/>
          <w:sz w:val="21"/>
        </w:rPr>
        <w:t xml:space="preserve"> — 855 shipped-not-stocked; a further set of stocked-not-shipped SKUs are dead-stock candidates. To confirm handling (cross-dock vs obsolete).</w:t>
      </w:r>
    </w:p>
    <w:p>
      <w:pPr>
        <w:pStyle w:val="Heading1"/>
      </w:pPr>
      <w:r>
        <w:t>9. Headline design requirements (input to design options)</w:t>
      </w:r>
    </w:p>
    <w:p>
      <w:pPr>
        <w:pStyle w:val="ListBullet"/>
      </w:pPr>
      <w:r>
        <w:rPr>
          <w:b w:val="0"/>
          <w:sz w:val="21"/>
        </w:rPr>
      </w:r>
      <w:r>
        <w:rPr>
          <w:b/>
          <w:sz w:val="21"/>
        </w:rPr>
        <w:t>Storage:</w:t>
      </w:r>
      <w:r>
        <w:rPr>
          <w:b w:val="0"/>
          <w:sz w:val="21"/>
        </w:rPr>
        <w:t xml:space="preserve"> ~8,512 pallet positions at peak → target ~9,500 (÷ 0.90 working utilisation); growth (+8%/quarter in loads) is absorbed by extra rack levels, not by an inflated count. Must fit the 12.2 m / 7,000 m² envelope (A008).</w:t>
      </w:r>
    </w:p>
    <w:p>
      <w:pPr>
        <w:pStyle w:val="ListBullet"/>
      </w:pPr>
      <w:r>
        <w:rPr>
          <w:b w:val="0"/>
          <w:sz w:val="21"/>
        </w:rPr>
      </w:r>
      <w:r>
        <w:rPr>
          <w:b/>
          <w:sz w:val="21"/>
        </w:rPr>
        <w:t>Long slow tail:</w:t>
      </w:r>
      <w:r>
        <w:rPr>
          <w:b w:val="0"/>
          <w:sz w:val="21"/>
        </w:rPr>
        <w:t xml:space="preserve"> 67.3% C-SKUs and 72.7% single-load SKUs → high-density/deep storage for the tail, fast forward-pick for A/B.</w:t>
      </w:r>
    </w:p>
    <w:p>
      <w:pPr>
        <w:pStyle w:val="ListBullet"/>
      </w:pPr>
      <w:r>
        <w:rPr>
          <w:b w:val="0"/>
          <w:sz w:val="21"/>
        </w:rPr>
      </w:r>
      <w:r>
        <w:rPr>
          <w:b/>
          <w:sz w:val="21"/>
        </w:rPr>
        <w:t>Picking is each-dominant by lines</w:t>
      </w:r>
      <w:r>
        <w:rPr>
          <w:b w:val="0"/>
          <w:sz w:val="21"/>
        </w:rPr>
        <w:t xml:space="preserve"> (75% each, 24% case, 1% full pallet — derived from the orders) and half of all orders are single-line → batch picking from an easy-reach fast-pick area is the key labour lever.</w:t>
      </w:r>
    </w:p>
    <w:p>
      <w:pPr>
        <w:pStyle w:val="ListBullet"/>
      </w:pPr>
      <w:r>
        <w:rPr>
          <w:b w:val="0"/>
          <w:sz w:val="21"/>
        </w:rPr>
      </w:r>
      <w:r>
        <w:rPr>
          <w:b/>
          <w:sz w:val="21"/>
        </w:rPr>
        <w:t>Re-slot to demand</w:t>
      </w:r>
      <w:r>
        <w:rPr>
          <w:b w:val="0"/>
          <w:sz w:val="21"/>
        </w:rPr>
        <w:t xml:space="preserve"> — only 48.6% ABC agreement today.</w:t>
      </w:r>
    </w:p>
    <w:p>
      <w:pPr>
        <w:pStyle w:val="ListBullet"/>
      </w:pPr>
      <w:r>
        <w:rPr>
          <w:b w:val="0"/>
          <w:sz w:val="21"/>
        </w:rPr>
      </w:r>
      <w:r>
        <w:rPr>
          <w:b/>
          <w:sz w:val="21"/>
        </w:rPr>
        <w:t>Capacity to peak</w:t>
      </w:r>
      <w:r>
        <w:rPr>
          <w:b w:val="0"/>
          <w:sz w:val="21"/>
        </w:rPr>
        <w:t xml:space="preserve"> — 1171 lines / 63469 units on the peak day; the 08:00 peak is a release effect that waves can level.</w:t>
      </w:r>
    </w:p>
    <w:p>
      <w:pPr>
        <w:pStyle w:val="Heading1"/>
      </w:pPr>
      <w:r>
        <w:t>10. Storage capacity feasibility</w:t>
      </w:r>
    </w:p>
    <w:p>
      <w:pPr>
        <w:spacing w:after="120"/>
      </w:pPr>
      <w:r>
        <w:rPr>
          <w:b w:val="0"/>
          <w:i w:val="0"/>
          <w:color w:val="222222"/>
          <w:sz w:val="21"/>
        </w:rPr>
        <w:t xml:space="preserve">Design target: peak </w:t>
      </w:r>
      <w:r>
        <w:rPr>
          <w:b/>
          <w:i w:val="0"/>
          <w:color w:val="222222"/>
          <w:sz w:val="21"/>
        </w:rPr>
        <w:t>8,512 occupied locations ÷ 0.90 working utilisation ≈ 9,500 pallet positions</w:t>
      </w:r>
      <w:r>
        <w:rPr>
          <w:b w:val="0"/>
          <w:i w:val="0"/>
          <w:color w:val="222222"/>
          <w:sz w:val="21"/>
        </w:rPr>
        <w:t xml:space="preserve"> (A010). This replaces the earlier 14,074 (loads × 1.15 buffer), which overstated the need by counting loads instead of positions. Measured pallet+load height is low (p90 116 cm), giving a 1.41 m level pitch and up to 8 levels under 12.2 m.</w:t>
      </w:r>
    </w:p>
    <w:p>
      <w:pPr>
        <w:spacing w:after="120"/>
      </w:pPr>
      <w:r>
        <w:rPr>
          <w:b w:val="0"/>
          <w:i w:val="0"/>
          <w:color w:val="222222"/>
          <w:sz w:val="21"/>
        </w:rPr>
        <w:t>Bottom-up floor area needed to hold that target, by storage concept: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r/>
            <w:r>
              <w:rPr>
                <w:b/>
                <w:sz w:val="19"/>
              </w:rPr>
              <w:t>Concept</w:t>
            </w:r>
          </w:p>
        </w:tc>
        <w:tc>
          <w:tcPr>
            <w:tcW w:type="dxa" w:w="1871"/>
          </w:tcPr>
          <w:p>
            <w:r/>
            <w:r>
              <w:rPr>
                <w:b/>
                <w:sz w:val="19"/>
              </w:rPr>
              <w:t>MHE</w:t>
            </w:r>
          </w:p>
        </w:tc>
        <w:tc>
          <w:tcPr>
            <w:tcW w:type="dxa" w:w="850"/>
          </w:tcPr>
          <w:p>
            <w:r/>
            <w:r>
              <w:rPr>
                <w:b/>
                <w:sz w:val="19"/>
              </w:rPr>
              <w:t>Levels</w:t>
            </w:r>
          </w:p>
        </w:tc>
        <w:tc>
          <w:tcPr>
            <w:tcW w:type="dxa" w:w="1474"/>
          </w:tcPr>
          <w:p>
            <w:r/>
            <w:r>
              <w:rPr>
                <w:b/>
                <w:sz w:val="19"/>
              </w:rPr>
              <w:t>Total area m² *</w:t>
            </w:r>
          </w:p>
        </w:tc>
        <w:tc>
          <w:tcPr>
            <w:tcW w:type="dxa" w:w="1361"/>
          </w:tcPr>
          <w:p>
            <w:r/>
            <w:r>
              <w:rPr>
                <w:b/>
                <w:sz w:val="19"/>
              </w:rPr>
              <w:t>% of 7,000 m²</w:t>
            </w:r>
          </w:p>
        </w:tc>
        <w:tc>
          <w:tcPr>
            <w:tcW w:type="dxa" w:w="1020"/>
          </w:tcPr>
          <w:p>
            <w:r/>
            <w:r>
              <w:rPr>
                <w:b/>
                <w:sz w:val="19"/>
              </w:rPr>
              <w:t>Fits?</w:t>
            </w:r>
          </w:p>
        </w:tc>
      </w:tr>
      <w:tr>
        <w:tc>
          <w:tcPr>
            <w:tcW w:type="dxa" w:w="2268"/>
          </w:tcPr>
          <w:p>
            <w:r/>
            <w:r>
              <w:rPr>
                <w:sz w:val="19"/>
              </w:rPr>
              <w:t>Selective - wide aisle</w:t>
            </w:r>
          </w:p>
        </w:tc>
        <w:tc>
          <w:tcPr>
            <w:tcW w:type="dxa" w:w="1871"/>
          </w:tcPr>
          <w:p>
            <w:pPr>
              <w:jc w:val="right"/>
            </w:pPr>
            <w:r/>
            <w:r>
              <w:rPr>
                <w:sz w:val="19"/>
              </w:rPr>
              <w:t>Counterbalance FLT</w:t>
            </w:r>
          </w:p>
        </w:tc>
        <w:tc>
          <w:tcPr>
            <w:tcW w:type="dxa" w:w="850"/>
          </w:tcPr>
          <w:p>
            <w:pPr>
              <w:jc w:val="right"/>
            </w:pPr>
            <w:r/>
            <w:r>
              <w:rPr>
                <w:sz w:val="19"/>
              </w:rPr>
              <w:t>6</w:t>
            </w:r>
          </w:p>
        </w:tc>
        <w:tc>
          <w:tcPr>
            <w:tcW w:type="dxa" w:w="1474"/>
          </w:tcPr>
          <w:p>
            <w:pPr>
              <w:jc w:val="right"/>
            </w:pPr>
            <w:r/>
            <w:r>
              <w:rPr>
                <w:sz w:val="19"/>
              </w:rPr>
              <w:t>6,810</w:t>
            </w:r>
          </w:p>
        </w:tc>
        <w:tc>
          <w:tcPr>
            <w:tcW w:type="dxa" w:w="1361"/>
          </w:tcPr>
          <w:p>
            <w:pPr>
              <w:jc w:val="right"/>
            </w:pPr>
            <w:r/>
            <w:r>
              <w:rPr>
                <w:sz w:val="19"/>
              </w:rPr>
              <w:t>97%</w:t>
            </w:r>
          </w:p>
        </w:tc>
        <w:tc>
          <w:tcPr>
            <w:tcW w:type="dxa" w:w="1020"/>
          </w:tcPr>
          <w:p>
            <w:pPr>
              <w:jc w:val="right"/>
            </w:pPr>
            <w:r/>
            <w:r>
              <w:rPr>
                <w:sz w:val="19"/>
              </w:rPr>
              <w:t>TIGHT</w:t>
            </w:r>
          </w:p>
        </w:tc>
      </w:tr>
      <w:tr>
        <w:tc>
          <w:tcPr>
            <w:tcW w:type="dxa" w:w="2268"/>
          </w:tcPr>
          <w:p>
            <w:r/>
            <w:r>
              <w:rPr>
                <w:sz w:val="19"/>
              </w:rPr>
              <w:t>Selective - narrow aisle</w:t>
            </w:r>
          </w:p>
        </w:tc>
        <w:tc>
          <w:tcPr>
            <w:tcW w:type="dxa" w:w="1871"/>
          </w:tcPr>
          <w:p>
            <w:pPr>
              <w:jc w:val="right"/>
            </w:pPr>
            <w:r/>
            <w:r>
              <w:rPr>
                <w:sz w:val="19"/>
              </w:rPr>
              <w:t>Reach truck</w:t>
            </w:r>
          </w:p>
        </w:tc>
        <w:tc>
          <w:tcPr>
            <w:tcW w:type="dxa" w:w="850"/>
          </w:tcPr>
          <w:p>
            <w:pPr>
              <w:jc w:val="right"/>
            </w:pPr>
            <w:r/>
            <w:r>
              <w:rPr>
                <w:sz w:val="19"/>
              </w:rPr>
              <w:t>7</w:t>
            </w:r>
          </w:p>
        </w:tc>
        <w:tc>
          <w:tcPr>
            <w:tcW w:type="dxa" w:w="1474"/>
          </w:tcPr>
          <w:p>
            <w:pPr>
              <w:jc w:val="right"/>
            </w:pPr>
            <w:r/>
            <w:r>
              <w:rPr>
                <w:sz w:val="19"/>
              </w:rPr>
              <w:t>5,040</w:t>
            </w:r>
          </w:p>
        </w:tc>
        <w:tc>
          <w:tcPr>
            <w:tcW w:type="dxa" w:w="1361"/>
          </w:tcPr>
          <w:p>
            <w:pPr>
              <w:jc w:val="right"/>
            </w:pPr>
            <w:r/>
            <w:r>
              <w:rPr>
                <w:sz w:val="19"/>
              </w:rPr>
              <w:t>72%</w:t>
            </w:r>
          </w:p>
        </w:tc>
        <w:tc>
          <w:tcPr>
            <w:tcW w:type="dxa" w:w="1020"/>
          </w:tcPr>
          <w:p>
            <w:pPr>
              <w:jc w:val="right"/>
            </w:pPr>
            <w:r/>
            <w:r>
              <w:rPr>
                <w:sz w:val="19"/>
              </w:rPr>
              <w:t>YES</w:t>
            </w:r>
          </w:p>
        </w:tc>
      </w:tr>
      <w:tr>
        <w:tc>
          <w:tcPr>
            <w:tcW w:type="dxa" w:w="2268"/>
          </w:tcPr>
          <w:p>
            <w:r/>
            <w:r>
              <w:rPr>
                <w:sz w:val="19"/>
              </w:rPr>
              <w:t>Double-deep</w:t>
            </w:r>
          </w:p>
        </w:tc>
        <w:tc>
          <w:tcPr>
            <w:tcW w:type="dxa" w:w="1871"/>
          </w:tcPr>
          <w:p>
            <w:pPr>
              <w:jc w:val="right"/>
            </w:pPr>
            <w:r/>
            <w:r>
              <w:rPr>
                <w:sz w:val="19"/>
              </w:rPr>
              <w:t>Reach truck (deep)</w:t>
            </w:r>
          </w:p>
        </w:tc>
        <w:tc>
          <w:tcPr>
            <w:tcW w:type="dxa" w:w="850"/>
          </w:tcPr>
          <w:p>
            <w:pPr>
              <w:jc w:val="right"/>
            </w:pPr>
            <w:r/>
            <w:r>
              <w:rPr>
                <w:sz w:val="19"/>
              </w:rPr>
              <w:t>7</w:t>
            </w:r>
          </w:p>
        </w:tc>
        <w:tc>
          <w:tcPr>
            <w:tcW w:type="dxa" w:w="1474"/>
          </w:tcPr>
          <w:p>
            <w:pPr>
              <w:jc w:val="right"/>
            </w:pPr>
            <w:r/>
            <w:r>
              <w:rPr>
                <w:sz w:val="19"/>
              </w:rPr>
              <w:t>4,280</w:t>
            </w:r>
          </w:p>
        </w:tc>
        <w:tc>
          <w:tcPr>
            <w:tcW w:type="dxa" w:w="1361"/>
          </w:tcPr>
          <w:p>
            <w:pPr>
              <w:jc w:val="right"/>
            </w:pPr>
            <w:r/>
            <w:r>
              <w:rPr>
                <w:sz w:val="19"/>
              </w:rPr>
              <w:t>61%</w:t>
            </w:r>
          </w:p>
        </w:tc>
        <w:tc>
          <w:tcPr>
            <w:tcW w:type="dxa" w:w="1020"/>
          </w:tcPr>
          <w:p>
            <w:pPr>
              <w:jc w:val="right"/>
            </w:pPr>
            <w:r/>
            <w:r>
              <w:rPr>
                <w:sz w:val="19"/>
              </w:rPr>
              <w:t>YES</w:t>
            </w:r>
          </w:p>
        </w:tc>
      </w:tr>
      <w:tr>
        <w:tc>
          <w:tcPr>
            <w:tcW w:type="dxa" w:w="2268"/>
          </w:tcPr>
          <w:p>
            <w:r/>
            <w:r>
              <w:rPr>
                <w:sz w:val="19"/>
              </w:rPr>
              <w:t>VNA</w:t>
            </w:r>
          </w:p>
        </w:tc>
        <w:tc>
          <w:tcPr>
            <w:tcW w:type="dxa" w:w="1871"/>
          </w:tcPr>
          <w:p>
            <w:pPr>
              <w:jc w:val="right"/>
            </w:pPr>
            <w:r/>
            <w:r>
              <w:rPr>
                <w:sz w:val="19"/>
              </w:rPr>
              <w:t>VNA turret truck</w:t>
            </w:r>
          </w:p>
        </w:tc>
        <w:tc>
          <w:tcPr>
            <w:tcW w:type="dxa" w:w="850"/>
          </w:tcPr>
          <w:p>
            <w:pPr>
              <w:jc w:val="right"/>
            </w:pPr>
            <w:r/>
            <w:r>
              <w:rPr>
                <w:sz w:val="19"/>
              </w:rPr>
              <w:t>8</w:t>
            </w:r>
          </w:p>
        </w:tc>
        <w:tc>
          <w:tcPr>
            <w:tcW w:type="dxa" w:w="1474"/>
          </w:tcPr>
          <w:p>
            <w:pPr>
              <w:jc w:val="right"/>
            </w:pPr>
            <w:r/>
            <w:r>
              <w:rPr>
                <w:sz w:val="19"/>
              </w:rPr>
              <w:t>3,390</w:t>
            </w:r>
          </w:p>
        </w:tc>
        <w:tc>
          <w:tcPr>
            <w:tcW w:type="dxa" w:w="1361"/>
          </w:tcPr>
          <w:p>
            <w:pPr>
              <w:jc w:val="right"/>
            </w:pPr>
            <w:r/>
            <w:r>
              <w:rPr>
                <w:sz w:val="19"/>
              </w:rPr>
              <w:t>48%</w:t>
            </w:r>
          </w:p>
        </w:tc>
        <w:tc>
          <w:tcPr>
            <w:tcW w:type="dxa" w:w="1020"/>
          </w:tcPr>
          <w:p>
            <w:pPr>
              <w:jc w:val="right"/>
            </w:pPr>
            <w:r/>
            <w:r>
              <w:rPr>
                <w:sz w:val="19"/>
              </w:rPr>
              <w:t>YES</w:t>
            </w:r>
          </w:p>
        </w:tc>
      </w:tr>
      <w:tr>
        <w:tc>
          <w:tcPr>
            <w:tcW w:type="dxa" w:w="2268"/>
          </w:tcPr>
          <w:p>
            <w:r/>
            <w:r>
              <w:rPr>
                <w:sz w:val="19"/>
              </w:rPr>
              <w:t>Drive-in</w:t>
            </w:r>
          </w:p>
        </w:tc>
        <w:tc>
          <w:tcPr>
            <w:tcW w:type="dxa" w:w="1871"/>
          </w:tcPr>
          <w:p>
            <w:pPr>
              <w:jc w:val="right"/>
            </w:pPr>
            <w:r/>
            <w:r>
              <w:rPr>
                <w:sz w:val="19"/>
              </w:rPr>
              <w:t>Counterbalance FLT</w:t>
            </w:r>
          </w:p>
        </w:tc>
        <w:tc>
          <w:tcPr>
            <w:tcW w:type="dxa" w:w="850"/>
          </w:tcPr>
          <w:p>
            <w:pPr>
              <w:jc w:val="right"/>
            </w:pPr>
            <w:r/>
            <w:r>
              <w:rPr>
                <w:sz w:val="19"/>
              </w:rPr>
              <w:t>5</w:t>
            </w:r>
          </w:p>
        </w:tc>
        <w:tc>
          <w:tcPr>
            <w:tcW w:type="dxa" w:w="1474"/>
          </w:tcPr>
          <w:p>
            <w:pPr>
              <w:jc w:val="right"/>
            </w:pPr>
            <w:r/>
            <w:r>
              <w:rPr>
                <w:sz w:val="19"/>
              </w:rPr>
              <w:t>6,330</w:t>
            </w:r>
          </w:p>
        </w:tc>
        <w:tc>
          <w:tcPr>
            <w:tcW w:type="dxa" w:w="1361"/>
          </w:tcPr>
          <w:p>
            <w:pPr>
              <w:jc w:val="right"/>
            </w:pPr>
            <w:r/>
            <w:r>
              <w:rPr>
                <w:sz w:val="19"/>
              </w:rPr>
              <w:t>90%</w:t>
            </w:r>
          </w:p>
        </w:tc>
        <w:tc>
          <w:tcPr>
            <w:tcW w:type="dxa" w:w="1020"/>
          </w:tcPr>
          <w:p>
            <w:pPr>
              <w:jc w:val="right"/>
            </w:pPr>
            <w:r/>
            <w:r>
              <w:rPr>
                <w:sz w:val="19"/>
              </w:rPr>
              <w:t>TIGHT</w:t>
            </w:r>
          </w:p>
        </w:tc>
      </w:tr>
    </w:tbl>
    <w:p>
      <w:pPr>
        <w:spacing w:after="40"/>
      </w:pPr>
    </w:p>
    <w:p>
      <w:pPr>
        <w:spacing w:after="120"/>
      </w:pPr>
      <w:r>
        <w:rPr>
          <w:b w:val="0"/>
          <w:i/>
          <w:color w:val="666666"/>
          <w:sz w:val="17"/>
        </w:rPr>
        <w:t>* includes a 35% allowance for receiving, staging, pick, pack, ship, offices and circulation.</w:t>
      </w:r>
    </w:p>
    <w:p>
      <w:pPr>
        <w:pStyle w:val="ListBullet"/>
      </w:pPr>
      <w:r>
        <w:rPr>
          <w:b w:val="0"/>
          <w:sz w:val="21"/>
        </w:rPr>
      </w:r>
      <w:r>
        <w:rPr>
          <w:b/>
          <w:sz w:val="21"/>
        </w:rPr>
        <w:t>At the corrected target several concepts fit:</w:t>
      </w:r>
      <w:r>
        <w:rPr>
          <w:b w:val="0"/>
          <w:sz w:val="21"/>
        </w:rPr>
        <w:t xml:space="preserve"> double-deep 61%, narrow-aisle selective 72%, VNA 48%. Wide-aisle (97%) and drive-in (90%) are tight.</w:t>
      </w:r>
    </w:p>
    <w:p>
      <w:pPr>
        <w:pStyle w:val="ListBullet"/>
      </w:pPr>
      <w:r>
        <w:rPr>
          <w:sz w:val="21"/>
        </w:rPr>
        <w:t>→ Space alone no longer decides the concept. The choice is driven by travel and labour, slotting flexibility, growth headroom and cost — compared in the options and decision matrix below.</w:t>
      </w:r>
    </w:p>
    <w:p>
      <w:pPr>
        <w:jc w:val="center"/>
      </w:pPr>
      <w:r>
        <w:drawing>
          <wp:inline xmlns:a="http://schemas.openxmlformats.org/drawingml/2006/main" xmlns:pic="http://schemas.openxmlformats.org/drawingml/2006/picture">
            <wp:extent cx="5040000" cy="2339789"/>
            <wp:docPr id="9" name="Picture 9"/>
            <wp:cNvGraphicFramePr>
              <a:graphicFrameLocks noChangeAspect="1"/>
            </wp:cNvGraphicFramePr>
            <a:graphic>
              <a:graphicData uri="http://schemas.openxmlformats.org/drawingml/2006/picture">
                <pic:pic>
                  <pic:nvPicPr>
                    <pic:cNvPr id="0" name="capacity_feasibility_corrected.png"/>
                    <pic:cNvPicPr/>
                  </pic:nvPicPr>
                  <pic:blipFill>
                    <a:blip r:embed="rId17"/>
                    <a:stretch>
                      <a:fillRect/>
                    </a:stretch>
                  </pic:blipFill>
                  <pic:spPr>
                    <a:xfrm>
                      <a:off x="0" y="0"/>
                      <a:ext cx="5040000" cy="2339789"/>
                    </a:xfrm>
                    <a:prstGeom prst="rect"/>
                  </pic:spPr>
                </pic:pic>
              </a:graphicData>
            </a:graphic>
          </wp:inline>
        </w:drawing>
      </w:r>
    </w:p>
    <w:p>
      <w:pPr>
        <w:spacing w:after="200"/>
        <w:jc w:val="center"/>
      </w:pPr>
      <w:r>
        <w:rPr>
          <w:b w:val="0"/>
          <w:i/>
          <w:color w:val="666666"/>
          <w:sz w:val="17"/>
        </w:rPr>
        <w:t>Fig 7. Floor area to hold the corrected position target, by concept, vs the 7,000 m² envelope.</w:t>
      </w:r>
    </w:p>
    <w:p>
      <w:pPr>
        <w:pStyle w:val="Heading1"/>
      </w:pPr>
      <w:r>
        <w:t>11. Design options</w:t>
      </w:r>
    </w:p>
    <w:p>
      <w:pPr>
        <w:spacing w:after="120"/>
      </w:pPr>
      <w:r>
        <w:rPr>
          <w:b w:val="0"/>
          <w:i w:val="0"/>
          <w:color w:val="222222"/>
          <w:sz w:val="21"/>
        </w:rPr>
        <w:t>Three end-to-end options (storage × picking × MHE × policies), each aligned across the four processes.</w:t>
      </w:r>
    </w:p>
    <w:p>
      <w:pPr>
        <w:pStyle w:val="Heading2"/>
      </w:pPr>
      <w:r>
        <w:t>Option A — Conventional+ (improve the current concept)</w:t>
      </w:r>
    </w:p>
    <w:p>
      <w:pPr>
        <w:pStyle w:val="ListBullet"/>
      </w:pPr>
      <w:r>
        <w:rPr>
          <w:b w:val="0"/>
          <w:sz w:val="21"/>
        </w:rPr>
      </w:r>
      <w:r>
        <w:rPr>
          <w:b/>
          <w:sz w:val="21"/>
        </w:rPr>
        <w:t>Storage:</w:t>
      </w:r>
      <w:r>
        <w:rPr>
          <w:b w:val="0"/>
          <w:sz w:val="21"/>
        </w:rPr>
        <w:t xml:space="preserve"> selective single-deep, narrow-aisle (reach), 7 levels; two-zone ABC. ≈72% of the envelope.</w:t>
      </w:r>
    </w:p>
    <w:p>
      <w:pPr>
        <w:pStyle w:val="ListBullet"/>
      </w:pPr>
      <w:r>
        <w:rPr>
          <w:b w:val="0"/>
          <w:sz w:val="21"/>
        </w:rPr>
      </w:r>
      <w:r>
        <w:rPr>
          <w:b/>
          <w:sz w:val="21"/>
        </w:rPr>
        <w:t>Picking:</w:t>
      </w:r>
      <w:r>
        <w:rPr>
          <w:b w:val="0"/>
          <w:sz w:val="21"/>
        </w:rPr>
        <w:t xml:space="preserve"> RF-directed discrete + simple batch; case pick from pick-face; pallet from reserve.</w:t>
      </w:r>
    </w:p>
    <w:p>
      <w:pPr>
        <w:pStyle w:val="ListBullet"/>
      </w:pPr>
      <w:r>
        <w:rPr>
          <w:b w:val="0"/>
          <w:sz w:val="21"/>
        </w:rPr>
      </w:r>
      <w:r>
        <w:rPr>
          <w:b/>
          <w:sz w:val="21"/>
        </w:rPr>
        <w:t>MHE:</w:t>
      </w:r>
      <w:r>
        <w:rPr>
          <w:b w:val="0"/>
          <w:sz w:val="21"/>
        </w:rPr>
        <w:t xml:space="preserve"> reach trucks, low-level order pickers, pallet trucks, RF scanners.</w:t>
      </w:r>
    </w:p>
    <w:p>
      <w:pPr>
        <w:pStyle w:val="ListBullet"/>
      </w:pPr>
      <w:r>
        <w:rPr>
          <w:b w:val="0"/>
          <w:sz w:val="21"/>
        </w:rPr>
      </w:r>
      <w:r>
        <w:rPr>
          <w:b/>
          <w:sz w:val="21"/>
        </w:rPr>
        <w:t>Verdict:</w:t>
      </w:r>
      <w:r>
        <w:rPr>
          <w:b w:val="0"/>
          <w:sz w:val="21"/>
        </w:rPr>
        <w:t xml:space="preserve"> cheapest and simplest, but the most aisles, travel and labour.</w:t>
      </w:r>
    </w:p>
    <w:p>
      <w:pPr>
        <w:pStyle w:val="Heading2"/>
      </w:pPr>
      <w:r>
        <w:t>Option B — Hybrid density + velocity slotting + zone/batch picking  (recommended)</w:t>
      </w:r>
    </w:p>
    <w:p>
      <w:pPr>
        <w:pStyle w:val="ListBullet"/>
      </w:pPr>
      <w:r>
        <w:rPr>
          <w:b w:val="0"/>
          <w:sz w:val="21"/>
        </w:rPr>
      </w:r>
      <w:r>
        <w:rPr>
          <w:b/>
          <w:sz w:val="21"/>
        </w:rPr>
        <w:t>Storage:</w:t>
      </w:r>
      <w:r>
        <w:rPr>
          <w:b w:val="0"/>
          <w:sz w:val="21"/>
        </w:rPr>
        <w:t xml:space="preserve"> double-deep reach racking for A/B reserve + selective single-deep for irregular SKUs + a forward-pick module (carton-flow / shelving) for fast case/each; cantilever for XLONG goods. ≈61% of the envelope for storage + working areas — room to grow.</w:t>
      </w:r>
    </w:p>
    <w:p>
      <w:pPr>
        <w:pStyle w:val="ListBullet"/>
      </w:pPr>
      <w:r>
        <w:rPr>
          <w:b w:val="0"/>
          <w:sz w:val="21"/>
        </w:rPr>
      </w:r>
      <w:r>
        <w:rPr>
          <w:b/>
          <w:sz w:val="21"/>
        </w:rPr>
        <w:t>Picking:</w:t>
      </w:r>
      <w:r>
        <w:rPr>
          <w:b w:val="0"/>
          <w:sz w:val="21"/>
        </w:rPr>
        <w:t xml:space="preserve"> zone + batch/wave picking (batches the 50% single-line orders); A-movers in a golden-zone forward pick; voice/RF; put-to-light consolidation at pack.</w:t>
      </w:r>
    </w:p>
    <w:p>
      <w:pPr>
        <w:pStyle w:val="ListBullet"/>
      </w:pPr>
      <w:r>
        <w:rPr>
          <w:b w:val="0"/>
          <w:sz w:val="21"/>
        </w:rPr>
      </w:r>
      <w:r>
        <w:rPr>
          <w:b/>
          <w:sz w:val="21"/>
        </w:rPr>
        <w:t>MHE:</w:t>
      </w:r>
      <w:r>
        <w:rPr>
          <w:b w:val="0"/>
          <w:sz w:val="21"/>
        </w:rPr>
        <w:t xml:space="preserve"> reach trucks with telescopic forks (Jungheinrich ETV 216i), pick trolleys for small orders and walkie pallet trucks (EJE 120i) for large orders, rider pallet trucks (ERE 225) at the docks, voice/RF, print-and-apply — sized in Deliverable 2.</w:t>
      </w:r>
    </w:p>
    <w:p>
      <w:pPr>
        <w:pStyle w:val="ListBullet"/>
      </w:pPr>
      <w:r>
        <w:rPr>
          <w:b w:val="0"/>
          <w:sz w:val="21"/>
        </w:rPr>
      </w:r>
      <w:r>
        <w:rPr>
          <w:b/>
          <w:sz w:val="21"/>
        </w:rPr>
        <w:t>Policies:</w:t>
      </w:r>
      <w:r>
        <w:rPr>
          <w:b w:val="0"/>
          <w:sz w:val="21"/>
        </w:rPr>
        <w:t xml:space="preserve"> velocity (demand-ABC) slotting, hybrid random-within-zone storage, min/max replenishment, FIFO via FIF DATE where relevant.</w:t>
      </w:r>
    </w:p>
    <w:p>
      <w:pPr>
        <w:pStyle w:val="ListBullet"/>
      </w:pPr>
      <w:r>
        <w:rPr>
          <w:b w:val="0"/>
          <w:sz w:val="21"/>
        </w:rPr>
      </w:r>
      <w:r>
        <w:rPr>
          <w:b/>
          <w:sz w:val="21"/>
        </w:rPr>
        <w:t>Verdict:</w:t>
      </w:r>
      <w:r>
        <w:rPr>
          <w:b w:val="0"/>
          <w:sz w:val="21"/>
        </w:rPr>
        <w:t xml:space="preserve"> fits with buffer, materially lower travel/labour than A, moderate CAPEX — strongest business case.</w:t>
      </w:r>
    </w:p>
    <w:p>
      <w:pPr>
        <w:pStyle w:val="Heading2"/>
      </w:pPr>
      <w:r>
        <w:t>Option C — High-density / semi-automated</w:t>
      </w:r>
    </w:p>
    <w:p>
      <w:pPr>
        <w:pStyle w:val="ListBullet"/>
      </w:pPr>
      <w:r>
        <w:rPr>
          <w:b w:val="0"/>
          <w:sz w:val="21"/>
        </w:rPr>
      </w:r>
      <w:r>
        <w:rPr>
          <w:b/>
          <w:sz w:val="21"/>
        </w:rPr>
        <w:t>Storage:</w:t>
      </w:r>
      <w:r>
        <w:rPr>
          <w:b w:val="0"/>
          <w:sz w:val="21"/>
        </w:rPr>
        <w:t xml:space="preserve"> VNA (man-up turret) for reserve + automated small-parts store (shuttle/AutoStore-style) for the large C each-pick tail. ≈48% of the envelope (densest).</w:t>
      </w:r>
    </w:p>
    <w:p>
      <w:pPr>
        <w:pStyle w:val="ListBullet"/>
      </w:pPr>
      <w:r>
        <w:rPr>
          <w:b w:val="0"/>
          <w:sz w:val="21"/>
        </w:rPr>
      </w:r>
      <w:r>
        <w:rPr>
          <w:b/>
          <w:sz w:val="21"/>
        </w:rPr>
        <w:t>Picking:</w:t>
      </w:r>
      <w:r>
        <w:rPr>
          <w:b w:val="0"/>
          <w:sz w:val="21"/>
        </w:rPr>
        <w:t xml:space="preserve"> goods-to-person / pick-to-light for smalls; VNA combined storage+pick; automated sortation.</w:t>
      </w:r>
    </w:p>
    <w:p>
      <w:pPr>
        <w:pStyle w:val="ListBullet"/>
      </w:pPr>
      <w:r>
        <w:rPr>
          <w:b w:val="0"/>
          <w:sz w:val="21"/>
        </w:rPr>
      </w:r>
      <w:r>
        <w:rPr>
          <w:b/>
          <w:sz w:val="21"/>
        </w:rPr>
        <w:t>MHE:</w:t>
      </w:r>
      <w:r>
        <w:rPr>
          <w:b w:val="0"/>
          <w:sz w:val="21"/>
        </w:rPr>
        <w:t xml:space="preserve"> VNA turret trucks + guidance, automation modules, minimal manual MHE.</w:t>
      </w:r>
    </w:p>
    <w:p>
      <w:pPr>
        <w:pStyle w:val="ListBullet"/>
      </w:pPr>
      <w:r>
        <w:rPr>
          <w:b w:val="0"/>
          <w:sz w:val="21"/>
        </w:rPr>
      </w:r>
      <w:r>
        <w:rPr>
          <w:b/>
          <w:sz w:val="21"/>
        </w:rPr>
        <w:t>Verdict:</w:t>
      </w:r>
      <w:r>
        <w:rPr>
          <w:b w:val="0"/>
          <w:sz w:val="21"/>
        </w:rPr>
        <w:t xml:space="preserve"> densest and lowest labour, but highest CAPEX and complexity; ROI depends on labour cost.</w:t>
      </w:r>
    </w:p>
    <w:p>
      <w:pPr>
        <w:pStyle w:val="Heading1"/>
      </w:pPr>
      <w:r>
        <w:t>12. Decision matrix &amp; recommendation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3402"/>
          </w:tcPr>
          <w:p>
            <w:r/>
            <w:r>
              <w:rPr>
                <w:b/>
                <w:sz w:val="19"/>
              </w:rPr>
              <w:t>Option</w:t>
            </w:r>
          </w:p>
        </w:tc>
        <w:tc>
          <w:tcPr>
            <w:tcW w:type="dxa" w:w="2551"/>
          </w:tcPr>
          <w:p>
            <w:r/>
            <w:r>
              <w:rPr>
                <w:b/>
                <w:sz w:val="19"/>
              </w:rPr>
              <w:t>Weighted score (max 5)</w:t>
            </w:r>
          </w:p>
        </w:tc>
        <w:tc>
          <w:tcPr>
            <w:tcW w:type="dxa" w:w="2551"/>
          </w:tcPr>
          <w:p>
            <w:r/>
            <w:r>
              <w:rPr>
                <w:b/>
                <w:sz w:val="19"/>
              </w:rPr>
              <w:t>Result</w:t>
            </w:r>
          </w:p>
        </w:tc>
      </w:tr>
      <w:tr>
        <w:tc>
          <w:tcPr>
            <w:tcW w:type="dxa" w:w="3402"/>
          </w:tcPr>
          <w:p>
            <w:r/>
            <w:r>
              <w:rPr>
                <w:sz w:val="19"/>
              </w:rPr>
              <w:t>B - Hybrid density</w:t>
            </w:r>
          </w:p>
        </w:tc>
        <w:tc>
          <w:tcPr>
            <w:tcW w:type="dxa" w:w="2551"/>
          </w:tcPr>
          <w:p>
            <w:pPr>
              <w:jc w:val="right"/>
            </w:pPr>
            <w:r/>
            <w:r>
              <w:rPr>
                <w:sz w:val="19"/>
              </w:rPr>
              <w:t>3.75</w:t>
            </w:r>
          </w:p>
        </w:tc>
        <w:tc>
          <w:tcPr>
            <w:tcW w:type="dxa" w:w="2551"/>
          </w:tcPr>
          <w:p>
            <w:pPr>
              <w:jc w:val="right"/>
            </w:pPr>
            <w:r/>
            <w:r>
              <w:rPr>
                <w:sz w:val="19"/>
              </w:rPr>
              <w:t>RECOMMENDED</w:t>
            </w:r>
          </w:p>
        </w:tc>
      </w:tr>
      <w:tr>
        <w:tc>
          <w:tcPr>
            <w:tcW w:type="dxa" w:w="3402"/>
          </w:tcPr>
          <w:p>
            <w:r/>
            <w:r>
              <w:rPr>
                <w:sz w:val="19"/>
              </w:rPr>
              <w:t>C - Semi-automated</w:t>
            </w:r>
          </w:p>
        </w:tc>
        <w:tc>
          <w:tcPr>
            <w:tcW w:type="dxa" w:w="2551"/>
          </w:tcPr>
          <w:p>
            <w:pPr>
              <w:jc w:val="right"/>
            </w:pPr>
            <w:r/>
            <w:r>
              <w:rPr>
                <w:sz w:val="19"/>
              </w:rPr>
              <w:t>3.70</w:t>
            </w:r>
          </w:p>
        </w:tc>
        <w:tc>
          <w:tcPr>
            <w:tcW w:type="dxa" w:w="2551"/>
          </w:tcPr>
          <w:p>
            <w:pPr>
              <w:jc w:val="right"/>
            </w:pPr>
            <w:r/>
            <w:r>
              <w:rPr>
                <w:sz w:val="19"/>
              </w:rPr>
              <w:t>Strong alternative</w:t>
            </w:r>
          </w:p>
        </w:tc>
      </w:tr>
      <w:tr>
        <w:tc>
          <w:tcPr>
            <w:tcW w:type="dxa" w:w="3402"/>
          </w:tcPr>
          <w:p>
            <w:r/>
            <w:r>
              <w:rPr>
                <w:sz w:val="19"/>
              </w:rPr>
              <w:t>A - Conventional+</w:t>
            </w:r>
          </w:p>
        </w:tc>
        <w:tc>
          <w:tcPr>
            <w:tcW w:type="dxa" w:w="2551"/>
          </w:tcPr>
          <w:p>
            <w:pPr>
              <w:jc w:val="right"/>
            </w:pPr>
            <w:r/>
            <w:r>
              <w:rPr>
                <w:sz w:val="19"/>
              </w:rPr>
              <w:t>3.05</w:t>
            </w:r>
          </w:p>
        </w:tc>
        <w:tc>
          <w:tcPr>
            <w:tcW w:type="dxa" w:w="2551"/>
          </w:tcPr>
          <w:p>
            <w:pPr>
              <w:jc w:val="right"/>
            </w:pPr>
            <w:r/>
            <w:r>
              <w:rPr>
                <w:sz w:val="19"/>
              </w:rPr>
              <w:t>Baseline</w:t>
            </w:r>
          </w:p>
        </w:tc>
      </w:tr>
    </w:tbl>
    <w:p>
      <w:pPr>
        <w:spacing w:after="40"/>
      </w:pPr>
    </w:p>
    <w:p>
      <w:pPr>
        <w:spacing w:after="80"/>
      </w:pPr>
      <w:r>
        <w:rPr>
          <w:b w:val="0"/>
          <w:i w:val="0"/>
          <w:color w:val="222222"/>
          <w:sz w:val="21"/>
        </w:rPr>
        <w:t>Weight-sensitivity (robustness):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402"/>
          </w:tcPr>
          <w:p>
            <w:r/>
            <w:r>
              <w:rPr>
                <w:b/>
                <w:sz w:val="19"/>
              </w:rPr>
              <w:t>Option</w:t>
            </w:r>
          </w:p>
        </w:tc>
        <w:tc>
          <w:tcPr>
            <w:tcW w:type="dxa" w:w="1701"/>
          </w:tcPr>
          <w:p>
            <w:r/>
            <w:r>
              <w:rPr>
                <w:b/>
                <w:sz w:val="19"/>
              </w:rPr>
              <w:t>Base</w:t>
            </w:r>
          </w:p>
        </w:tc>
        <w:tc>
          <w:tcPr>
            <w:tcW w:type="dxa" w:w="1701"/>
          </w:tcPr>
          <w:p>
            <w:r/>
            <w:r>
              <w:rPr>
                <w:b/>
                <w:sz w:val="19"/>
              </w:rPr>
              <w:t>Cost-driven</w:t>
            </w:r>
          </w:p>
        </w:tc>
        <w:tc>
          <w:tcPr>
            <w:tcW w:type="dxa" w:w="1701"/>
          </w:tcPr>
          <w:p>
            <w:r/>
            <w:r>
              <w:rPr>
                <w:b/>
                <w:sz w:val="19"/>
              </w:rPr>
              <w:t>Space-driven</w:t>
            </w:r>
          </w:p>
        </w:tc>
      </w:tr>
      <w:tr>
        <w:tc>
          <w:tcPr>
            <w:tcW w:type="dxa" w:w="3402"/>
          </w:tcPr>
          <w:p>
            <w:r/>
            <w:r>
              <w:rPr>
                <w:sz w:val="19"/>
              </w:rPr>
              <w:t>B - Hybrid density</w:t>
            </w:r>
          </w:p>
        </w:tc>
        <w:tc>
          <w:tcPr>
            <w:tcW w:type="dxa" w:w="1701"/>
          </w:tcPr>
          <w:p>
            <w:pPr>
              <w:jc w:val="right"/>
            </w:pPr>
            <w:r/>
            <w:r>
              <w:rPr>
                <w:sz w:val="19"/>
              </w:rPr>
              <w:t>3.75</w:t>
            </w:r>
          </w:p>
        </w:tc>
        <w:tc>
          <w:tcPr>
            <w:tcW w:type="dxa" w:w="1701"/>
          </w:tcPr>
          <w:p>
            <w:pPr>
              <w:jc w:val="right"/>
            </w:pPr>
            <w:r/>
            <w:r>
              <w:rPr>
                <w:sz w:val="19"/>
              </w:rPr>
              <w:t>3.65</w:t>
            </w:r>
          </w:p>
        </w:tc>
        <w:tc>
          <w:tcPr>
            <w:tcW w:type="dxa" w:w="1701"/>
          </w:tcPr>
          <w:p>
            <w:pPr>
              <w:jc w:val="right"/>
            </w:pPr>
            <w:r/>
            <w:r>
              <w:rPr>
                <w:sz w:val="19"/>
              </w:rPr>
              <w:t>4.75</w:t>
            </w:r>
          </w:p>
        </w:tc>
      </w:tr>
      <w:tr>
        <w:tc>
          <w:tcPr>
            <w:tcW w:type="dxa" w:w="3402"/>
          </w:tcPr>
          <w:p>
            <w:r/>
            <w:r>
              <w:rPr>
                <w:sz w:val="19"/>
              </w:rPr>
              <w:t>C - Semi-automated</w:t>
            </w:r>
          </w:p>
        </w:tc>
        <w:tc>
          <w:tcPr>
            <w:tcW w:type="dxa" w:w="1701"/>
          </w:tcPr>
          <w:p>
            <w:pPr>
              <w:jc w:val="right"/>
            </w:pPr>
            <w:r/>
            <w:r>
              <w:rPr>
                <w:sz w:val="19"/>
              </w:rPr>
              <w:t>3.70</w:t>
            </w:r>
          </w:p>
        </w:tc>
        <w:tc>
          <w:tcPr>
            <w:tcW w:type="dxa" w:w="1701"/>
          </w:tcPr>
          <w:p>
            <w:pPr>
              <w:jc w:val="right"/>
            </w:pPr>
            <w:r/>
            <w:r>
              <w:rPr>
                <w:sz w:val="19"/>
              </w:rPr>
              <w:t>3.35</w:t>
            </w:r>
          </w:p>
        </w:tc>
        <w:tc>
          <w:tcPr>
            <w:tcW w:type="dxa" w:w="1701"/>
          </w:tcPr>
          <w:p>
            <w:pPr>
              <w:jc w:val="right"/>
            </w:pPr>
            <w:r/>
            <w:r>
              <w:rPr>
                <w:sz w:val="19"/>
              </w:rPr>
              <w:t>4.85</w:t>
            </w:r>
          </w:p>
        </w:tc>
      </w:tr>
      <w:tr>
        <w:tc>
          <w:tcPr>
            <w:tcW w:type="dxa" w:w="3402"/>
          </w:tcPr>
          <w:p>
            <w:r/>
            <w:r>
              <w:rPr>
                <w:sz w:val="19"/>
              </w:rPr>
              <w:t>A - Conventional+</w:t>
            </w:r>
          </w:p>
        </w:tc>
        <w:tc>
          <w:tcPr>
            <w:tcW w:type="dxa" w:w="1701"/>
          </w:tcPr>
          <w:p>
            <w:pPr>
              <w:jc w:val="right"/>
            </w:pPr>
            <w:r/>
            <w:r>
              <w:rPr>
                <w:sz w:val="19"/>
              </w:rPr>
              <w:t>3.05</w:t>
            </w:r>
          </w:p>
        </w:tc>
        <w:tc>
          <w:tcPr>
            <w:tcW w:type="dxa" w:w="1701"/>
          </w:tcPr>
          <w:p>
            <w:pPr>
              <w:jc w:val="right"/>
            </w:pPr>
            <w:r/>
            <w:r>
              <w:rPr>
                <w:sz w:val="19"/>
              </w:rPr>
              <w:t>3.35</w:t>
            </w:r>
          </w:p>
        </w:tc>
        <w:tc>
          <w:tcPr>
            <w:tcW w:type="dxa" w:w="1701"/>
          </w:tcPr>
          <w:p>
            <w:pPr>
              <w:jc w:val="right"/>
            </w:pPr>
            <w:r/>
            <w:r>
              <w:rPr>
                <w:sz w:val="19"/>
              </w:rPr>
              <w:t>3.55</w:t>
            </w:r>
          </w:p>
        </w:tc>
      </w:tr>
    </w:tbl>
    <w:p>
      <w:pPr>
        <w:spacing w:after="40"/>
      </w:pPr>
    </w:p>
    <w:p>
      <w:pPr>
        <w:jc w:val="center"/>
      </w:pPr>
      <w:r>
        <w:drawing>
          <wp:inline xmlns:a="http://schemas.openxmlformats.org/drawingml/2006/main" xmlns:pic="http://schemas.openxmlformats.org/drawingml/2006/picture">
            <wp:extent cx="4320000" cy="2439261"/>
            <wp:docPr id="10" name="Picture 10"/>
            <wp:cNvGraphicFramePr>
              <a:graphicFrameLocks noChangeAspect="1"/>
            </wp:cNvGraphicFramePr>
            <a:graphic>
              <a:graphicData uri="http://schemas.openxmlformats.org/drawingml/2006/picture">
                <pic:pic>
                  <pic:nvPicPr>
                    <pic:cNvPr id="0" name="decision_matrix.png"/>
                    <pic:cNvPicPr/>
                  </pic:nvPicPr>
                  <pic:blipFill>
                    <a:blip r:embed="rId18"/>
                    <a:stretch>
                      <a:fillRect/>
                    </a:stretch>
                  </pic:blipFill>
                  <pic:spPr>
                    <a:xfrm>
                      <a:off x="0" y="0"/>
                      <a:ext cx="4320000" cy="2439261"/>
                    </a:xfrm>
                    <a:prstGeom prst="rect"/>
                  </pic:spPr>
                </pic:pic>
              </a:graphicData>
            </a:graphic>
          </wp:inline>
        </w:drawing>
      </w:r>
    </w:p>
    <w:p>
      <w:pPr>
        <w:spacing w:after="200"/>
        <w:jc w:val="center"/>
      </w:pPr>
      <w:r>
        <w:rPr>
          <w:b w:val="0"/>
          <w:i/>
          <w:color w:val="666666"/>
          <w:sz w:val="17"/>
        </w:rPr>
        <w:t>Fig 8. Weighted decision-matrix scores.</w:t>
      </w:r>
    </w:p>
    <w:p>
      <w:pPr>
        <w:pStyle w:val="ListBullet"/>
      </w:pPr>
      <w:r>
        <w:rPr>
          <w:b w:val="0"/>
          <w:sz w:val="21"/>
        </w:rPr>
      </w:r>
      <w:r>
        <w:rPr>
          <w:b/>
          <w:sz w:val="21"/>
        </w:rPr>
        <w:t>Recommended: B - Hybrid density.</w:t>
      </w:r>
      <w:r>
        <w:rPr>
          <w:b w:val="0"/>
          <w:sz w:val="21"/>
        </w:rPr>
        <w:t xml:space="preserve"> It wins on base and cost-driven weightings; C overtakes only when space is the dominant criterion — likely if A008 resolves to a small Assa-only envelope.</w:t>
      </w:r>
    </w:p>
    <w:p>
      <w:pPr>
        <w:pStyle w:val="ListBullet"/>
      </w:pPr>
      <w:r>
        <w:rPr>
          <w:b w:val="0"/>
          <w:sz w:val="21"/>
        </w:rPr>
      </w:r>
      <w:r>
        <w:rPr>
          <w:b/>
          <w:sz w:val="21"/>
        </w:rPr>
        <w:t>Why (data):</w:t>
      </w:r>
      <w:r>
        <w:rPr>
          <w:b w:val="0"/>
          <w:sz w:val="21"/>
        </w:rPr>
        <w:t xml:space="preserve"> double-deep holds the corrected target in ≈61% of the envelope, leaving growth room with fewer aisles than selective racking; 75% of order lines are each-picks and 50% of orders single-line → batch/zone picking from a fast-pick area is the biggest labour lever; 48.6% ABC mismatch → velocity slotting is a cheap, high-value win; 73% single-load tail → dense reserve.</w:t>
      </w:r>
    </w:p>
    <w:p>
      <w:pPr>
        <w:pStyle w:val="ListBullet"/>
      </w:pPr>
      <w:r>
        <w:rPr>
          <w:b w:val="0"/>
          <w:sz w:val="21"/>
        </w:rPr>
      </w:r>
      <w:r>
        <w:rPr>
          <w:b/>
          <w:sz w:val="21"/>
        </w:rPr>
        <w:t>Conditions before locking:</w:t>
      </w:r>
      <w:r>
        <w:rPr>
          <w:b w:val="0"/>
          <w:sz w:val="21"/>
        </w:rPr>
        <w:t xml:space="preserve"> confirm the 7,000 m² scope (A008); obtain labour/equipment costs (A006) to confirm B vs C in the financial model; validate double-deep against the EURO/K3/XLONG pallet mix.</w:t>
      </w:r>
    </w:p>
    <w:p>
      <w:pPr>
        <w:spacing w:after="80"/>
      </w:pPr>
      <w:r>
        <w:rPr>
          <w:b w:val="0"/>
          <w:i/>
          <w:color w:val="666666"/>
          <w:sz w:val="19"/>
        </w:rPr>
        <w:t>Recommended concept preview (detailed layout and 3D in Deliverable 2):</w:t>
      </w:r>
    </w:p>
    <w:p>
      <w:pPr>
        <w:jc w:val="center"/>
      </w:pPr>
      <w:r>
        <w:drawing>
          <wp:inline xmlns:a="http://schemas.openxmlformats.org/drawingml/2006/main" xmlns:pic="http://schemas.openxmlformats.org/drawingml/2006/picture">
            <wp:extent cx="5760000" cy="4949334"/>
            <wp:docPr id="11" name="Picture 11"/>
            <wp:cNvGraphicFramePr>
              <a:graphicFrameLocks noChangeAspect="1"/>
            </wp:cNvGraphicFramePr>
            <a:graphic>
              <a:graphicData uri="http://schemas.openxmlformats.org/drawingml/2006/picture">
                <pic:pic>
                  <pic:nvPicPr>
                    <pic:cNvPr id="0" name="layout_floorplan.png"/>
                    <pic:cNvPicPr/>
                  </pic:nvPicPr>
                  <pic:blipFill>
                    <a:blip r:embed="rId19"/>
                    <a:stretch>
                      <a:fillRect/>
                    </a:stretch>
                  </pic:blipFill>
                  <pic:spPr>
                    <a:xfrm>
                      <a:off x="0" y="0"/>
                      <a:ext cx="5760000" cy="4949334"/>
                    </a:xfrm>
                    <a:prstGeom prst="rect"/>
                  </pic:spPr>
                </pic:pic>
              </a:graphicData>
            </a:graphic>
          </wp:inline>
        </w:drawing>
      </w:r>
    </w:p>
    <w:p>
      <w:pPr>
        <w:spacing w:after="200"/>
        <w:jc w:val="center"/>
      </w:pPr>
      <w:r>
        <w:rPr>
          <w:b w:val="0"/>
          <w:i/>
          <w:color w:val="666666"/>
          <w:sz w:val="17"/>
        </w:rPr>
        <w:t>Fig 9. Recommended Option B — warehouse floor plan (rack-level, to scale).</w:t>
      </w:r>
    </w:p>
    <w:p>
      <w:pPr>
        <w:pStyle w:val="Heading1"/>
      </w:pPr>
      <w:r>
        <w:t>13. Assumptions &amp; open questions</w:t>
      </w:r>
    </w:p>
    <w:p>
      <w:pPr>
        <w:spacing w:after="120"/>
      </w:pPr>
      <w:r>
        <w:rPr>
          <w:b w:val="0"/>
          <w:i w:val="0"/>
          <w:color w:val="222222"/>
          <w:sz w:val="21"/>
        </w:rPr>
        <w:t>Logged in data/assumptions.json. Items that materially affect the design:</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tcPr>
          <w:p>
            <w:r/>
            <w:r>
              <w:rPr>
                <w:b/>
                <w:sz w:val="19"/>
              </w:rPr>
              <w:t>ID</w:t>
            </w:r>
          </w:p>
        </w:tc>
        <w:tc>
          <w:tcPr>
            <w:tcW w:type="dxa" w:w="6520"/>
          </w:tcPr>
          <w:p>
            <w:r/>
            <w:r>
              <w:rPr>
                <w:b/>
                <w:sz w:val="19"/>
              </w:rPr>
              <w:t>Assumption / open question</w:t>
            </w:r>
          </w:p>
        </w:tc>
        <w:tc>
          <w:tcPr>
            <w:tcW w:type="dxa" w:w="1134"/>
          </w:tcPr>
          <w:p>
            <w:r/>
            <w:r>
              <w:rPr>
                <w:b/>
                <w:sz w:val="19"/>
              </w:rPr>
              <w:t>Impact</w:t>
            </w:r>
          </w:p>
        </w:tc>
      </w:tr>
      <w:tr>
        <w:tc>
          <w:tcPr>
            <w:tcW w:type="dxa" w:w="850"/>
          </w:tcPr>
          <w:p>
            <w:r/>
            <w:r>
              <w:rPr>
                <w:sz w:val="19"/>
              </w:rPr>
              <w:t>A001</w:t>
            </w:r>
          </w:p>
        </w:tc>
        <w:tc>
          <w:tcPr>
            <w:tcW w:type="dxa" w:w="6520"/>
          </w:tcPr>
          <w:p>
            <w:r/>
            <w:r>
              <w:rPr>
                <w:sz w:val="19"/>
              </w:rPr>
              <w:t>Max facility footprint</w:t>
            </w:r>
          </w:p>
        </w:tc>
        <w:tc>
          <w:tcPr>
            <w:tcW w:type="dxa" w:w="1134"/>
          </w:tcPr>
          <w:p>
            <w:pPr>
              <w:jc w:val="right"/>
            </w:pPr>
            <w:r/>
            <w:r>
              <w:rPr>
                <w:sz w:val="19"/>
              </w:rPr>
              <w:t>HIGH</w:t>
            </w:r>
          </w:p>
        </w:tc>
      </w:tr>
      <w:tr>
        <w:tc>
          <w:tcPr>
            <w:tcW w:type="dxa" w:w="850"/>
          </w:tcPr>
          <w:p>
            <w:r/>
            <w:r>
              <w:rPr>
                <w:sz w:val="19"/>
              </w:rPr>
              <w:t>A002</w:t>
            </w:r>
          </w:p>
        </w:tc>
        <w:tc>
          <w:tcPr>
            <w:tcW w:type="dxa" w:w="6520"/>
          </w:tcPr>
          <w:p>
            <w:r/>
            <w:r>
              <w:rPr>
                <w:sz w:val="19"/>
              </w:rPr>
              <w:t>Max clear/building height</w:t>
            </w:r>
          </w:p>
        </w:tc>
        <w:tc>
          <w:tcPr>
            <w:tcW w:type="dxa" w:w="1134"/>
          </w:tcPr>
          <w:p>
            <w:pPr>
              <w:jc w:val="right"/>
            </w:pPr>
            <w:r/>
            <w:r>
              <w:rPr>
                <w:sz w:val="19"/>
              </w:rPr>
              <w:t>HIGH</w:t>
            </w:r>
          </w:p>
        </w:tc>
      </w:tr>
      <w:tr>
        <w:tc>
          <w:tcPr>
            <w:tcW w:type="dxa" w:w="850"/>
          </w:tcPr>
          <w:p>
            <w:r/>
            <w:r>
              <w:rPr>
                <w:sz w:val="19"/>
              </w:rPr>
              <w:t>A003</w:t>
            </w:r>
          </w:p>
        </w:tc>
        <w:tc>
          <w:tcPr>
            <w:tcW w:type="dxa" w:w="6520"/>
          </w:tcPr>
          <w:p>
            <w:r/>
            <w:r>
              <w:rPr>
                <w:sz w:val="19"/>
              </w:rPr>
              <w:t>Analysis period is representative of normal operation</w:t>
            </w:r>
          </w:p>
        </w:tc>
        <w:tc>
          <w:tcPr>
            <w:tcW w:type="dxa" w:w="1134"/>
          </w:tcPr>
          <w:p>
            <w:pPr>
              <w:jc w:val="right"/>
            </w:pPr>
            <w:r/>
            <w:r>
              <w:rPr>
                <w:sz w:val="19"/>
              </w:rPr>
              <w:t>HIGH</w:t>
            </w:r>
          </w:p>
        </w:tc>
      </w:tr>
      <w:tr>
        <w:tc>
          <w:tcPr>
            <w:tcW w:type="dxa" w:w="850"/>
          </w:tcPr>
          <w:p>
            <w:r/>
            <w:r>
              <w:rPr>
                <w:sz w:val="19"/>
              </w:rPr>
              <w:t>A004</w:t>
            </w:r>
          </w:p>
        </w:tc>
        <w:tc>
          <w:tcPr>
            <w:tcW w:type="dxa" w:w="6520"/>
          </w:tcPr>
          <w:p>
            <w:r/>
            <w:r>
              <w:rPr>
                <w:sz w:val="19"/>
              </w:rPr>
              <w:t>Storage requirement is based on OCCUPIED LOCATIONS (pallet positions), not loads</w:t>
            </w:r>
          </w:p>
        </w:tc>
        <w:tc>
          <w:tcPr>
            <w:tcW w:type="dxa" w:w="1134"/>
          </w:tcPr>
          <w:p>
            <w:pPr>
              <w:jc w:val="right"/>
            </w:pPr>
            <w:r/>
            <w:r>
              <w:rPr>
                <w:sz w:val="19"/>
              </w:rPr>
              <w:t>HIGH</w:t>
            </w:r>
          </w:p>
        </w:tc>
      </w:tr>
      <w:tr>
        <w:tc>
          <w:tcPr>
            <w:tcW w:type="dxa" w:w="850"/>
          </w:tcPr>
          <w:p>
            <w:r/>
            <w:r>
              <w:rPr>
                <w:sz w:val="19"/>
              </w:rPr>
              <w:t>A005</w:t>
            </w:r>
          </w:p>
        </w:tc>
        <w:tc>
          <w:tcPr>
            <w:tcW w:type="dxa" w:w="6520"/>
          </w:tcPr>
          <w:p>
            <w:r/>
            <w:r>
              <w:rPr>
                <w:sz w:val="19"/>
              </w:rPr>
              <w:t>STAGED STATUS 'LATE' reflects staging vs the LATE SHIP window, i.e. a genuine on-time-staging miss</w:t>
            </w:r>
          </w:p>
        </w:tc>
        <w:tc>
          <w:tcPr>
            <w:tcW w:type="dxa" w:w="1134"/>
          </w:tcPr>
          <w:p>
            <w:pPr>
              <w:jc w:val="right"/>
            </w:pPr>
            <w:r/>
            <w:r>
              <w:rPr>
                <w:sz w:val="19"/>
              </w:rPr>
              <w:t>HIGH</w:t>
            </w:r>
          </w:p>
        </w:tc>
      </w:tr>
      <w:tr>
        <w:tc>
          <w:tcPr>
            <w:tcW w:type="dxa" w:w="850"/>
          </w:tcPr>
          <w:p>
            <w:r/>
            <w:r>
              <w:rPr>
                <w:sz w:val="19"/>
              </w:rPr>
              <w:t>A006</w:t>
            </w:r>
          </w:p>
        </w:tc>
        <w:tc>
          <w:tcPr>
            <w:tcW w:type="dxa" w:w="6520"/>
          </w:tcPr>
          <w:p>
            <w:r/>
            <w:r>
              <w:rPr>
                <w:sz w:val="19"/>
              </w:rPr>
              <w:t>No labour-productivity, MHE-fleet or cost data was provided</w:t>
            </w:r>
          </w:p>
        </w:tc>
        <w:tc>
          <w:tcPr>
            <w:tcW w:type="dxa" w:w="1134"/>
          </w:tcPr>
          <w:p>
            <w:pPr>
              <w:jc w:val="right"/>
            </w:pPr>
            <w:r/>
            <w:r>
              <w:rPr>
                <w:sz w:val="19"/>
              </w:rPr>
              <w:t>HIGH</w:t>
            </w:r>
          </w:p>
        </w:tc>
      </w:tr>
      <w:tr>
        <w:tc>
          <w:tcPr>
            <w:tcW w:type="dxa" w:w="850"/>
          </w:tcPr>
          <w:p>
            <w:r/>
            <w:r>
              <w:rPr>
                <w:sz w:val="19"/>
              </w:rPr>
              <w:t>A008</w:t>
            </w:r>
          </w:p>
        </w:tc>
        <w:tc>
          <w:tcPr>
            <w:tcW w:type="dxa" w:w="6520"/>
          </w:tcPr>
          <w:p>
            <w:r/>
            <w:r>
              <w:rPr>
                <w:sz w:val="19"/>
              </w:rPr>
              <w:t>The 7,000 m2 / 12.2 m envelope is the space available to DESIGN THE ASSA ABLOY operation within</w:t>
            </w:r>
          </w:p>
        </w:tc>
        <w:tc>
          <w:tcPr>
            <w:tcW w:type="dxa" w:w="1134"/>
          </w:tcPr>
          <w:p>
            <w:pPr>
              <w:jc w:val="right"/>
            </w:pPr>
            <w:r/>
            <w:r>
              <w:rPr>
                <w:sz w:val="19"/>
              </w:rPr>
              <w:t>HIGH</w:t>
            </w:r>
          </w:p>
        </w:tc>
      </w:tr>
      <w:tr>
        <w:tc>
          <w:tcPr>
            <w:tcW w:type="dxa" w:w="850"/>
          </w:tcPr>
          <w:p>
            <w:r/>
            <w:r>
              <w:rPr>
                <w:sz w:val="19"/>
              </w:rPr>
              <w:t>A010</w:t>
            </w:r>
          </w:p>
        </w:tc>
        <w:tc>
          <w:tcPr>
            <w:tcW w:type="dxa" w:w="6520"/>
          </w:tcPr>
          <w:p>
            <w:r/>
            <w:r>
              <w:rPr>
                <w:sz w:val="19"/>
              </w:rPr>
              <w:t>Design pallet-position target</w:t>
            </w:r>
          </w:p>
        </w:tc>
        <w:tc>
          <w:tcPr>
            <w:tcW w:type="dxa" w:w="1134"/>
          </w:tcPr>
          <w:p>
            <w:pPr>
              <w:jc w:val="right"/>
            </w:pPr>
            <w:r/>
            <w:r>
              <w:rPr>
                <w:sz w:val="19"/>
              </w:rPr>
              <w:t>HIGH</w:t>
            </w:r>
          </w:p>
        </w:tc>
      </w:tr>
      <w:tr>
        <w:tc>
          <w:tcPr>
            <w:tcW w:type="dxa" w:w="850"/>
          </w:tcPr>
          <w:p>
            <w:r/>
            <w:r>
              <w:rPr>
                <w:sz w:val="19"/>
              </w:rPr>
              <w:t>A013</w:t>
            </w:r>
          </w:p>
        </w:tc>
        <w:tc>
          <w:tcPr>
            <w:tcW w:type="dxa" w:w="6520"/>
          </w:tcPr>
          <w:p>
            <w:r/>
            <w:r>
              <w:rPr>
                <w:sz w:val="19"/>
              </w:rPr>
              <w:t>Functional (non-storage) areas sized from actual order volume</w:t>
            </w:r>
          </w:p>
        </w:tc>
        <w:tc>
          <w:tcPr>
            <w:tcW w:type="dxa" w:w="1134"/>
          </w:tcPr>
          <w:p>
            <w:pPr>
              <w:jc w:val="right"/>
            </w:pPr>
            <w:r/>
            <w:r>
              <w:rPr>
                <w:sz w:val="19"/>
              </w:rPr>
              <w:t>HIGH</w:t>
            </w:r>
          </w:p>
        </w:tc>
      </w:tr>
      <w:tr>
        <w:tc>
          <w:tcPr>
            <w:tcW w:type="dxa" w:w="850"/>
          </w:tcPr>
          <w:p>
            <w:r/>
            <w:r>
              <w:rPr>
                <w:sz w:val="19"/>
              </w:rPr>
              <w:t>A014</w:t>
            </w:r>
          </w:p>
        </w:tc>
        <w:tc>
          <w:tcPr>
            <w:tcW w:type="dxa" w:w="6520"/>
          </w:tcPr>
          <w:p>
            <w:r/>
            <w:r>
              <w:rPr>
                <w:sz w:val="19"/>
              </w:rPr>
              <w:t>Labour productivity benchmarks (units/person-hour)</w:t>
            </w:r>
          </w:p>
        </w:tc>
        <w:tc>
          <w:tcPr>
            <w:tcW w:type="dxa" w:w="1134"/>
          </w:tcPr>
          <w:p>
            <w:pPr>
              <w:jc w:val="right"/>
            </w:pPr>
            <w:r/>
            <w:r>
              <w:rPr>
                <w:sz w:val="19"/>
              </w:rPr>
              <w:t>HIGH</w:t>
            </w:r>
          </w:p>
        </w:tc>
      </w:tr>
      <w:tr>
        <w:tc>
          <w:tcPr>
            <w:tcW w:type="dxa" w:w="850"/>
          </w:tcPr>
          <w:p>
            <w:r/>
            <w:r>
              <w:rPr>
                <w:sz w:val="19"/>
              </w:rPr>
              <w:t>A017</w:t>
            </w:r>
          </w:p>
        </w:tc>
        <w:tc>
          <w:tcPr>
            <w:tcW w:type="dxa" w:w="6520"/>
          </w:tcPr>
          <w:p>
            <w:r/>
            <w:r>
              <w:rPr>
                <w:sz w:val="19"/>
              </w:rPr>
              <w:t>Peak-aware slotting: spread fast movers, duplicate extreme SKUs, balance picks/aisle on peak forecast</w:t>
            </w:r>
          </w:p>
        </w:tc>
        <w:tc>
          <w:tcPr>
            <w:tcW w:type="dxa" w:w="1134"/>
          </w:tcPr>
          <w:p>
            <w:pPr>
              <w:jc w:val="right"/>
            </w:pPr>
            <w:r/>
            <w:r>
              <w:rPr>
                <w:sz w:val="19"/>
              </w:rPr>
              <w:t>HIGH</w:t>
            </w:r>
          </w:p>
        </w:tc>
      </w:tr>
      <w:tr>
        <w:tc>
          <w:tcPr>
            <w:tcW w:type="dxa" w:w="850"/>
          </w:tcPr>
          <w:p>
            <w:r/>
            <w:r>
              <w:rPr>
                <w:sz w:val="19"/>
              </w:rPr>
              <w:t>A018</w:t>
            </w:r>
          </w:p>
        </w:tc>
        <w:tc>
          <w:tcPr>
            <w:tcW w:type="dxa" w:w="6520"/>
          </w:tcPr>
          <w:p>
            <w:r/>
            <w:r>
              <w:rPr>
                <w:sz w:val="19"/>
              </w:rPr>
              <w:t>Inbound arrives as 2 shipments per day, direct from Assa Abloy factories</w:t>
            </w:r>
          </w:p>
        </w:tc>
        <w:tc>
          <w:tcPr>
            <w:tcW w:type="dxa" w:w="1134"/>
          </w:tcPr>
          <w:p>
            <w:pPr>
              <w:jc w:val="right"/>
            </w:pPr>
            <w:r/>
            <w:r>
              <w:rPr>
                <w:sz w:val="19"/>
              </w:rPr>
              <w:t>HIGH</w:t>
            </w:r>
          </w:p>
        </w:tc>
      </w:tr>
      <w:tr>
        <w:tc>
          <w:tcPr>
            <w:tcW w:type="dxa" w:w="850"/>
          </w:tcPr>
          <w:p>
            <w:r/>
            <w:r>
              <w:rPr>
                <w:sz w:val="19"/>
              </w:rPr>
              <w:t>A019</w:t>
            </w:r>
          </w:p>
        </w:tc>
        <w:tc>
          <w:tcPr>
            <w:tcW w:type="dxa" w:w="6520"/>
          </w:tcPr>
          <w:p>
            <w:r/>
            <w:r>
              <w:rPr>
                <w:sz w:val="19"/>
              </w:rPr>
              <w:t>Part of inbound arrives LOOSE (floor-loaded sea containers) and is de-stuffed and palletised by hand</w:t>
            </w:r>
          </w:p>
        </w:tc>
        <w:tc>
          <w:tcPr>
            <w:tcW w:type="dxa" w:w="1134"/>
          </w:tcPr>
          <w:p>
            <w:pPr>
              <w:jc w:val="right"/>
            </w:pPr>
            <w:r/>
            <w:r>
              <w:rPr>
                <w:sz w:val="19"/>
              </w:rPr>
              <w:t>HIGH</w:t>
            </w:r>
          </w:p>
        </w:tc>
      </w:tr>
      <w:tr>
        <w:tc>
          <w:tcPr>
            <w:tcW w:type="dxa" w:w="850"/>
          </w:tcPr>
          <w:p>
            <w:r/>
            <w:r>
              <w:rPr>
                <w:sz w:val="19"/>
              </w:rPr>
              <w:t>A020</w:t>
            </w:r>
          </w:p>
        </w:tc>
        <w:tc>
          <w:tcPr>
            <w:tcW w:type="dxa" w:w="6520"/>
          </w:tcPr>
          <w:p>
            <w:r/>
            <w:r>
              <w:rPr>
                <w:sz w:val="19"/>
              </w:rPr>
              <w:t>Dock-door planning parameters</w:t>
            </w:r>
          </w:p>
        </w:tc>
        <w:tc>
          <w:tcPr>
            <w:tcW w:type="dxa" w:w="1134"/>
          </w:tcPr>
          <w:p>
            <w:pPr>
              <w:jc w:val="right"/>
            </w:pPr>
            <w:r/>
            <w:r>
              <w:rPr>
                <w:sz w:val="19"/>
              </w:rPr>
              <w:t>HIGH</w:t>
            </w:r>
          </w:p>
        </w:tc>
      </w:tr>
      <w:tr>
        <w:tc>
          <w:tcPr>
            <w:tcW w:type="dxa" w:w="850"/>
          </w:tcPr>
          <w:p>
            <w:r/>
            <w:r>
              <w:rPr>
                <w:sz w:val="19"/>
              </w:rPr>
              <w:t>A022</w:t>
            </w:r>
          </w:p>
        </w:tc>
        <w:tc>
          <w:tcPr>
            <w:tcW w:type="dxa" w:w="6520"/>
          </w:tcPr>
          <w:p>
            <w:r/>
            <w:r>
              <w:rPr>
                <w:sz w:val="19"/>
              </w:rPr>
              <w:t>Pick type is derived from what the client ordered, not from DHL's historical pick flags</w:t>
            </w:r>
          </w:p>
        </w:tc>
        <w:tc>
          <w:tcPr>
            <w:tcW w:type="dxa" w:w="1134"/>
          </w:tcPr>
          <w:p>
            <w:pPr>
              <w:jc w:val="right"/>
            </w:pPr>
            <w:r/>
            <w:r>
              <w:rPr>
                <w:sz w:val="19"/>
              </w:rPr>
              <w:t>HIGH</w:t>
            </w:r>
          </w:p>
        </w:tc>
      </w:tr>
      <w:tr>
        <w:tc>
          <w:tcPr>
            <w:tcW w:type="dxa" w:w="850"/>
          </w:tcPr>
          <w:p>
            <w:r/>
            <w:r>
              <w:rPr>
                <w:sz w:val="19"/>
              </w:rPr>
              <w:t>A024</w:t>
            </w:r>
          </w:p>
        </w:tc>
        <w:tc>
          <w:tcPr>
            <w:tcW w:type="dxa" w:w="6520"/>
          </w:tcPr>
          <w:p>
            <w:r/>
            <w:r>
              <w:rPr>
                <w:sz w:val="19"/>
              </w:rPr>
              <w:t>Picking is split by ORDER SIZE computed from SKU each-dimensions and weights</w:t>
            </w:r>
          </w:p>
        </w:tc>
        <w:tc>
          <w:tcPr>
            <w:tcW w:type="dxa" w:w="1134"/>
          </w:tcPr>
          <w:p>
            <w:pPr>
              <w:jc w:val="right"/>
            </w:pPr>
            <w:r/>
            <w:r>
              <w:rPr>
                <w:sz w:val="19"/>
              </w:rPr>
              <w:t>HIGH</w:t>
            </w:r>
          </w:p>
        </w:tc>
      </w:tr>
      <w:tr>
        <w:tc>
          <w:tcPr>
            <w:tcW w:type="dxa" w:w="850"/>
          </w:tcPr>
          <w:p>
            <w:r/>
            <w:r>
              <w:rPr>
                <w:sz w:val="19"/>
              </w:rPr>
              <w:t>A025</w:t>
            </w:r>
          </w:p>
        </w:tc>
        <w:tc>
          <w:tcPr>
            <w:tcW w:type="dxa" w:w="6520"/>
          </w:tcPr>
          <w:p>
            <w:r/>
            <w:r>
              <w:rPr>
                <w:sz w:val="19"/>
              </w:rPr>
              <w:t>Pick-time model parameters</w:t>
            </w:r>
          </w:p>
        </w:tc>
        <w:tc>
          <w:tcPr>
            <w:tcW w:type="dxa" w:w="1134"/>
          </w:tcPr>
          <w:p>
            <w:pPr>
              <w:jc w:val="right"/>
            </w:pPr>
            <w:r/>
            <w:r>
              <w:rPr>
                <w:sz w:val="19"/>
              </w:rPr>
              <w:t>HIGH</w:t>
            </w:r>
          </w:p>
        </w:tc>
      </w:tr>
    </w:tbl>
    <w:p>
      <w:pPr>
        <w:spacing w:after="40"/>
      </w:pPr>
    </w:p>
    <w:p>
      <w:pPr>
        <w:spacing w:after="120"/>
      </w:pPr>
      <w:r>
        <w:rPr>
          <w:b w:val="0"/>
          <w:i/>
          <w:color w:val="666666"/>
          <w:sz w:val="18"/>
        </w:rPr>
        <w:t>Sources: project brief, the Assa Abloy data files, teacher/DHL feedback and external references (Gadeyne on peak slotting; Jungheinrich equipment data) — full list in documentation/sources.md.</w:t>
      </w:r>
    </w:p>
    <w:sectPr w:rsidR="00FC693F" w:rsidRPr="0006063C" w:rsidSect="00034616">
      <w:footerReference w:type="default" r:id="rId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Project OTM — Assa Abloy @ DHL Bemmel  ·  Deliverable 1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4001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