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Performance Overview — KPIs, CAPEX &amp; OPEX</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b w:val="0"/>
                <w:sz w:val="19"/>
              </w:rPr>
              <w:t>Deliverable</w:t>
            </w:r>
          </w:p>
        </w:tc>
        <w:tc>
          <w:tcPr>
            <w:tcW w:type="dxa" w:w="6236"/>
          </w:tcPr>
          <w:p>
            <w:pPr>
              <w:keepNext/>
            </w:pPr>
            <w:r/>
            <w:r>
              <w:rPr>
                <w:b w:val="0"/>
                <w:sz w:val="19"/>
              </w:rPr>
              <w:t>3 — Performance overview including financial analysis</w:t>
            </w:r>
          </w:p>
        </w:tc>
      </w:tr>
      <w:tr>
        <w:trPr>
          <w:cantSplit/>
        </w:trPr>
        <w:tc>
          <w:tcPr>
            <w:tcW w:type="dxa" w:w="2551"/>
          </w:tcPr>
          <w:p>
            <w:pPr>
              <w:keepNext/>
            </w:pPr>
            <w:r/>
            <w:r>
              <w:rPr>
                <w:b w:val="0"/>
                <w:sz w:val="19"/>
              </w:rPr>
              <w:t>Due date</w:t>
            </w:r>
          </w:p>
        </w:tc>
        <w:tc>
          <w:tcPr>
            <w:tcW w:type="dxa" w:w="6236"/>
          </w:tcPr>
          <w:p>
            <w:pPr>
              <w:keepNext/>
            </w:pPr>
            <w:r/>
            <w:r>
              <w:rPr>
                <w:b w:val="0"/>
                <w:sz w:val="19"/>
              </w:rPr>
              <w:t>21-10-2026</w:t>
            </w:r>
          </w:p>
        </w:tc>
      </w:tr>
      <w:tr>
        <w:trPr>
          <w:cantSplit/>
        </w:trPr>
        <w:tc>
          <w:tcPr>
            <w:tcW w:type="dxa" w:w="2551"/>
          </w:tcPr>
          <w:p>
            <w:pPr>
              <w:keepNext/>
            </w:pPr>
            <w:r/>
            <w:r>
              <w:rPr>
                <w:b w:val="0"/>
                <w:sz w:val="19"/>
              </w:rPr>
              <w:t>Concept</w:t>
            </w:r>
          </w:p>
        </w:tc>
        <w:tc>
          <w:tcPr>
            <w:tcW w:type="dxa" w:w="6236"/>
          </w:tcPr>
          <w:p>
            <w:pPr>
              <w:keepNext/>
            </w:pPr>
            <w:r/>
            <w:r>
              <w:rPr>
                <w:b w:val="0"/>
                <w:sz w:val="19"/>
              </w:rPr>
              <w:t>Option B — single-deep racks, fast-pick area, zone + batch picking, wave release</w:t>
            </w:r>
          </w:p>
        </w:tc>
      </w:tr>
      <w:tr>
        <w:trPr>
          <w:cantSplit/>
        </w:trPr>
        <w:tc>
          <w:tcPr>
            <w:tcW w:type="dxa" w:w="2551"/>
          </w:tcPr>
          <w:p>
            <w:pPr>
              <w:keepNext/>
            </w:pPr>
            <w:r/>
            <w:r>
              <w:rPr>
                <w:b w:val="0"/>
                <w:sz w:val="19"/>
              </w:rPr>
              <w:t>Envelope</w:t>
            </w:r>
          </w:p>
        </w:tc>
        <w:tc>
          <w:tcPr>
            <w:tcW w:type="dxa" w:w="6236"/>
          </w:tcPr>
          <w:p>
            <w:pPr>
              <w:keepNext/>
            </w:pPr>
            <w:r/>
            <w:r>
              <w:rPr>
                <w:b w:val="0"/>
                <w:sz w:val="19"/>
              </w:rPr>
              <w:t>≤ 7,000 m² · ≤ 12.2 m (design uses 6,731 m²)</w:t>
            </w:r>
          </w:p>
        </w:tc>
      </w:tr>
      <w:tr>
        <w:trPr>
          <w:cantSplit/>
        </w:trPr>
        <w:tc>
          <w:tcPr>
            <w:tcW w:type="dxa" w:w="2551"/>
          </w:tcPr>
          <w:p>
            <w:pPr>
              <w:keepNext/>
            </w:pPr>
            <w:r/>
            <w:r>
              <w:rPr>
                <w:b w:val="0"/>
                <w:sz w:val="19"/>
              </w:rPr>
              <w:t>Team</w:t>
            </w:r>
          </w:p>
        </w:tc>
        <w:tc>
          <w:tcPr>
            <w:tcW w:type="dxa" w:w="6236"/>
          </w:tcPr>
          <w:p>
            <w:pPr>
              <w:keepNext/>
            </w:pPr>
            <w:r/>
            <w:r>
              <w:rPr>
                <w:b w:val="0"/>
                <w:sz w:val="19"/>
              </w:rPr>
              <w:t>Group 3 — Gleb, Rachel Selvarathnam, Arnau, Vidhi</w:t>
            </w:r>
          </w:p>
        </w:tc>
      </w:tr>
      <w:tr>
        <w:trPr>
          <w:cantSplit/>
        </w:trPr>
        <w:tc>
          <w:tcPr>
            <w:tcW w:type="dxa" w:w="2551"/>
          </w:tcPr>
          <w:p>
            <w:r/>
            <w:r>
              <w:rPr>
                <w:b w:val="0"/>
                <w:sz w:val="19"/>
              </w:rPr>
              <w:t>Supporting files</w:t>
            </w:r>
          </w:p>
        </w:tc>
        <w:tc>
          <w:tcPr>
            <w:tcW w:type="dxa" w:w="6236"/>
          </w:tcPr>
          <w:p>
            <w:r/>
            <w:r>
              <w:rPr>
                <w:b w:val="0"/>
                <w:sz w:val="19"/>
              </w:rPr>
              <w:t>Deliverable_3_Calculations.xlsx (all cost formulas) · Deliverables 1 and 2 (updated) · analysis/*.py</w:t>
            </w:r>
          </w:p>
        </w:tc>
      </w:tr>
    </w:tbl>
    <w:p>
      <w:pPr>
        <w:spacing w:after="40"/>
      </w:pPr>
    </w:p>
    <w:p>
      <w:pPr>
        <w:spacing w:after="120"/>
      </w:pPr>
      <w:r>
        <w:rPr>
          <w:b w:val="0"/>
          <w:i/>
          <w:color w:val="666666"/>
          <w:sz w:val="18"/>
        </w:rPr>
        <w:t>Expected performance and cost of the Option B design. Volumes are measured in the Assa Abloy Q2-2025 data; prices are public benchmarks or labelled assumptions (Section 7), never quotes. Every number can be rebuilt with analysis/performance_cost.py and checked in the calculation workbook.</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Summary</w:t>
      </w:r>
    </w:p>
    <w:p>
      <w:pPr>
        <w:keepNext/>
        <w:spacing w:after="80"/>
      </w:pPr>
      <w:r>
        <w:rPr>
          <w:b w:val="0"/>
          <w:i w:val="0"/>
          <w:color w:val="222222"/>
          <w:sz w:val="21"/>
        </w:rPr>
        <w:t>What the design delivers, what it costs, and what to watch:</w:t>
      </w:r>
    </w:p>
    <w:tbl>
      <w:tblPr>
        <w:tblStyle w:val="LightGrid-Accent1"/>
        <w:tblW w:type="auto" w:w="0"/>
        <w:jc w:val="center"/>
        <w:tblLayout w:type="fixed"/>
        <w:tblLook w:firstColumn="1" w:firstRow="1" w:lastColumn="0" w:lastRow="0" w:noHBand="0" w:noVBand="1" w:val="04A0"/>
      </w:tblPr>
      <w:tblGrid>
        <w:gridCol w:w="2494"/>
        <w:gridCol w:w="6576"/>
      </w:tblGrid>
      <w:tr>
        <w:trPr>
          <w:cantSplit/>
        </w:trPr>
        <w:tc>
          <w:tcPr>
            <w:tcW w:type="dxa" w:w="2494"/>
          </w:tcPr>
          <w:p>
            <w:pPr>
              <w:keepNext/>
            </w:pPr>
            <w:r/>
            <w:r>
              <w:rPr>
                <w:b/>
                <w:sz w:val="19"/>
              </w:rPr>
            </w:r>
          </w:p>
        </w:tc>
        <w:tc>
          <w:tcPr>
            <w:tcW w:type="dxa" w:w="6576"/>
          </w:tcPr>
          <w:p>
            <w:pPr>
              <w:keepNext/>
            </w:pPr>
            <w:r/>
            <w:r>
              <w:rPr>
                <w:b/>
                <w:sz w:val="19"/>
              </w:rPr>
              <w:t>Result</w:t>
            </w:r>
          </w:p>
        </w:tc>
      </w:tr>
      <w:tr>
        <w:trPr>
          <w:cantSplit/>
        </w:trPr>
        <w:tc>
          <w:tcPr>
            <w:tcW w:type="dxa" w:w="2494"/>
          </w:tcPr>
          <w:p>
            <w:pPr>
              <w:keepNext/>
            </w:pPr>
            <w:r/>
            <w:r>
              <w:rPr>
                <w:b w:val="0"/>
                <w:sz w:val="19"/>
              </w:rPr>
              <w:t>Picking effort</w:t>
            </w:r>
          </w:p>
        </w:tc>
        <w:tc>
          <w:tcPr>
            <w:tcW w:type="dxa" w:w="6576"/>
          </w:tcPr>
          <w:p>
            <w:pPr>
              <w:keepNext/>
            </w:pPr>
            <w:r/>
            <w:r>
              <w:rPr>
                <w:b w:val="0"/>
                <w:sz w:val="19"/>
              </w:rPr>
              <w:t>31 → 11 picker-hours a day (batching, fast-pick area, wave release)</w:t>
            </w:r>
          </w:p>
        </w:tc>
      </w:tr>
      <w:tr>
        <w:trPr>
          <w:cantSplit/>
        </w:trPr>
        <w:tc>
          <w:tcPr>
            <w:tcW w:type="dxa" w:w="2494"/>
          </w:tcPr>
          <w:p>
            <w:pPr>
              <w:keepNext/>
            </w:pPr>
            <w:r/>
            <w:r>
              <w:rPr>
                <w:b w:val="0"/>
                <w:sz w:val="19"/>
              </w:rPr>
              <w:t>Order lead time</w:t>
            </w:r>
          </w:p>
        </w:tc>
        <w:tc>
          <w:tcPr>
            <w:tcW w:type="dxa" w:w="6576"/>
          </w:tcPr>
          <w:p>
            <w:pPr>
              <w:keepNext/>
            </w:pPr>
            <w:r/>
            <w:r>
              <w:rPr>
                <w:b w:val="0"/>
                <w:sz w:val="19"/>
              </w:rPr>
              <w:t>orders out within 24 h: 37% → 65%; slowest 10% wait 102 h → 70 h</w:t>
            </w:r>
          </w:p>
        </w:tc>
      </w:tr>
      <w:tr>
        <w:trPr>
          <w:cantSplit/>
        </w:trPr>
        <w:tc>
          <w:tcPr>
            <w:tcW w:type="dxa" w:w="2494"/>
          </w:tcPr>
          <w:p>
            <w:pPr>
              <w:keepNext/>
            </w:pPr>
            <w:r/>
            <w:r>
              <w:rPr>
                <w:b w:val="0"/>
                <w:sz w:val="19"/>
              </w:rPr>
              <w:t>Trailers at the doors</w:t>
            </w:r>
          </w:p>
        </w:tc>
        <w:tc>
          <w:tcPr>
            <w:tcW w:type="dxa" w:w="6576"/>
          </w:tcPr>
          <w:p>
            <w:pPr>
              <w:keepNext/>
            </w:pPr>
            <w:r/>
            <w:r>
              <w:rPr>
                <w:b w:val="0"/>
                <w:sz w:val="19"/>
              </w:rPr>
              <w:t>15 parked at once → max 4 of 5 doors</w:t>
            </w:r>
          </w:p>
        </w:tc>
      </w:tr>
      <w:tr>
        <w:trPr>
          <w:cantSplit/>
        </w:trPr>
        <w:tc>
          <w:tcPr>
            <w:tcW w:type="dxa" w:w="2494"/>
          </w:tcPr>
          <w:p>
            <w:pPr>
              <w:keepNext/>
            </w:pPr>
            <w:r/>
            <w:r>
              <w:rPr>
                <w:b w:val="0"/>
                <w:sz w:val="19"/>
              </w:rPr>
              <w:t>Storage</w:t>
            </w:r>
          </w:p>
        </w:tc>
        <w:tc>
          <w:tcPr>
            <w:tcW w:type="dxa" w:w="6576"/>
          </w:tcPr>
          <w:p>
            <w:pPr>
              <w:keepNext/>
            </w:pPr>
            <w:r/>
            <w:r>
              <w:rPr>
                <w:b w:val="0"/>
                <w:sz w:val="19"/>
              </w:rPr>
              <w:t>9,504 single-deep positions in 6,731 m² (96% of 7,000 m²)</w:t>
            </w:r>
          </w:p>
        </w:tc>
      </w:tr>
      <w:tr>
        <w:trPr>
          <w:cantSplit/>
        </w:trPr>
        <w:tc>
          <w:tcPr>
            <w:tcW w:type="dxa" w:w="2494"/>
          </w:tcPr>
          <w:p>
            <w:pPr>
              <w:keepNext/>
            </w:pPr>
            <w:r/>
            <w:r>
              <w:rPr>
                <w:b w:val="0"/>
                <w:sz w:val="19"/>
              </w:rPr>
              <w:t>People and trucks</w:t>
            </w:r>
          </w:p>
        </w:tc>
        <w:tc>
          <w:tcPr>
            <w:tcW w:type="dxa" w:w="6576"/>
          </w:tcPr>
          <w:p>
            <w:pPr>
              <w:keepNext/>
            </w:pPr>
            <w:r/>
            <w:r>
              <w:rPr>
                <w:b w:val="0"/>
                <w:sz w:val="19"/>
              </w:rPr>
              <w:t>4.7 FTE on an average day, 8.6 on the peak day; 2 ETV 216i, 3 EJE 120i, 2 ERE 225, 6 trolleys</w:t>
            </w:r>
          </w:p>
        </w:tc>
      </w:tr>
      <w:tr>
        <w:trPr>
          <w:cantSplit/>
        </w:trPr>
        <w:tc>
          <w:tcPr>
            <w:tcW w:type="dxa" w:w="2494"/>
          </w:tcPr>
          <w:p>
            <w:pPr>
              <w:keepNext/>
            </w:pPr>
            <w:r/>
            <w:r>
              <w:rPr>
                <w:b w:val="0"/>
                <w:sz w:val="19"/>
              </w:rPr>
              <w:t>One-off investment (CAPEX)</w:t>
            </w:r>
          </w:p>
        </w:tc>
        <w:tc>
          <w:tcPr>
            <w:tcW w:type="dxa" w:w="6576"/>
          </w:tcPr>
          <w:p>
            <w:pPr>
              <w:keepNext/>
            </w:pPr>
            <w:r/>
            <w:r>
              <w:rPr>
                <w:b w:val="0"/>
                <w:sz w:val="19"/>
              </w:rPr>
              <w:t>€1,627k as all-new equipment; €461k if today's racking can be re-used</w:t>
            </w:r>
          </w:p>
        </w:tc>
      </w:tr>
      <w:tr>
        <w:trPr>
          <w:cantSplit/>
        </w:trPr>
        <w:tc>
          <w:tcPr>
            <w:tcW w:type="dxa" w:w="2494"/>
          </w:tcPr>
          <w:p>
            <w:pPr>
              <w:keepNext/>
            </w:pPr>
            <w:r/>
            <w:r>
              <w:rPr>
                <w:b w:val="0"/>
                <w:sz w:val="19"/>
              </w:rPr>
              <w:t>Running cost (OPEX)</w:t>
            </w:r>
          </w:p>
        </w:tc>
        <w:tc>
          <w:tcPr>
            <w:tcW w:type="dxa" w:w="6576"/>
          </w:tcPr>
          <w:p>
            <w:pPr>
              <w:keepNext/>
            </w:pPr>
            <w:r/>
            <w:r>
              <w:rPr>
                <w:b w:val="0"/>
                <w:sz w:val="19"/>
              </w:rPr>
              <w:t>€455k a year (69% of the yearly cost is labour); €590k incl. depreciation</w:t>
            </w:r>
          </w:p>
        </w:tc>
      </w:tr>
      <w:tr>
        <w:trPr>
          <w:cantSplit/>
        </w:trPr>
        <w:tc>
          <w:tcPr>
            <w:tcW w:type="dxa" w:w="2494"/>
          </w:tcPr>
          <w:p>
            <w:pPr>
              <w:keepNext/>
            </w:pPr>
            <w:r/>
            <w:r>
              <w:rPr>
                <w:b w:val="0"/>
                <w:sz w:val="19"/>
              </w:rPr>
              <w:t>Cost per unit</w:t>
            </w:r>
          </w:p>
        </w:tc>
        <w:tc>
          <w:tcPr>
            <w:tcW w:type="dxa" w:w="6576"/>
          </w:tcPr>
          <w:p>
            <w:pPr>
              <w:keepNext/>
            </w:pPr>
            <w:r/>
            <w:r>
              <w:rPr>
                <w:b w:val="0"/>
                <w:sz w:val="19"/>
              </w:rPr>
              <w:t>€3.78 per order line · €16.80 per order</w:t>
            </w:r>
          </w:p>
        </w:tc>
      </w:tr>
      <w:tr>
        <w:trPr>
          <w:cantSplit/>
        </w:trPr>
        <w:tc>
          <w:tcPr>
            <w:tcW w:type="dxa" w:w="2494"/>
          </w:tcPr>
          <w:p>
            <w:r/>
            <w:r>
              <w:rPr>
                <w:b w:val="0"/>
                <w:sz w:val="19"/>
              </w:rPr>
              <w:t>Saving and payback</w:t>
            </w:r>
          </w:p>
        </w:tc>
        <w:tc>
          <w:tcPr>
            <w:tcW w:type="dxa" w:w="6576"/>
          </w:tcPr>
          <w:p>
            <w:r/>
            <w:r>
              <w:rPr>
                <w:b w:val="0"/>
                <w:sz w:val="19"/>
              </w:rPr>
              <w:t>~€144k a year in picking labour → payback 3.2 years (re-used racking) or 11.3 years (all new)</w:t>
            </w:r>
          </w:p>
        </w:tc>
      </w:tr>
    </w:tbl>
    <w:p>
      <w:pPr>
        <w:spacing w:after="40"/>
      </w:pPr>
    </w:p>
    <w:p>
      <w:pPr>
        <w:pStyle w:val="ListBullet"/>
      </w:pPr>
      <w:r>
        <w:rPr>
          <w:b w:val="0"/>
          <w:sz w:val="21"/>
        </w:rPr>
      </w:r>
      <w:r>
        <w:rPr>
          <w:b/>
          <w:sz w:val="21"/>
        </w:rPr>
        <w:t>The biggest win is in picking and planning, not in steel.</w:t>
      </w:r>
      <w:r>
        <w:rPr>
          <w:b w:val="0"/>
          <w:sz w:val="21"/>
        </w:rPr>
        <w:t xml:space="preserve"> Batching small orders, a fast-pick area for the best-sellers and releasing work in waves cut the picking hours by about two thirds. The racking is the biggest cost but saves little labour on its own.</w:t>
      </w:r>
    </w:p>
    <w:p>
      <w:pPr>
        <w:pStyle w:val="ListBullet"/>
      </w:pPr>
      <w:r>
        <w:rPr>
          <w:b w:val="0"/>
          <w:sz w:val="21"/>
        </w:rPr>
      </w:r>
      <w:r>
        <w:rPr>
          <w:b/>
          <w:sz w:val="21"/>
        </w:rPr>
        <w:t>Watch the storage space.</w:t>
      </w:r>
      <w:r>
        <w:rPr>
          <w:b w:val="0"/>
          <w:sz w:val="21"/>
        </w:rPr>
        <w:t xml:space="preserve"> Occupied locations grew 16% a quarter between April and June. If that continues, the 9,504 positions are full in about 2 months. Clearing dead stock (21% of loads have been in stock for more than a year, D1) and keeping room for a 12th rack module are part of the plan.</w:t>
      </w:r>
    </w:p>
    <w:p>
      <w:pPr>
        <w:pStyle w:val="ListBullet"/>
      </w:pPr>
      <w:r>
        <w:rPr>
          <w:b w:val="0"/>
          <w:sz w:val="21"/>
        </w:rPr>
      </w:r>
      <w:r>
        <w:rPr>
          <w:b/>
          <w:sz w:val="21"/>
        </w:rPr>
        <w:t>Machinery was checked again:</w:t>
      </w:r>
      <w:r>
        <w:rPr>
          <w:b w:val="0"/>
          <w:sz w:val="21"/>
        </w:rPr>
        <w:t xml:space="preserve"> single-deep racks need no telescopic forks; with a full-service lease no spare trucks are needed, so the fleet goes from 3 to 2 reach trucks and from 4 to 3 pallet trucks (Section 4).</w:t>
      </w:r>
    </w:p>
    <w:p>
      <w:pPr>
        <w:pStyle w:val="ListBullet"/>
      </w:pPr>
      <w:r>
        <w:rPr>
          <w:b w:val="0"/>
          <w:sz w:val="21"/>
        </w:rPr>
      </w:r>
      <w:r>
        <w:rPr>
          <w:b/>
          <w:sz w:val="21"/>
        </w:rPr>
        <w:t>Loose containers get their own 190 m² zone</w:t>
      </w:r>
      <w:r>
        <w:rPr>
          <w:b w:val="0"/>
          <w:sz w:val="21"/>
        </w:rPr>
        <w:t xml:space="preserve"> at door R1. A DHL crew costs about €179 per container; a contractor is only worth it below that price.</w:t>
      </w:r>
    </w:p>
    <w:p>
      <w:r>
        <w:br w:type="page"/>
      </w:r>
    </w:p>
    <w:p>
      <w:pPr>
        <w:pStyle w:val="Heading1"/>
      </w:pPr>
      <w:r>
        <w:t>1. What changed since Deliverable 2</w:t>
      </w:r>
    </w:p>
    <w:p>
      <w:pPr>
        <w:spacing w:after="80"/>
      </w:pPr>
      <w:r>
        <w:rPr>
          <w:b w:val="0"/>
          <w:i w:val="0"/>
          <w:color w:val="222222"/>
          <w:sz w:val="21"/>
        </w:rPr>
        <w:t>Feedback and a final check of the design led to these changes. Deliverables 1 and 2 were regenerated so all three documents use the same numbers.</w:t>
      </w:r>
    </w:p>
    <w:tbl>
      <w:tblPr>
        <w:tblStyle w:val="LightGrid-Accent1"/>
        <w:tblW w:type="auto" w:w="0"/>
        <w:jc w:val="center"/>
        <w:tblLayout w:type="fixed"/>
        <w:tblLook w:firstColumn="1" w:firstRow="1" w:lastColumn="0" w:lastRow="0" w:noHBand="0" w:noVBand="1" w:val="04A0"/>
      </w:tblPr>
      <w:tblGrid>
        <w:gridCol w:w="1587"/>
        <w:gridCol w:w="2154"/>
        <w:gridCol w:w="2381"/>
        <w:gridCol w:w="2948"/>
      </w:tblGrid>
      <w:tr>
        <w:trPr>
          <w:cantSplit/>
        </w:trPr>
        <w:tc>
          <w:tcPr>
            <w:tcW w:type="dxa" w:w="1587"/>
          </w:tcPr>
          <w:p>
            <w:pPr>
              <w:keepNext/>
            </w:pPr>
            <w:r/>
            <w:r>
              <w:rPr>
                <w:b/>
                <w:sz w:val="19"/>
              </w:rPr>
              <w:t>Topic</w:t>
            </w:r>
          </w:p>
        </w:tc>
        <w:tc>
          <w:tcPr>
            <w:tcW w:type="dxa" w:w="2154"/>
          </w:tcPr>
          <w:p>
            <w:pPr>
              <w:keepNext/>
            </w:pPr>
            <w:r/>
            <w:r>
              <w:rPr>
                <w:b/>
                <w:sz w:val="19"/>
              </w:rPr>
              <w:t>Before (D1 / D2)</w:t>
            </w:r>
          </w:p>
        </w:tc>
        <w:tc>
          <w:tcPr>
            <w:tcW w:type="dxa" w:w="2381"/>
          </w:tcPr>
          <w:p>
            <w:pPr>
              <w:keepNext/>
            </w:pPr>
            <w:r/>
            <w:r>
              <w:rPr>
                <w:b/>
                <w:sz w:val="19"/>
              </w:rPr>
              <w:t>Now</w:t>
            </w:r>
          </w:p>
        </w:tc>
        <w:tc>
          <w:tcPr>
            <w:tcW w:type="dxa" w:w="2948"/>
          </w:tcPr>
          <w:p>
            <w:pPr>
              <w:keepNext/>
            </w:pPr>
            <w:r/>
            <w:r>
              <w:rPr>
                <w:b/>
                <w:sz w:val="19"/>
              </w:rPr>
              <w:t>Why</w:t>
            </w:r>
          </w:p>
        </w:tc>
      </w:tr>
      <w:tr>
        <w:trPr>
          <w:cantSplit/>
        </w:trPr>
        <w:tc>
          <w:tcPr>
            <w:tcW w:type="dxa" w:w="1587"/>
          </w:tcPr>
          <w:p>
            <w:pPr>
              <w:keepNext/>
            </w:pPr>
            <w:r/>
            <w:r>
              <w:rPr>
                <w:b w:val="0"/>
                <w:sz w:val="19"/>
              </w:rPr>
              <w:t>Racking</w:t>
            </w:r>
          </w:p>
        </w:tc>
        <w:tc>
          <w:tcPr>
            <w:tcW w:type="dxa" w:w="2154"/>
          </w:tcPr>
          <w:p>
            <w:pPr>
              <w:keepNext/>
            </w:pPr>
            <w:r/>
            <w:r>
              <w:rPr>
                <w:b w:val="0"/>
                <w:sz w:val="19"/>
              </w:rPr>
              <w:t>Double-deep, telescopic forks</w:t>
            </w:r>
          </w:p>
        </w:tc>
        <w:tc>
          <w:tcPr>
            <w:tcW w:type="dxa" w:w="2381"/>
          </w:tcPr>
          <w:p>
            <w:pPr>
              <w:keepNext/>
            </w:pPr>
            <w:r/>
            <w:r>
              <w:rPr>
                <w:b w:val="0"/>
                <w:sz w:val="19"/>
              </w:rPr>
              <w:t>Single-deep, back-to-back (9,504 positions)</w:t>
            </w:r>
          </w:p>
        </w:tc>
        <w:tc>
          <w:tcPr>
            <w:tcW w:type="dxa" w:w="2948"/>
          </w:tcPr>
          <w:p>
            <w:pPr>
              <w:keepNext/>
            </w:pPr>
            <w:r/>
            <w:r>
              <w:rPr>
                <w:b w:val="0"/>
                <w:sz w:val="19"/>
              </w:rPr>
              <w:t>Team decision: no two-deep racks; every pallet now directly reachable</w:t>
            </w:r>
          </w:p>
        </w:tc>
      </w:tr>
      <w:tr>
        <w:trPr>
          <w:cantSplit/>
        </w:trPr>
        <w:tc>
          <w:tcPr>
            <w:tcW w:type="dxa" w:w="1587"/>
          </w:tcPr>
          <w:p>
            <w:pPr>
              <w:keepNext/>
            </w:pPr>
            <w:r/>
            <w:r>
              <w:rPr>
                <w:b w:val="0"/>
                <w:sz w:val="19"/>
              </w:rPr>
              <w:t>Loose containers</w:t>
            </w:r>
          </w:p>
        </w:tc>
        <w:tc>
          <w:tcPr>
            <w:tcW w:type="dxa" w:w="2154"/>
          </w:tcPr>
          <w:p>
            <w:pPr>
              <w:keepNext/>
            </w:pPr>
            <w:r/>
            <w:r>
              <w:rPr>
                <w:b w:val="0"/>
                <w:sz w:val="19"/>
              </w:rPr>
              <w:t>Unpacked at door R1</w:t>
            </w:r>
          </w:p>
        </w:tc>
        <w:tc>
          <w:tcPr>
            <w:tcW w:type="dxa" w:w="2381"/>
          </w:tcPr>
          <w:p>
            <w:pPr>
              <w:keepNext/>
            </w:pPr>
            <w:r/>
            <w:r>
              <w:rPr>
                <w:b w:val="0"/>
                <w:sz w:val="19"/>
              </w:rPr>
              <w:t>Own 190 m² zone behind R1</w:t>
            </w:r>
          </w:p>
        </w:tc>
        <w:tc>
          <w:tcPr>
            <w:tcW w:type="dxa" w:w="2948"/>
          </w:tcPr>
          <w:p>
            <w:pPr>
              <w:keepNext/>
            </w:pPr>
            <w:r/>
            <w:r>
              <w:rPr>
                <w:b w:val="0"/>
                <w:sz w:val="19"/>
              </w:rPr>
              <w:t>Feedback from the last meeting: a separate zone for loose containers</w:t>
            </w:r>
          </w:p>
        </w:tc>
      </w:tr>
      <w:tr>
        <w:trPr>
          <w:cantSplit/>
        </w:trPr>
        <w:tc>
          <w:tcPr>
            <w:tcW w:type="dxa" w:w="1587"/>
          </w:tcPr>
          <w:p>
            <w:pPr>
              <w:keepNext/>
            </w:pPr>
            <w:r/>
            <w:r>
              <w:rPr>
                <w:b w:val="0"/>
                <w:sz w:val="19"/>
              </w:rPr>
              <w:t>Reach trucks</w:t>
            </w:r>
          </w:p>
        </w:tc>
        <w:tc>
          <w:tcPr>
            <w:tcW w:type="dxa" w:w="2154"/>
          </w:tcPr>
          <w:p>
            <w:pPr>
              <w:keepNext/>
            </w:pPr>
            <w:r/>
            <w:r>
              <w:rPr>
                <w:b w:val="0"/>
                <w:sz w:val="19"/>
              </w:rPr>
              <w:t>3 × ETV 216i</w:t>
            </w:r>
          </w:p>
        </w:tc>
        <w:tc>
          <w:tcPr>
            <w:tcW w:type="dxa" w:w="2381"/>
          </w:tcPr>
          <w:p>
            <w:pPr>
              <w:keepNext/>
            </w:pPr>
            <w:r/>
            <w:r>
              <w:rPr>
                <w:b w:val="0"/>
                <w:sz w:val="19"/>
              </w:rPr>
              <w:t>2 × ETV 216i</w:t>
            </w:r>
          </w:p>
        </w:tc>
        <w:tc>
          <w:tcPr>
            <w:tcW w:type="dxa" w:w="2948"/>
          </w:tcPr>
          <w:p>
            <w:pPr>
              <w:keepNext/>
            </w:pPr>
            <w:r/>
            <w:r>
              <w:rPr>
                <w:b w:val="0"/>
                <w:sz w:val="19"/>
              </w:rPr>
              <w:t>2 cover the peak day; lease includes repair</w:t>
            </w:r>
          </w:p>
        </w:tc>
      </w:tr>
      <w:tr>
        <w:trPr>
          <w:cantSplit/>
        </w:trPr>
        <w:tc>
          <w:tcPr>
            <w:tcW w:type="dxa" w:w="1587"/>
          </w:tcPr>
          <w:p>
            <w:pPr>
              <w:keepNext/>
            </w:pPr>
            <w:r/>
            <w:r>
              <w:rPr>
                <w:b w:val="0"/>
                <w:sz w:val="19"/>
              </w:rPr>
              <w:t>Pallet trucks</w:t>
            </w:r>
          </w:p>
        </w:tc>
        <w:tc>
          <w:tcPr>
            <w:tcW w:type="dxa" w:w="2154"/>
          </w:tcPr>
          <w:p>
            <w:pPr>
              <w:keepNext/>
            </w:pPr>
            <w:r/>
            <w:r>
              <w:rPr>
                <w:b w:val="0"/>
                <w:sz w:val="19"/>
              </w:rPr>
              <w:t>4 × EJE 120i</w:t>
            </w:r>
          </w:p>
        </w:tc>
        <w:tc>
          <w:tcPr>
            <w:tcW w:type="dxa" w:w="2381"/>
          </w:tcPr>
          <w:p>
            <w:pPr>
              <w:keepNext/>
            </w:pPr>
            <w:r/>
            <w:r>
              <w:rPr>
                <w:b w:val="0"/>
                <w:sz w:val="19"/>
              </w:rPr>
              <w:t>3 × EJE 120i</w:t>
            </w:r>
          </w:p>
        </w:tc>
        <w:tc>
          <w:tcPr>
            <w:tcW w:type="dxa" w:w="2948"/>
          </w:tcPr>
          <w:p>
            <w:pPr>
              <w:keepNext/>
            </w:pPr>
            <w:r/>
            <w:r>
              <w:rPr>
                <w:b w:val="0"/>
                <w:sz w:val="19"/>
              </w:rPr>
              <w:t>3 cover the peak day</w:t>
            </w:r>
          </w:p>
        </w:tc>
      </w:tr>
      <w:tr>
        <w:trPr>
          <w:cantSplit/>
        </w:trPr>
        <w:tc>
          <w:tcPr>
            <w:tcW w:type="dxa" w:w="1587"/>
          </w:tcPr>
          <w:p>
            <w:pPr>
              <w:keepNext/>
            </w:pPr>
            <w:r/>
            <w:r>
              <w:rPr>
                <w:b w:val="0"/>
                <w:sz w:val="19"/>
              </w:rPr>
              <w:t>Floor area</w:t>
            </w:r>
          </w:p>
        </w:tc>
        <w:tc>
          <w:tcPr>
            <w:tcW w:type="dxa" w:w="2154"/>
          </w:tcPr>
          <w:p>
            <w:pPr>
              <w:keepNext/>
            </w:pPr>
            <w:r/>
            <w:r>
              <w:rPr>
                <w:b w:val="0"/>
                <w:sz w:val="19"/>
              </w:rPr>
              <w:t>6,541 m² (93%)</w:t>
            </w:r>
          </w:p>
        </w:tc>
        <w:tc>
          <w:tcPr>
            <w:tcW w:type="dxa" w:w="2381"/>
          </w:tcPr>
          <w:p>
            <w:pPr>
              <w:keepNext/>
            </w:pPr>
            <w:r/>
            <w:r>
              <w:rPr>
                <w:b w:val="0"/>
                <w:sz w:val="19"/>
              </w:rPr>
              <w:t>6,731 m² (96%)</w:t>
            </w:r>
          </w:p>
        </w:tc>
        <w:tc>
          <w:tcPr>
            <w:tcW w:type="dxa" w:w="2948"/>
          </w:tcPr>
          <w:p>
            <w:pPr>
              <w:keepNext/>
            </w:pPr>
            <w:r/>
            <w:r>
              <w:rPr>
                <w:b w:val="0"/>
                <w:sz w:val="19"/>
              </w:rPr>
              <w:t>+190 m² container zone</w:t>
            </w:r>
          </w:p>
        </w:tc>
      </w:tr>
      <w:tr>
        <w:trPr>
          <w:cantSplit/>
        </w:trPr>
        <w:tc>
          <w:tcPr>
            <w:tcW w:type="dxa" w:w="1587"/>
          </w:tcPr>
          <w:p>
            <w:r/>
            <w:r>
              <w:rPr>
                <w:b w:val="0"/>
                <w:sz w:val="19"/>
              </w:rPr>
              <w:t>Lead time</w:t>
            </w:r>
          </w:p>
        </w:tc>
        <w:tc>
          <w:tcPr>
            <w:tcW w:type="dxa" w:w="2154"/>
          </w:tcPr>
          <w:p>
            <w:r/>
            <w:r>
              <w:rPr>
                <w:b w:val="0"/>
                <w:sz w:val="19"/>
              </w:rPr>
              <w:t>counted per order line (median 52 h)</w:t>
            </w:r>
          </w:p>
        </w:tc>
        <w:tc>
          <w:tcPr>
            <w:tcW w:type="dxa" w:w="2381"/>
          </w:tcPr>
          <w:p>
            <w:r/>
            <w:r>
              <w:rPr>
                <w:b w:val="0"/>
                <w:sz w:val="19"/>
              </w:rPr>
              <w:t>counted per order (median 25 h)</w:t>
            </w:r>
          </w:p>
        </w:tc>
        <w:tc>
          <w:tcPr>
            <w:tcW w:type="dxa" w:w="2948"/>
          </w:tcPr>
          <w:p>
            <w:r/>
            <w:r>
              <w:rPr>
                <w:b w:val="0"/>
                <w:sz w:val="19"/>
              </w:rPr>
              <w:t>an order is what the customer waits for</w:t>
            </w:r>
          </w:p>
        </w:tc>
      </w:tr>
    </w:tbl>
    <w:p>
      <w:pPr>
        <w:spacing w:after="40"/>
      </w:pPr>
    </w:p>
    <w:p>
      <w:pPr>
        <w:keepNext/>
        <w:jc w:val="center"/>
      </w:pPr>
      <w:r>
        <w:drawing>
          <wp:inline xmlns:a="http://schemas.openxmlformats.org/drawingml/2006/main" xmlns:pic="http://schemas.openxmlformats.org/drawingml/2006/picture">
            <wp:extent cx="5940000" cy="3970609"/>
            <wp:docPr id="1" name="Picture 1"/>
            <wp:cNvGraphicFramePr>
              <a:graphicFrameLocks noChangeAspect="1"/>
            </wp:cNvGraphicFramePr>
            <a:graphic>
              <a:graphicData uri="http://schemas.openxmlformats.org/drawingml/2006/picture">
                <pic:pic>
                  <pic:nvPicPr>
                    <pic:cNvPr id="0" name="layout_orderflow.png"/>
                    <pic:cNvPicPr/>
                  </pic:nvPicPr>
                  <pic:blipFill>
                    <a:blip r:embed="rId9"/>
                    <a:stretch>
                      <a:fillRect/>
                    </a:stretch>
                  </pic:blipFill>
                  <pic:spPr>
                    <a:xfrm>
                      <a:off x="0" y="0"/>
                      <a:ext cx="5940000" cy="3970609"/>
                    </a:xfrm>
                    <a:prstGeom prst="rect"/>
                  </pic:spPr>
                </pic:pic>
              </a:graphicData>
            </a:graphic>
          </wp:inline>
        </w:drawing>
      </w:r>
    </w:p>
    <w:p>
      <w:pPr>
        <w:spacing w:after="200"/>
        <w:jc w:val="center"/>
      </w:pPr>
      <w:r>
        <w:rPr>
          <w:b w:val="0"/>
          <w:i/>
          <w:color w:val="666666"/>
          <w:sz w:val="17"/>
        </w:rPr>
        <w:t>Fig 1. Updated floor plan with the loose-container zone (C) and the main order flow (1–6).</w:t>
      </w:r>
    </w:p>
    <w:p>
      <w:pPr>
        <w:pStyle w:val="Heading1"/>
      </w:pPr>
      <w:r>
        <w:t>2. KPIs — how we will measure the design</w:t>
      </w:r>
    </w:p>
    <w:p>
      <w:pPr>
        <w:spacing w:after="80"/>
      </w:pPr>
      <w:r>
        <w:rPr>
          <w:b w:val="0"/>
          <w:i w:val="0"/>
          <w:color w:val="222222"/>
          <w:sz w:val="21"/>
        </w:rPr>
        <w:t>We chose KPIs that cover every part of the operation and that DHL can measure with its own WMS. They follow the W3 lecture list (dock-to-stock, put-away time, pick rate, on-time shipment, S017) and add space, people, machinery, cost and safety. Each KPI has a clear way to measure it, today's value where the data shows it, the value we expect from the design, and a target.</w:t>
      </w:r>
    </w:p>
    <w:p>
      <w:pPr>
        <w:keepNext/>
        <w:spacing w:after="40"/>
      </w:pPr>
      <w:r>
        <w:rPr>
          <w:b/>
          <w:i w:val="0"/>
          <w:color w:val="222222"/>
          <w:sz w:val="21"/>
        </w:rPr>
        <w:t>Space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pPr>
              <w:keepNext/>
            </w:pPr>
            <w:r/>
            <w:r>
              <w:rPr>
                <w:b w:val="0"/>
                <w:sz w:val="19"/>
              </w:rPr>
              <w:t>Pallet positions vs peak need</w:t>
            </w:r>
          </w:p>
        </w:tc>
        <w:tc>
          <w:tcPr>
            <w:tcW w:type="dxa" w:w="2041"/>
          </w:tcPr>
          <w:p>
            <w:pPr>
              <w:keepNext/>
            </w:pPr>
            <w:r/>
            <w:r>
              <w:rPr>
                <w:b w:val="0"/>
                <w:sz w:val="19"/>
              </w:rPr>
              <w:t>positions provided / peak occupied locations</w:t>
            </w:r>
          </w:p>
        </w:tc>
        <w:tc>
          <w:tcPr>
            <w:tcW w:type="dxa" w:w="1701"/>
          </w:tcPr>
          <w:p>
            <w:pPr>
              <w:keepNext/>
            </w:pPr>
            <w:r/>
            <w:r>
              <w:rPr>
                <w:b w:val="0"/>
                <w:sz w:val="19"/>
              </w:rPr>
              <w:t>8,512 occupied (peak)</w:t>
            </w:r>
          </w:p>
        </w:tc>
        <w:tc>
          <w:tcPr>
            <w:tcW w:type="dxa" w:w="2154"/>
          </w:tcPr>
          <w:p>
            <w:pPr>
              <w:keepNext/>
            </w:pPr>
            <w:r/>
            <w:r>
              <w:rPr>
                <w:b w:val="0"/>
                <w:sz w:val="19"/>
              </w:rPr>
              <w:t>9,504 positions (90% full at peak, 85% on average)</w:t>
            </w:r>
          </w:p>
        </w:tc>
        <w:tc>
          <w:tcPr>
            <w:tcW w:type="dxa" w:w="1474"/>
          </w:tcPr>
          <w:p>
            <w:pPr>
              <w:keepNext/>
            </w:pPr>
            <w:r/>
            <w:r>
              <w:rPr>
                <w:b w:val="0"/>
                <w:sz w:val="19"/>
              </w:rPr>
              <w:t>≤ 90% full at peak (A010)</w:t>
            </w:r>
          </w:p>
        </w:tc>
      </w:tr>
      <w:tr>
        <w:trPr>
          <w:cantSplit/>
        </w:trPr>
        <w:tc>
          <w:tcPr>
            <w:tcW w:type="dxa" w:w="1701"/>
          </w:tcPr>
          <w:p>
            <w:pPr>
              <w:keepNext/>
            </w:pPr>
            <w:r/>
            <w:r>
              <w:rPr>
                <w:b w:val="0"/>
                <w:sz w:val="19"/>
              </w:rPr>
              <w:t>Floor area used</w:t>
            </w:r>
          </w:p>
        </w:tc>
        <w:tc>
          <w:tcPr>
            <w:tcW w:type="dxa" w:w="2041"/>
          </w:tcPr>
          <w:p>
            <w:pPr>
              <w:keepNext/>
            </w:pPr>
            <w:r/>
            <w:r>
              <w:rPr>
                <w:b w:val="0"/>
                <w:sz w:val="19"/>
              </w:rPr>
              <w:t>zones + aisles / 7,000 m²</w:t>
            </w:r>
          </w:p>
        </w:tc>
        <w:tc>
          <w:tcPr>
            <w:tcW w:type="dxa" w:w="1701"/>
          </w:tcPr>
          <w:p>
            <w:pPr>
              <w:keepNext/>
            </w:pPr>
            <w:r/>
            <w:r>
              <w:rPr>
                <w:b w:val="0"/>
                <w:sz w:val="19"/>
              </w:rPr>
              <w:t>—</w:t>
            </w:r>
          </w:p>
        </w:tc>
        <w:tc>
          <w:tcPr>
            <w:tcW w:type="dxa" w:w="2154"/>
          </w:tcPr>
          <w:p>
            <w:pPr>
              <w:keepNext/>
            </w:pPr>
            <w:r/>
            <w:r>
              <w:rPr>
                <w:b w:val="0"/>
                <w:sz w:val="19"/>
              </w:rPr>
              <w:t>6,731 m² (96%)</w:t>
            </w:r>
          </w:p>
        </w:tc>
        <w:tc>
          <w:tcPr>
            <w:tcW w:type="dxa" w:w="1474"/>
          </w:tcPr>
          <w:p>
            <w:pPr>
              <w:keepNext/>
            </w:pPr>
            <w:r/>
            <w:r>
              <w:rPr>
                <w:b w:val="0"/>
                <w:sz w:val="19"/>
              </w:rPr>
              <w:t>≤ 7,000 m²</w:t>
            </w:r>
          </w:p>
        </w:tc>
      </w:tr>
      <w:tr>
        <w:trPr>
          <w:cantSplit/>
        </w:trPr>
        <w:tc>
          <w:tcPr>
            <w:tcW w:type="dxa" w:w="1701"/>
          </w:tcPr>
          <w:p>
            <w:r/>
            <w:r>
              <w:rPr>
                <w:b w:val="0"/>
                <w:sz w:val="19"/>
              </w:rPr>
              <w:t>Storage headroom</w:t>
            </w:r>
          </w:p>
        </w:tc>
        <w:tc>
          <w:tcPr>
            <w:tcW w:type="dxa" w:w="2041"/>
          </w:tcPr>
          <w:p>
            <w:r/>
            <w:r>
              <w:rPr>
                <w:b w:val="0"/>
                <w:sz w:val="19"/>
              </w:rPr>
              <w:t>months until the racks are full if stock keeps growing as in Apr–Jun</w:t>
            </w:r>
          </w:p>
        </w:tc>
        <w:tc>
          <w:tcPr>
            <w:tcW w:type="dxa" w:w="1701"/>
          </w:tcPr>
          <w:p>
            <w:r/>
            <w:r>
              <w:rPr>
                <w:b w:val="0"/>
                <w:sz w:val="19"/>
              </w:rPr>
              <w:t>+10% locations in 2 months</w:t>
            </w:r>
          </w:p>
        </w:tc>
        <w:tc>
          <w:tcPr>
            <w:tcW w:type="dxa" w:w="2154"/>
          </w:tcPr>
          <w:p>
            <w:r/>
            <w:r>
              <w:rPr>
                <w:b w:val="0"/>
                <w:sz w:val="19"/>
              </w:rPr>
              <w:t>~2 months</w:t>
            </w:r>
          </w:p>
        </w:tc>
        <w:tc>
          <w:tcPr>
            <w:tcW w:type="dxa" w:w="1474"/>
          </w:tcPr>
          <w:p>
            <w:r/>
            <w:r>
              <w:rPr>
                <w:b w:val="0"/>
                <w:sz w:val="19"/>
              </w:rPr>
              <w:t>≥ 12 months → clear dead stock, add a 12th rack module</w:t>
            </w:r>
          </w:p>
        </w:tc>
      </w:tr>
    </w:tbl>
    <w:p>
      <w:pPr>
        <w:spacing w:after="40"/>
      </w:pPr>
    </w:p>
    <w:p>
      <w:pPr>
        <w:keepNext/>
        <w:spacing w:after="40"/>
      </w:pPr>
      <w:r>
        <w:rPr>
          <w:b/>
          <w:i w:val="0"/>
          <w:color w:val="222222"/>
          <w:sz w:val="21"/>
        </w:rPr>
        <w:t>Inbound</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pPr>
              <w:keepNext/>
            </w:pPr>
            <w:r/>
            <w:r>
              <w:rPr>
                <w:b w:val="0"/>
                <w:sz w:val="19"/>
              </w:rPr>
              <w:t>Dock-to-stock time</w:t>
            </w:r>
          </w:p>
        </w:tc>
        <w:tc>
          <w:tcPr>
            <w:tcW w:type="dxa" w:w="2041"/>
          </w:tcPr>
          <w:p>
            <w:pPr>
              <w:keepNext/>
            </w:pPr>
            <w:r/>
            <w:r>
              <w:rPr>
                <w:b w:val="0"/>
                <w:sz w:val="19"/>
              </w:rPr>
              <w:t>truck at the door → pallet in its location</w:t>
            </w:r>
          </w:p>
        </w:tc>
        <w:tc>
          <w:tcPr>
            <w:tcW w:type="dxa" w:w="1701"/>
          </w:tcPr>
          <w:p>
            <w:pPr>
              <w:keepNext/>
            </w:pPr>
            <w:r/>
            <w:r>
              <w:rPr>
                <w:b w:val="0"/>
                <w:sz w:val="19"/>
              </w:rPr>
              <w:t>large China receipts take 1–3 days to book in</w:t>
            </w:r>
          </w:p>
        </w:tc>
        <w:tc>
          <w:tcPr>
            <w:tcW w:type="dxa" w:w="2154"/>
          </w:tcPr>
          <w:p>
            <w:pPr>
              <w:keepNext/>
            </w:pPr>
            <w:r/>
            <w:r>
              <w:rPr>
                <w:b w:val="0"/>
                <w:sz w:val="19"/>
              </w:rPr>
              <w:t>~1.5 h per palletised trailer; ~3.8 h per loose container</w:t>
            </w:r>
          </w:p>
        </w:tc>
        <w:tc>
          <w:tcPr>
            <w:tcW w:type="dxa" w:w="1474"/>
          </w:tcPr>
          <w:p>
            <w:pPr>
              <w:keepNext/>
            </w:pPr>
            <w:r/>
            <w:r>
              <w:rPr>
                <w:b w:val="0"/>
                <w:sz w:val="19"/>
              </w:rPr>
              <w:t>&lt; 3.5 h best-in-class (S023)</w:t>
            </w:r>
          </w:p>
        </w:tc>
      </w:tr>
      <w:tr>
        <w:trPr>
          <w:cantSplit/>
        </w:trPr>
        <w:tc>
          <w:tcPr>
            <w:tcW w:type="dxa" w:w="1701"/>
          </w:tcPr>
          <w:p>
            <w:r/>
            <w:r>
              <w:rPr>
                <w:b w:val="0"/>
                <w:sz w:val="19"/>
              </w:rPr>
              <w:t>Put-away cycle time</w:t>
            </w:r>
          </w:p>
        </w:tc>
        <w:tc>
          <w:tcPr>
            <w:tcW w:type="dxa" w:w="2041"/>
          </w:tcPr>
          <w:p>
            <w:r/>
            <w:r>
              <w:rPr>
                <w:b w:val="0"/>
                <w:sz w:val="19"/>
              </w:rPr>
              <w:t>minutes per pallet, reach truck</w:t>
            </w:r>
          </w:p>
        </w:tc>
        <w:tc>
          <w:tcPr>
            <w:tcW w:type="dxa" w:w="1701"/>
          </w:tcPr>
          <w:p>
            <w:r/>
            <w:r>
              <w:rPr>
                <w:b w:val="0"/>
                <w:sz w:val="19"/>
              </w:rPr>
              <w:t>—</w:t>
            </w:r>
          </w:p>
        </w:tc>
        <w:tc>
          <w:tcPr>
            <w:tcW w:type="dxa" w:w="2154"/>
          </w:tcPr>
          <w:p>
            <w:r/>
            <w:r>
              <w:rPr>
                <w:b w:val="0"/>
                <w:sz w:val="19"/>
              </w:rPr>
              <w:t>2.4 min per pallet (~25 per truck-hour)</w:t>
            </w:r>
          </w:p>
        </w:tc>
        <w:tc>
          <w:tcPr>
            <w:tcW w:type="dxa" w:w="1474"/>
          </w:tcPr>
          <w:p>
            <w:r/>
            <w:r>
              <w:rPr>
                <w:b w:val="0"/>
                <w:sz w:val="19"/>
              </w:rPr>
              <w:t>≤ 3 min</w:t>
            </w:r>
          </w:p>
        </w:tc>
      </w:tr>
    </w:tbl>
    <w:p>
      <w:pPr>
        <w:spacing w:after="40"/>
      </w:pPr>
    </w:p>
    <w:p>
      <w:pPr>
        <w:keepNext/>
        <w:spacing w:after="40"/>
      </w:pPr>
      <w:r>
        <w:rPr>
          <w:b/>
          <w:i w:val="0"/>
          <w:color w:val="222222"/>
          <w:sz w:val="21"/>
        </w:rPr>
        <w:t>Picking</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pPr>
              <w:keepNext/>
            </w:pPr>
            <w:r/>
            <w:r>
              <w:rPr>
                <w:b w:val="0"/>
                <w:sz w:val="19"/>
              </w:rPr>
              <w:t>Pick rate</w:t>
            </w:r>
          </w:p>
        </w:tc>
        <w:tc>
          <w:tcPr>
            <w:tcW w:type="dxa" w:w="2041"/>
          </w:tcPr>
          <w:p>
            <w:pPr>
              <w:keepNext/>
            </w:pPr>
            <w:r/>
            <w:r>
              <w:rPr>
                <w:b w:val="0"/>
                <w:sz w:val="19"/>
              </w:rPr>
              <w:t>order lines per picker-hour</w:t>
            </w:r>
          </w:p>
        </w:tc>
        <w:tc>
          <w:tcPr>
            <w:tcW w:type="dxa" w:w="1701"/>
          </w:tcPr>
          <w:p>
            <w:pPr>
              <w:keepNext/>
            </w:pPr>
            <w:r/>
            <w:r>
              <w:rPr>
                <w:b w:val="0"/>
                <w:sz w:val="19"/>
              </w:rPr>
              <w:t>—</w:t>
            </w:r>
          </w:p>
        </w:tc>
        <w:tc>
          <w:tcPr>
            <w:tcW w:type="dxa" w:w="2154"/>
          </w:tcPr>
          <w:p>
            <w:pPr>
              <w:keepNext/>
            </w:pPr>
            <w:r/>
            <w:r>
              <w:rPr>
                <w:b w:val="0"/>
                <w:sz w:val="19"/>
              </w:rPr>
              <w:t>~56 lines/h (fast-pick 99, reserve 62, large orders 44)</w:t>
            </w:r>
          </w:p>
        </w:tc>
        <w:tc>
          <w:tcPr>
            <w:tcW w:type="dxa" w:w="1474"/>
          </w:tcPr>
          <w:p>
            <w:pPr>
              <w:keepNext/>
            </w:pPr>
            <w:r/>
            <w:r>
              <w:rPr>
                <w:b w:val="0"/>
                <w:sz w:val="19"/>
              </w:rPr>
              <w:t>≥ 50 lines/h</w:t>
            </w:r>
          </w:p>
        </w:tc>
      </w:tr>
      <w:tr>
        <w:trPr>
          <w:cantSplit/>
        </w:trPr>
        <w:tc>
          <w:tcPr>
            <w:tcW w:type="dxa" w:w="1701"/>
          </w:tcPr>
          <w:p>
            <w:pPr>
              <w:keepNext/>
            </w:pPr>
            <w:r/>
            <w:r>
              <w:rPr>
                <w:b w:val="0"/>
                <w:sz w:val="19"/>
              </w:rPr>
              <w:t>Picking hours per day</w:t>
            </w:r>
          </w:p>
        </w:tc>
        <w:tc>
          <w:tcPr>
            <w:tcW w:type="dxa" w:w="2041"/>
          </w:tcPr>
          <w:p>
            <w:pPr>
              <w:keepNext/>
            </w:pPr>
            <w:r/>
            <w:r>
              <w:rPr>
                <w:b w:val="0"/>
                <w:sz w:val="19"/>
              </w:rPr>
              <w:t>picker-hours, average day</w:t>
            </w:r>
          </w:p>
        </w:tc>
        <w:tc>
          <w:tcPr>
            <w:tcW w:type="dxa" w:w="1701"/>
          </w:tcPr>
          <w:p>
            <w:pPr>
              <w:keepNext/>
            </w:pPr>
            <w:r/>
            <w:r>
              <w:rPr>
                <w:b w:val="0"/>
                <w:sz w:val="19"/>
              </w:rPr>
              <w:t>~31 h (modelled: single-order picking, staffed for the 08:00 peak)</w:t>
            </w:r>
          </w:p>
        </w:tc>
        <w:tc>
          <w:tcPr>
            <w:tcW w:type="dxa" w:w="2154"/>
          </w:tcPr>
          <w:p>
            <w:pPr>
              <w:keepNext/>
            </w:pPr>
            <w:r/>
            <w:r>
              <w:rPr>
                <w:b w:val="0"/>
                <w:sz w:val="19"/>
              </w:rPr>
              <w:t>11.4 h</w:t>
            </w:r>
          </w:p>
        </w:tc>
        <w:tc>
          <w:tcPr>
            <w:tcW w:type="dxa" w:w="1474"/>
          </w:tcPr>
          <w:p>
            <w:pPr>
              <w:keepNext/>
            </w:pPr>
            <w:r/>
            <w:r>
              <w:rPr>
                <w:b w:val="0"/>
                <w:sz w:val="19"/>
              </w:rPr>
              <w:t>—</w:t>
            </w:r>
          </w:p>
        </w:tc>
      </w:tr>
      <w:tr>
        <w:trPr>
          <w:cantSplit/>
        </w:trPr>
        <w:tc>
          <w:tcPr>
            <w:tcW w:type="dxa" w:w="1701"/>
          </w:tcPr>
          <w:p>
            <w:r/>
            <w:r>
              <w:rPr>
                <w:b w:val="0"/>
                <w:sz w:val="19"/>
              </w:rPr>
              <w:t>Pick accuracy</w:t>
            </w:r>
          </w:p>
        </w:tc>
        <w:tc>
          <w:tcPr>
            <w:tcW w:type="dxa" w:w="2041"/>
          </w:tcPr>
          <w:p>
            <w:r/>
            <w:r>
              <w:rPr>
                <w:b w:val="0"/>
                <w:sz w:val="19"/>
              </w:rPr>
              <w:t>% of orders without a picking error</w:t>
            </w:r>
          </w:p>
        </w:tc>
        <w:tc>
          <w:tcPr>
            <w:tcW w:type="dxa" w:w="1701"/>
          </w:tcPr>
          <w:p>
            <w:r/>
            <w:r>
              <w:rPr>
                <w:b w:val="0"/>
                <w:sz w:val="19"/>
              </w:rPr>
              <w:t>not in the data</w:t>
            </w:r>
          </w:p>
        </w:tc>
        <w:tc>
          <w:tcPr>
            <w:tcW w:type="dxa" w:w="2154"/>
          </w:tcPr>
          <w:p>
            <w:r/>
            <w:r>
              <w:rPr>
                <w:b w:val="0"/>
                <w:sz w:val="19"/>
              </w:rPr>
              <w:t>≥ 99.7% (scan every pick + put-to-light check)</w:t>
            </w:r>
          </w:p>
        </w:tc>
        <w:tc>
          <w:tcPr>
            <w:tcW w:type="dxa" w:w="1474"/>
          </w:tcPr>
          <w:p>
            <w:r/>
            <w:r>
              <w:rPr>
                <w:b w:val="0"/>
                <w:sz w:val="19"/>
              </w:rPr>
              <w:t>median 99.3%, best 99.68% (S023)</w:t>
            </w:r>
          </w:p>
        </w:tc>
      </w:tr>
    </w:tbl>
    <w:p>
      <w:pPr>
        <w:spacing w:after="40"/>
      </w:pPr>
    </w:p>
    <w:p>
      <w:pPr>
        <w:keepNext/>
        <w:spacing w:after="40"/>
      </w:pPr>
      <w:r>
        <w:rPr>
          <w:b/>
          <w:i w:val="0"/>
          <w:color w:val="222222"/>
          <w:sz w:val="21"/>
        </w:rPr>
        <w:t>Service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pPr>
              <w:keepNext/>
            </w:pPr>
            <w:r/>
            <w:r>
              <w:rPr>
                <w:b w:val="0"/>
                <w:sz w:val="19"/>
              </w:rPr>
              <w:t>Order lead time (per order)</w:t>
            </w:r>
          </w:p>
        </w:tc>
        <w:tc>
          <w:tcPr>
            <w:tcW w:type="dxa" w:w="2041"/>
          </w:tcPr>
          <w:p>
            <w:pPr>
              <w:keepNext/>
            </w:pPr>
            <w:r/>
            <w:r>
              <w:rPr>
                <w:b w:val="0"/>
                <w:sz w:val="19"/>
              </w:rPr>
              <w:t>order received → trailer leaves</w:t>
            </w:r>
          </w:p>
        </w:tc>
        <w:tc>
          <w:tcPr>
            <w:tcW w:type="dxa" w:w="1701"/>
          </w:tcPr>
          <w:p>
            <w:pPr>
              <w:keepNext/>
            </w:pPr>
            <w:r/>
            <w:r>
              <w:rPr>
                <w:b w:val="0"/>
                <w:sz w:val="19"/>
              </w:rPr>
              <w:t>median 25 h, p90 102 h</w:t>
            </w:r>
          </w:p>
        </w:tc>
        <w:tc>
          <w:tcPr>
            <w:tcW w:type="dxa" w:w="2154"/>
          </w:tcPr>
          <w:p>
            <w:pPr>
              <w:keepNext/>
            </w:pPr>
            <w:r/>
            <w:r>
              <w:rPr>
                <w:b w:val="0"/>
                <w:sz w:val="19"/>
              </w:rPr>
              <w:t>median 22 h, p90 70 h</w:t>
            </w:r>
          </w:p>
        </w:tc>
        <w:tc>
          <w:tcPr>
            <w:tcW w:type="dxa" w:w="1474"/>
          </w:tcPr>
          <w:p>
            <w:pPr>
              <w:keepNext/>
            </w:pPr>
            <w:r/>
            <w:r>
              <w:rPr>
                <w:b w:val="0"/>
                <w:sz w:val="19"/>
              </w:rPr>
              <w:t>next day; same day if in before 12:00</w:t>
            </w:r>
          </w:p>
        </w:tc>
      </w:tr>
      <w:tr>
        <w:trPr>
          <w:cantSplit/>
        </w:trPr>
        <w:tc>
          <w:tcPr>
            <w:tcW w:type="dxa" w:w="1701"/>
          </w:tcPr>
          <w:p>
            <w:pPr>
              <w:keepNext/>
            </w:pPr>
            <w:r/>
            <w:r>
              <w:rPr>
                <w:b w:val="0"/>
                <w:sz w:val="19"/>
              </w:rPr>
              <w:t>Orders shipped the same day</w:t>
            </w:r>
          </w:p>
        </w:tc>
        <w:tc>
          <w:tcPr>
            <w:tcW w:type="dxa" w:w="2041"/>
          </w:tcPr>
          <w:p>
            <w:pPr>
              <w:keepNext/>
            </w:pPr>
            <w:r/>
            <w:r>
              <w:rPr>
                <w:b w:val="0"/>
                <w:sz w:val="19"/>
              </w:rPr>
              <w:t>% of orders</w:t>
            </w:r>
          </w:p>
        </w:tc>
        <w:tc>
          <w:tcPr>
            <w:tcW w:type="dxa" w:w="1701"/>
          </w:tcPr>
          <w:p>
            <w:pPr>
              <w:keepNext/>
            </w:pPr>
            <w:r/>
            <w:r>
              <w:rPr>
                <w:b w:val="0"/>
                <w:sz w:val="19"/>
              </w:rPr>
              <w:t>26%</w:t>
            </w:r>
          </w:p>
        </w:tc>
        <w:tc>
          <w:tcPr>
            <w:tcW w:type="dxa" w:w="2154"/>
          </w:tcPr>
          <w:p>
            <w:pPr>
              <w:keepNext/>
            </w:pPr>
            <w:r/>
            <w:r>
              <w:rPr>
                <w:b w:val="0"/>
                <w:sz w:val="19"/>
              </w:rPr>
              <w:t>29%</w:t>
            </w:r>
          </w:p>
        </w:tc>
        <w:tc>
          <w:tcPr>
            <w:tcW w:type="dxa" w:w="1474"/>
          </w:tcPr>
          <w:p>
            <w:pPr>
              <w:keepNext/>
            </w:pPr>
            <w:r/>
            <w:r>
              <w:rPr>
                <w:b w:val="0"/>
                <w:sz w:val="19"/>
              </w:rPr>
              <w:t>all orders in before 12:00</w:t>
            </w:r>
          </w:p>
        </w:tc>
      </w:tr>
      <w:tr>
        <w:trPr>
          <w:cantSplit/>
        </w:trPr>
        <w:tc>
          <w:tcPr>
            <w:tcW w:type="dxa" w:w="1701"/>
          </w:tcPr>
          <w:p>
            <w:r/>
            <w:r>
              <w:rPr>
                <w:b w:val="0"/>
                <w:sz w:val="19"/>
              </w:rPr>
              <w:t>On-time staging</w:t>
            </w:r>
          </w:p>
        </w:tc>
        <w:tc>
          <w:tcPr>
            <w:tcW w:type="dxa" w:w="2041"/>
          </w:tcPr>
          <w:p>
            <w:r/>
            <w:r>
              <w:rPr>
                <w:b w:val="0"/>
                <w:sz w:val="19"/>
              </w:rPr>
              <w:t>% of lines staged before the planned departure</w:t>
            </w:r>
          </w:p>
        </w:tc>
        <w:tc>
          <w:tcPr>
            <w:tcW w:type="dxa" w:w="1701"/>
          </w:tcPr>
          <w:p>
            <w:r/>
            <w:r>
              <w:rPr>
                <w:b w:val="0"/>
                <w:sz w:val="19"/>
              </w:rPr>
              <w:t>49.9% (50.1% 'LATE', A005)</w:t>
            </w:r>
          </w:p>
        </w:tc>
        <w:tc>
          <w:tcPr>
            <w:tcW w:type="dxa" w:w="2154"/>
          </w:tcPr>
          <w:p>
            <w:r/>
            <w:r>
              <w:rPr>
                <w:b w:val="0"/>
                <w:sz w:val="19"/>
              </w:rPr>
              <w:t>≥ 98% (waves planned back from departures)</w:t>
            </w:r>
          </w:p>
        </w:tc>
        <w:tc>
          <w:tcPr>
            <w:tcW w:type="dxa" w:w="1474"/>
          </w:tcPr>
          <w:p>
            <w:r/>
            <w:r>
              <w:rPr>
                <w:b w:val="0"/>
                <w:sz w:val="19"/>
              </w:rPr>
              <w:t>≥ 98%</w:t>
            </w:r>
          </w:p>
        </w:tc>
      </w:tr>
    </w:tbl>
    <w:p>
      <w:pPr>
        <w:spacing w:after="40"/>
      </w:pPr>
    </w:p>
    <w:p>
      <w:pPr>
        <w:keepNext/>
        <w:spacing w:after="40"/>
      </w:pPr>
      <w:r>
        <w:rPr>
          <w:b/>
          <w:i w:val="0"/>
          <w:color w:val="222222"/>
          <w:sz w:val="21"/>
        </w:rPr>
        <w:t>Docks</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r/>
            <w:r>
              <w:rPr>
                <w:b w:val="0"/>
                <w:sz w:val="19"/>
              </w:rPr>
              <w:t>Trailers at the doors at once</w:t>
            </w:r>
          </w:p>
        </w:tc>
        <w:tc>
          <w:tcPr>
            <w:tcW w:type="dxa" w:w="2041"/>
          </w:tcPr>
          <w:p>
            <w:r/>
            <w:r>
              <w:rPr>
                <w:b w:val="0"/>
                <w:sz w:val="19"/>
              </w:rPr>
              <w:t>busy day, p90</w:t>
            </w:r>
          </w:p>
        </w:tc>
        <w:tc>
          <w:tcPr>
            <w:tcW w:type="dxa" w:w="1701"/>
          </w:tcPr>
          <w:p>
            <w:r/>
            <w:r>
              <w:rPr>
                <w:b w:val="0"/>
                <w:sz w:val="19"/>
              </w:rPr>
              <w:t>15 (parked all day)</w:t>
            </w:r>
          </w:p>
        </w:tc>
        <w:tc>
          <w:tcPr>
            <w:tcW w:type="dxa" w:w="2154"/>
          </w:tcPr>
          <w:p>
            <w:r/>
            <w:r>
              <w:rPr>
                <w:b w:val="0"/>
                <w:sz w:val="19"/>
              </w:rPr>
              <w:t>max 4 of 5 doors (time slots)</w:t>
            </w:r>
          </w:p>
        </w:tc>
        <w:tc>
          <w:tcPr>
            <w:tcW w:type="dxa" w:w="1474"/>
          </w:tcPr>
          <w:p>
            <w:r/>
            <w:r>
              <w:rPr>
                <w:b w:val="0"/>
                <w:sz w:val="19"/>
              </w:rPr>
              <w:t>≤ 5 doors</w:t>
            </w:r>
          </w:p>
        </w:tc>
      </w:tr>
    </w:tbl>
    <w:p>
      <w:pPr>
        <w:spacing w:after="40"/>
      </w:pPr>
    </w:p>
    <w:p>
      <w:pPr>
        <w:keepNext/>
        <w:spacing w:after="40"/>
      </w:pPr>
      <w:r>
        <w:rPr>
          <w:b/>
          <w:i w:val="0"/>
          <w:color w:val="222222"/>
          <w:sz w:val="21"/>
        </w:rPr>
        <w:t>People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pPr>
              <w:keepNext/>
            </w:pPr>
            <w:r/>
            <w:r>
              <w:rPr>
                <w:b w:val="0"/>
                <w:sz w:val="19"/>
              </w:rPr>
              <w:t>Direct labour</w:t>
            </w:r>
          </w:p>
        </w:tc>
        <w:tc>
          <w:tcPr>
            <w:tcW w:type="dxa" w:w="2041"/>
          </w:tcPr>
          <w:p>
            <w:pPr>
              <w:keepNext/>
            </w:pPr>
            <w:r/>
            <w:r>
              <w:rPr>
                <w:b w:val="0"/>
                <w:sz w:val="19"/>
              </w:rPr>
              <w:t>FTE, average / peak day</w:t>
            </w:r>
          </w:p>
        </w:tc>
        <w:tc>
          <w:tcPr>
            <w:tcW w:type="dxa" w:w="1701"/>
          </w:tcPr>
          <w:p>
            <w:pPr>
              <w:keepNext/>
            </w:pPr>
            <w:r/>
            <w:r>
              <w:rPr>
                <w:b w:val="0"/>
                <w:sz w:val="19"/>
              </w:rPr>
              <w:t>not in the data</w:t>
            </w:r>
          </w:p>
        </w:tc>
        <w:tc>
          <w:tcPr>
            <w:tcW w:type="dxa" w:w="2154"/>
          </w:tcPr>
          <w:p>
            <w:pPr>
              <w:keepNext/>
            </w:pPr>
            <w:r/>
            <w:r>
              <w:rPr>
                <w:b w:val="0"/>
                <w:sz w:val="19"/>
              </w:rPr>
              <w:t>4.7 / 8.6 FTE + 1.5 indirect</w:t>
            </w:r>
          </w:p>
        </w:tc>
        <w:tc>
          <w:tcPr>
            <w:tcW w:type="dxa" w:w="1474"/>
          </w:tcPr>
          <w:p>
            <w:pPr>
              <w:keepNext/>
            </w:pPr>
            <w:r/>
            <w:r>
              <w:rPr>
                <w:b w:val="0"/>
                <w:sz w:val="19"/>
              </w:rPr>
              <w:t>—</w:t>
            </w:r>
          </w:p>
        </w:tc>
      </w:tr>
      <w:tr>
        <w:trPr>
          <w:cantSplit/>
        </w:trPr>
        <w:tc>
          <w:tcPr>
            <w:tcW w:type="dxa" w:w="1701"/>
          </w:tcPr>
          <w:p>
            <w:r/>
            <w:r>
              <w:rPr>
                <w:b w:val="0"/>
                <w:sz w:val="19"/>
              </w:rPr>
              <w:t>Labour productivity</w:t>
            </w:r>
          </w:p>
        </w:tc>
        <w:tc>
          <w:tcPr>
            <w:tcW w:type="dxa" w:w="2041"/>
          </w:tcPr>
          <w:p>
            <w:r/>
            <w:r>
              <w:rPr>
                <w:b w:val="0"/>
                <w:sz w:val="19"/>
              </w:rPr>
              <w:t>order lines per direct labour hour</w:t>
            </w:r>
          </w:p>
        </w:tc>
        <w:tc>
          <w:tcPr>
            <w:tcW w:type="dxa" w:w="1701"/>
          </w:tcPr>
          <w:p>
            <w:r/>
            <w:r>
              <w:rPr>
                <w:b w:val="0"/>
                <w:sz w:val="19"/>
              </w:rPr>
              <w:t>—</w:t>
            </w:r>
          </w:p>
        </w:tc>
        <w:tc>
          <w:tcPr>
            <w:tcW w:type="dxa" w:w="2154"/>
          </w:tcPr>
          <w:p>
            <w:r/>
            <w:r>
              <w:rPr>
                <w:b w:val="0"/>
                <w:sz w:val="19"/>
              </w:rPr>
              <w:t>18.3 lines/h</w:t>
            </w:r>
          </w:p>
        </w:tc>
        <w:tc>
          <w:tcPr>
            <w:tcW w:type="dxa" w:w="1474"/>
          </w:tcPr>
          <w:p>
            <w:r/>
            <w:r>
              <w:rPr>
                <w:b w:val="0"/>
                <w:sz w:val="19"/>
              </w:rPr>
              <w:t>—</w:t>
            </w:r>
          </w:p>
        </w:tc>
      </w:tr>
    </w:tbl>
    <w:p>
      <w:pPr>
        <w:spacing w:after="40"/>
      </w:pPr>
    </w:p>
    <w:p>
      <w:pPr>
        <w:keepNext/>
        <w:spacing w:after="40"/>
      </w:pPr>
      <w:r>
        <w:rPr>
          <w:b/>
          <w:i w:val="0"/>
          <w:color w:val="222222"/>
          <w:sz w:val="21"/>
        </w:rPr>
        <w:t>Machinery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r/>
            <w:r>
              <w:rPr>
                <w:b w:val="0"/>
                <w:sz w:val="19"/>
              </w:rPr>
              <w:t>Truck utilisation (average day)</w:t>
            </w:r>
          </w:p>
        </w:tc>
        <w:tc>
          <w:tcPr>
            <w:tcW w:type="dxa" w:w="2041"/>
          </w:tcPr>
          <w:p>
            <w:r/>
            <w:r>
              <w:rPr>
                <w:b w:val="0"/>
                <w:sz w:val="19"/>
              </w:rPr>
              <w:t>operating h / (units × 7.5 h)</w:t>
            </w:r>
          </w:p>
        </w:tc>
        <w:tc>
          <w:tcPr>
            <w:tcW w:type="dxa" w:w="1701"/>
          </w:tcPr>
          <w:p>
            <w:r/>
            <w:r>
              <w:rPr>
                <w:b w:val="0"/>
                <w:sz w:val="19"/>
              </w:rPr>
              <w:t>—</w:t>
            </w:r>
          </w:p>
        </w:tc>
        <w:tc>
          <w:tcPr>
            <w:tcW w:type="dxa" w:w="2154"/>
          </w:tcPr>
          <w:p>
            <w:r/>
            <w:r>
              <w:rPr>
                <w:b w:val="0"/>
                <w:sz w:val="19"/>
              </w:rPr>
              <w:t>ETV 33% · EJE 35% · ERE 14%</w:t>
            </w:r>
          </w:p>
        </w:tc>
        <w:tc>
          <w:tcPr>
            <w:tcW w:type="dxa" w:w="1474"/>
          </w:tcPr>
          <w:p>
            <w:r/>
            <w:r>
              <w:rPr>
                <w:b w:val="0"/>
                <w:sz w:val="19"/>
              </w:rPr>
              <w:t>peak day ≤ 80%</w:t>
            </w:r>
          </w:p>
        </w:tc>
      </w:tr>
    </w:tbl>
    <w:p>
      <w:pPr>
        <w:spacing w:after="40"/>
      </w:pPr>
    </w:p>
    <w:p>
      <w:pPr>
        <w:keepNext/>
        <w:spacing w:after="40"/>
      </w:pPr>
      <w:r>
        <w:rPr>
          <w:b/>
          <w:i w:val="0"/>
          <w:color w:val="222222"/>
          <w:sz w:val="21"/>
        </w:rPr>
        <w:t>Cost</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pPr>
              <w:keepNext/>
            </w:pPr>
            <w:r/>
            <w:r>
              <w:rPr>
                <w:b w:val="0"/>
                <w:sz w:val="19"/>
              </w:rPr>
              <w:t>Cost per order line</w:t>
            </w:r>
          </w:p>
        </w:tc>
        <w:tc>
          <w:tcPr>
            <w:tcW w:type="dxa" w:w="2041"/>
          </w:tcPr>
          <w:p>
            <w:pPr>
              <w:keepNext/>
            </w:pPr>
            <w:r/>
            <w:r>
              <w:rPr>
                <w:b w:val="0"/>
                <w:sz w:val="19"/>
              </w:rPr>
              <w:t>(OPEX + depreciation) / lines</w:t>
            </w:r>
          </w:p>
        </w:tc>
        <w:tc>
          <w:tcPr>
            <w:tcW w:type="dxa" w:w="1701"/>
          </w:tcPr>
          <w:p>
            <w:pPr>
              <w:keepNext/>
            </w:pPr>
            <w:r/>
            <w:r>
              <w:rPr>
                <w:b w:val="0"/>
                <w:sz w:val="19"/>
              </w:rPr>
              <w:t>—</w:t>
            </w:r>
          </w:p>
        </w:tc>
        <w:tc>
          <w:tcPr>
            <w:tcW w:type="dxa" w:w="2154"/>
          </w:tcPr>
          <w:p>
            <w:pPr>
              <w:keepNext/>
            </w:pPr>
            <w:r/>
            <w:r>
              <w:rPr>
                <w:b w:val="0"/>
                <w:sz w:val="19"/>
              </w:rPr>
              <w:t>€3.78</w:t>
            </w:r>
          </w:p>
        </w:tc>
        <w:tc>
          <w:tcPr>
            <w:tcW w:type="dxa" w:w="1474"/>
          </w:tcPr>
          <w:p>
            <w:pPr>
              <w:keepNext/>
            </w:pPr>
            <w:r/>
            <w:r>
              <w:rPr>
                <w:b w:val="0"/>
                <w:sz w:val="19"/>
              </w:rPr>
              <w:t>—</w:t>
            </w:r>
          </w:p>
        </w:tc>
      </w:tr>
      <w:tr>
        <w:trPr>
          <w:cantSplit/>
        </w:trPr>
        <w:tc>
          <w:tcPr>
            <w:tcW w:type="dxa" w:w="1701"/>
          </w:tcPr>
          <w:p>
            <w:r/>
            <w:r>
              <w:rPr>
                <w:b w:val="0"/>
                <w:sz w:val="19"/>
              </w:rPr>
              <w:t>Cost per order</w:t>
            </w:r>
          </w:p>
        </w:tc>
        <w:tc>
          <w:tcPr>
            <w:tcW w:type="dxa" w:w="2041"/>
          </w:tcPr>
          <w:p>
            <w:r/>
            <w:r>
              <w:rPr>
                <w:b w:val="0"/>
                <w:sz w:val="19"/>
              </w:rPr>
              <w:t>(OPEX + depreciation) / orders</w:t>
            </w:r>
          </w:p>
        </w:tc>
        <w:tc>
          <w:tcPr>
            <w:tcW w:type="dxa" w:w="1701"/>
          </w:tcPr>
          <w:p>
            <w:r/>
            <w:r>
              <w:rPr>
                <w:b w:val="0"/>
                <w:sz w:val="19"/>
              </w:rPr>
              <w:t>—</w:t>
            </w:r>
          </w:p>
        </w:tc>
        <w:tc>
          <w:tcPr>
            <w:tcW w:type="dxa" w:w="2154"/>
          </w:tcPr>
          <w:p>
            <w:r/>
            <w:r>
              <w:rPr>
                <w:b w:val="0"/>
                <w:sz w:val="19"/>
              </w:rPr>
              <w:t>€16.80</w:t>
            </w:r>
          </w:p>
        </w:tc>
        <w:tc>
          <w:tcPr>
            <w:tcW w:type="dxa" w:w="1474"/>
          </w:tcPr>
          <w:p>
            <w:r/>
            <w:r>
              <w:rPr>
                <w:b w:val="0"/>
                <w:sz w:val="19"/>
              </w:rPr>
              <w:t>—</w:t>
            </w:r>
          </w:p>
        </w:tc>
      </w:tr>
    </w:tbl>
    <w:p>
      <w:pPr>
        <w:spacing w:after="40"/>
      </w:pPr>
    </w:p>
    <w:p>
      <w:pPr>
        <w:keepNext/>
        <w:spacing w:after="40"/>
      </w:pPr>
      <w:r>
        <w:rPr>
          <w:b/>
          <w:i w:val="0"/>
          <w:color w:val="222222"/>
          <w:sz w:val="21"/>
        </w:rPr>
        <w:t>Safety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it is measured</w:t>
            </w:r>
          </w:p>
        </w:tc>
        <w:tc>
          <w:tcPr>
            <w:tcW w:type="dxa" w:w="1701"/>
          </w:tcPr>
          <w:p>
            <w:pPr>
              <w:keepNext/>
            </w:pPr>
            <w:r/>
            <w:r>
              <w:rPr>
                <w:b/>
                <w:sz w:val="19"/>
              </w:rPr>
              <w:t>Today (data)</w:t>
            </w:r>
          </w:p>
        </w:tc>
        <w:tc>
          <w:tcPr>
            <w:tcW w:type="dxa" w:w="2154"/>
          </w:tcPr>
          <w:p>
            <w:pPr>
              <w:keepNext/>
            </w:pPr>
            <w:r/>
            <w:r>
              <w:rPr>
                <w:b/>
                <w:sz w:val="19"/>
              </w:rPr>
              <w:t>Future (design)</w:t>
            </w:r>
          </w:p>
        </w:tc>
        <w:tc>
          <w:tcPr>
            <w:tcW w:type="dxa" w:w="1474"/>
          </w:tcPr>
          <w:p>
            <w:pPr>
              <w:keepNext/>
            </w:pPr>
            <w:r/>
            <w:r>
              <w:rPr>
                <w:b/>
                <w:sz w:val="19"/>
              </w:rPr>
              <w:t>Target</w:t>
            </w:r>
          </w:p>
        </w:tc>
      </w:tr>
      <w:tr>
        <w:trPr>
          <w:cantSplit/>
        </w:trPr>
        <w:tc>
          <w:tcPr>
            <w:tcW w:type="dxa" w:w="1701"/>
          </w:tcPr>
          <w:p>
            <w:r/>
            <w:r>
              <w:rPr>
                <w:b w:val="0"/>
                <w:sz w:val="19"/>
              </w:rPr>
              <w:t>Trucks and pickers separated</w:t>
            </w:r>
          </w:p>
        </w:tc>
        <w:tc>
          <w:tcPr>
            <w:tcW w:type="dxa" w:w="2041"/>
          </w:tcPr>
          <w:p>
            <w:r/>
            <w:r>
              <w:rPr>
                <w:b w:val="0"/>
                <w:sz w:val="19"/>
              </w:rPr>
              <w:t>pick zones without reach-truck traffic</w:t>
            </w:r>
          </w:p>
        </w:tc>
        <w:tc>
          <w:tcPr>
            <w:tcW w:type="dxa" w:w="1701"/>
          </w:tcPr>
          <w:p>
            <w:r/>
            <w:r>
              <w:rPr>
                <w:b w:val="0"/>
                <w:sz w:val="19"/>
              </w:rPr>
              <w:t>—</w:t>
            </w:r>
          </w:p>
        </w:tc>
        <w:tc>
          <w:tcPr>
            <w:tcW w:type="dxa" w:w="2154"/>
          </w:tcPr>
          <w:p>
            <w:r/>
            <w:r>
              <w:rPr>
                <w:b w:val="0"/>
                <w:sz w:val="19"/>
              </w:rPr>
              <w:t>100% of pick faces (trucks refill from the rear / use perimeter + cross-aisles)</w:t>
            </w:r>
          </w:p>
        </w:tc>
        <w:tc>
          <w:tcPr>
            <w:tcW w:type="dxa" w:w="1474"/>
          </w:tcPr>
          <w:p>
            <w:r/>
            <w:r>
              <w:rPr>
                <w:b w:val="0"/>
                <w:sz w:val="19"/>
              </w:rPr>
              <w:t>0 lost-time incidents</w:t>
            </w:r>
          </w:p>
        </w:tc>
      </w:tr>
    </w:tbl>
    <w:p>
      <w:pPr>
        <w:spacing w:after="40"/>
      </w:pPr>
    </w:p>
    <w:p>
      <w:pPr>
        <w:pStyle w:val="Heading2"/>
      </w:pPr>
      <w:r>
        <w:t>2.1 Order lead time</w:t>
      </w:r>
    </w:p>
    <w:p>
      <w:pPr>
        <w:keepNext/>
        <w:jc w:val="center"/>
      </w:pPr>
      <w:r>
        <w:drawing>
          <wp:inline xmlns:a="http://schemas.openxmlformats.org/drawingml/2006/main" xmlns:pic="http://schemas.openxmlformats.org/drawingml/2006/picture">
            <wp:extent cx="5400000" cy="2752300"/>
            <wp:docPr id="2" name="Picture 2"/>
            <wp:cNvGraphicFramePr>
              <a:graphicFrameLocks noChangeAspect="1"/>
            </wp:cNvGraphicFramePr>
            <a:graphic>
              <a:graphicData uri="http://schemas.openxmlformats.org/drawingml/2006/picture">
                <pic:pic>
                  <pic:nvPicPr>
                    <pic:cNvPr id="0" name="d3_leadtime.png"/>
                    <pic:cNvPicPr/>
                  </pic:nvPicPr>
                  <pic:blipFill>
                    <a:blip r:embed="rId10"/>
                    <a:stretch>
                      <a:fillRect/>
                    </a:stretch>
                  </pic:blipFill>
                  <pic:spPr>
                    <a:xfrm>
                      <a:off x="0" y="0"/>
                      <a:ext cx="5400000" cy="2752300"/>
                    </a:xfrm>
                    <a:prstGeom prst="rect"/>
                  </pic:spPr>
                </pic:pic>
              </a:graphicData>
            </a:graphic>
          </wp:inline>
        </w:drawing>
      </w:r>
    </w:p>
    <w:p>
      <w:pPr>
        <w:spacing w:after="200"/>
        <w:jc w:val="center"/>
      </w:pPr>
      <w:r>
        <w:rPr>
          <w:b w:val="0"/>
          <w:i/>
          <w:color w:val="666666"/>
          <w:sz w:val="17"/>
        </w:rPr>
        <w:t>Fig 2. Share of orders shipped within X hours — today (measured) vs future (wave plan, modelled).</w:t>
      </w:r>
    </w:p>
    <w:p>
      <w:pPr>
        <w:pStyle w:val="ListBullet"/>
      </w:pPr>
      <w:r>
        <w:rPr>
          <w:b w:val="0"/>
          <w:sz w:val="21"/>
        </w:rPr>
      </w:r>
      <w:r>
        <w:rPr>
          <w:b/>
          <w:sz w:val="21"/>
        </w:rPr>
        <w:t>Today (measured, 8,774 orders):</w:t>
      </w:r>
      <w:r>
        <w:rPr>
          <w:b w:val="0"/>
          <w:sz w:val="21"/>
        </w:rPr>
        <w:t xml:space="preserve"> median 25 h, average 45 h, slowest 10% 102 h or more. Only 37% of orders leave within 24 hours.</w:t>
      </w:r>
    </w:p>
    <w:p>
      <w:pPr>
        <w:pStyle w:val="ListBullet"/>
      </w:pPr>
      <w:r>
        <w:rPr>
          <w:b w:val="0"/>
          <w:sz w:val="21"/>
        </w:rPr>
      </w:r>
      <w:r>
        <w:rPr>
          <w:b/>
          <w:sz w:val="21"/>
        </w:rPr>
        <w:t>Future (modelled on the same orders):</w:t>
      </w:r>
      <w:r>
        <w:rPr>
          <w:b w:val="0"/>
          <w:sz w:val="21"/>
        </w:rPr>
        <w:t xml:space="preserve"> an order received before 12:00 is picked in wave 3 and leaves on the same afternoon's trailer of its carrier; a later order is picked in the first wave next morning and leaves on that day's first slot of its carrier. Weekends are skipped.</w:t>
      </w:r>
    </w:p>
    <w:p>
      <w:pPr>
        <w:pStyle w:val="ListBullet"/>
      </w:pPr>
      <w:r>
        <w:rPr>
          <w:b w:val="0"/>
          <w:sz w:val="21"/>
        </w:rPr>
      </w:r>
      <w:r>
        <w:rPr>
          <w:b/>
          <w:sz w:val="21"/>
        </w:rPr>
        <w:t>Result:</w:t>
      </w:r>
      <w:r>
        <w:rPr>
          <w:b w:val="0"/>
          <w:sz w:val="21"/>
        </w:rPr>
        <w:t xml:space="preserve"> 65% within 24 hours and the slowest 10% at 70 h. The median moves less (25 → 22 h) because 55% of orders arrive between 15:00 and 17:00 and still leave the next day — the gain is that no order waits for a second or third day.</w:t>
      </w:r>
    </w:p>
    <w:p>
      <w:pPr>
        <w:pStyle w:val="Heading2"/>
      </w:pPr>
      <w:r>
        <w:t>2.2 Picking effort — where the saving comes from</w:t>
      </w:r>
    </w:p>
    <w:p>
      <w:pPr>
        <w:keepNext/>
        <w:jc w:val="center"/>
      </w:pPr>
      <w:r>
        <w:drawing>
          <wp:inline xmlns:a="http://schemas.openxmlformats.org/drawingml/2006/main" xmlns:pic="http://schemas.openxmlformats.org/drawingml/2006/picture">
            <wp:extent cx="5400000" cy="2360553"/>
            <wp:docPr id="3" name="Picture 3"/>
            <wp:cNvGraphicFramePr>
              <a:graphicFrameLocks noChangeAspect="1"/>
            </wp:cNvGraphicFramePr>
            <a:graphic>
              <a:graphicData uri="http://schemas.openxmlformats.org/drawingml/2006/picture">
                <pic:pic>
                  <pic:nvPicPr>
                    <pic:cNvPr id="0" name="d3_levers.png"/>
                    <pic:cNvPicPr/>
                  </pic:nvPicPr>
                  <pic:blipFill>
                    <a:blip r:embed="rId11"/>
                    <a:stretch>
                      <a:fillRect/>
                    </a:stretch>
                  </pic:blipFill>
                  <pic:spPr>
                    <a:xfrm>
                      <a:off x="0" y="0"/>
                      <a:ext cx="5400000" cy="2360553"/>
                    </a:xfrm>
                    <a:prstGeom prst="rect"/>
                  </pic:spPr>
                </pic:pic>
              </a:graphicData>
            </a:graphic>
          </wp:inline>
        </w:drawing>
      </w:r>
    </w:p>
    <w:p>
      <w:pPr>
        <w:spacing w:after="200"/>
        <w:jc w:val="center"/>
      </w:pPr>
      <w:r>
        <w:rPr>
          <w:b w:val="0"/>
          <w:i/>
          <w:color w:val="666666"/>
          <w:sz w:val="17"/>
        </w:rPr>
        <w:t>Fig 3. Picker-hours per average day: today's way of working (modelled) vs the design.</w:t>
      </w:r>
    </w:p>
    <w:tbl>
      <w:tblPr>
        <w:tblStyle w:val="LightGrid-Accent1"/>
        <w:tblW w:type="auto" w:w="0"/>
        <w:jc w:val="center"/>
        <w:tblLayout w:type="fixed"/>
        <w:tblLook w:firstColumn="1" w:firstRow="1" w:lastColumn="0" w:lastRow="0" w:noHBand="0" w:noVBand="1" w:val="04A0"/>
      </w:tblPr>
      <w:tblGrid>
        <w:gridCol w:w="3742"/>
        <w:gridCol w:w="1247"/>
        <w:gridCol w:w="1247"/>
        <w:gridCol w:w="1247"/>
        <w:gridCol w:w="1587"/>
      </w:tblGrid>
      <w:tr>
        <w:trPr>
          <w:cantSplit/>
        </w:trPr>
        <w:tc>
          <w:tcPr>
            <w:tcW w:type="dxa" w:w="3742"/>
          </w:tcPr>
          <w:p>
            <w:pPr>
              <w:keepNext/>
            </w:pPr>
            <w:r/>
            <w:r>
              <w:rPr>
                <w:b/>
                <w:sz w:val="19"/>
              </w:rPr>
              <w:t>Lever</w:t>
            </w:r>
          </w:p>
        </w:tc>
        <w:tc>
          <w:tcPr>
            <w:tcW w:type="dxa" w:w="1247"/>
          </w:tcPr>
          <w:p>
            <w:pPr>
              <w:keepNext/>
            </w:pPr>
            <w:r/>
            <w:r>
              <w:rPr>
                <w:b/>
                <w:sz w:val="19"/>
              </w:rPr>
              <w:t>Today h/day</w:t>
            </w:r>
          </w:p>
        </w:tc>
        <w:tc>
          <w:tcPr>
            <w:tcW w:type="dxa" w:w="1247"/>
          </w:tcPr>
          <w:p>
            <w:pPr>
              <w:keepNext/>
            </w:pPr>
            <w:r/>
            <w:r>
              <w:rPr>
                <w:b/>
                <w:sz w:val="19"/>
              </w:rPr>
              <w:t>Future h/day</w:t>
            </w:r>
          </w:p>
        </w:tc>
        <w:tc>
          <w:tcPr>
            <w:tcW w:type="dxa" w:w="1247"/>
          </w:tcPr>
          <w:p>
            <w:pPr>
              <w:keepNext/>
            </w:pPr>
            <w:r/>
            <w:r>
              <w:rPr>
                <w:b/>
                <w:sz w:val="19"/>
              </w:rPr>
              <w:t>Saved h/day</w:t>
            </w:r>
          </w:p>
        </w:tc>
        <w:tc>
          <w:tcPr>
            <w:tcW w:type="dxa" w:w="1587"/>
          </w:tcPr>
          <w:p>
            <w:pPr>
              <w:keepNext/>
            </w:pPr>
            <w:r/>
            <w:r>
              <w:rPr>
                <w:b/>
                <w:sz w:val="19"/>
              </w:rPr>
              <w:t>Saved per year</w:t>
            </w:r>
          </w:p>
        </w:tc>
      </w:tr>
      <w:tr>
        <w:trPr>
          <w:cantSplit/>
        </w:trPr>
        <w:tc>
          <w:tcPr>
            <w:tcW w:type="dxa" w:w="3742"/>
          </w:tcPr>
          <w:p>
            <w:pPr>
              <w:keepNext/>
            </w:pPr>
            <w:r/>
            <w:r>
              <w:rPr>
                <w:b w:val="0"/>
                <w:sz w:val="19"/>
              </w:rPr>
              <w:t>Batch picking + demand-based slotting (fast-pick area)</w:t>
            </w:r>
          </w:p>
        </w:tc>
        <w:tc>
          <w:tcPr>
            <w:tcW w:type="dxa" w:w="1247"/>
          </w:tcPr>
          <w:p>
            <w:pPr>
              <w:keepNext/>
              <w:jc w:val="right"/>
            </w:pPr>
            <w:r/>
            <w:r>
              <w:rPr>
                <w:b w:val="0"/>
                <w:sz w:val="19"/>
              </w:rPr>
              <w:t>23.8</w:t>
            </w:r>
          </w:p>
        </w:tc>
        <w:tc>
          <w:tcPr>
            <w:tcW w:type="dxa" w:w="1247"/>
          </w:tcPr>
          <w:p>
            <w:pPr>
              <w:keepNext/>
              <w:jc w:val="right"/>
            </w:pPr>
            <w:r/>
            <w:r>
              <w:rPr>
                <w:b w:val="0"/>
                <w:sz w:val="19"/>
              </w:rPr>
              <w:t>11.4</w:t>
            </w:r>
          </w:p>
        </w:tc>
        <w:tc>
          <w:tcPr>
            <w:tcW w:type="dxa" w:w="1247"/>
          </w:tcPr>
          <w:p>
            <w:pPr>
              <w:keepNext/>
              <w:jc w:val="right"/>
            </w:pPr>
            <w:r/>
            <w:r>
              <w:rPr>
                <w:b w:val="0"/>
                <w:sz w:val="19"/>
              </w:rPr>
              <w:t>12.4</w:t>
            </w:r>
          </w:p>
        </w:tc>
        <w:tc>
          <w:tcPr>
            <w:tcW w:type="dxa" w:w="1587"/>
          </w:tcPr>
          <w:p>
            <w:pPr>
              <w:keepNext/>
              <w:jc w:val="right"/>
            </w:pPr>
            <w:r/>
            <w:r>
              <w:rPr>
                <w:b w:val="0"/>
                <w:sz w:val="19"/>
              </w:rPr>
              <w:t>€90,365</w:t>
            </w:r>
          </w:p>
        </w:tc>
      </w:tr>
      <w:tr>
        <w:trPr>
          <w:cantSplit/>
        </w:trPr>
        <w:tc>
          <w:tcPr>
            <w:tcW w:type="dxa" w:w="3742"/>
          </w:tcPr>
          <w:p>
            <w:r/>
            <w:r>
              <w:rPr>
                <w:b w:val="0"/>
                <w:sz w:val="19"/>
              </w:rPr>
              <w:t>Wave release instead of one evening release (no 08:00 peak staffing)</w:t>
            </w:r>
          </w:p>
        </w:tc>
        <w:tc>
          <w:tcPr>
            <w:tcW w:type="dxa" w:w="1247"/>
          </w:tcPr>
          <w:p>
            <w:pPr>
              <w:jc w:val="right"/>
            </w:pPr>
            <w:r/>
            <w:r>
              <w:rPr>
                <w:b w:val="0"/>
                <w:sz w:val="19"/>
              </w:rPr>
              <w:t>7.4</w:t>
            </w:r>
          </w:p>
        </w:tc>
        <w:tc>
          <w:tcPr>
            <w:tcW w:type="dxa" w:w="1247"/>
          </w:tcPr>
          <w:p>
            <w:pPr>
              <w:jc w:val="right"/>
            </w:pPr>
            <w:r/>
            <w:r>
              <w:rPr>
                <w:b w:val="0"/>
                <w:sz w:val="19"/>
              </w:rPr>
              <w:t>0.0</w:t>
            </w:r>
          </w:p>
        </w:tc>
        <w:tc>
          <w:tcPr>
            <w:tcW w:type="dxa" w:w="1247"/>
          </w:tcPr>
          <w:p>
            <w:pPr>
              <w:jc w:val="right"/>
            </w:pPr>
            <w:r/>
            <w:r>
              <w:rPr>
                <w:b w:val="0"/>
                <w:sz w:val="19"/>
              </w:rPr>
              <w:t>7.4</w:t>
            </w:r>
          </w:p>
        </w:tc>
        <w:tc>
          <w:tcPr>
            <w:tcW w:type="dxa" w:w="1587"/>
          </w:tcPr>
          <w:p>
            <w:pPr>
              <w:jc w:val="right"/>
            </w:pPr>
            <w:r/>
            <w:r>
              <w:rPr>
                <w:b w:val="0"/>
                <w:sz w:val="19"/>
              </w:rPr>
              <w:t>€53,927</w:t>
            </w:r>
          </w:p>
        </w:tc>
      </w:tr>
    </w:tbl>
    <w:p>
      <w:pPr>
        <w:spacing w:after="40"/>
      </w:pPr>
    </w:p>
    <w:p>
      <w:pPr>
        <w:spacing w:after="120"/>
      </w:pPr>
      <w:r>
        <w:rPr>
          <w:b w:val="0"/>
          <w:i w:val="0"/>
          <w:color w:val="666666"/>
          <w:sz w:val="19"/>
        </w:rPr>
        <w:t>Today is modelled with the same pick-time model and rates as the design (D2 §6.2), but the way the data says the site works now: one order per tour, stock not placed by demand (the WMS class agrees with demand for only 48.6% of SKUs), and all orders released in the evening so the morning starts at 1.31× the average workload. It is a model, not a measurement — DHL's real pick hours would confirm it (A006).</w:t>
      </w:r>
    </w:p>
    <w:p>
      <w:pPr>
        <w:pStyle w:val="Heading2"/>
      </w:pPr>
      <w:r>
        <w:t>2.3 Storage space — the main risk</w:t>
      </w:r>
    </w:p>
    <w:p>
      <w:pPr>
        <w:pStyle w:val="ListBullet"/>
      </w:pPr>
      <w:r>
        <w:rPr>
          <w:b w:val="0"/>
          <w:sz w:val="21"/>
        </w:rPr>
      </w:r>
      <w:r>
        <w:rPr>
          <w:b/>
          <w:sz w:val="21"/>
        </w:rPr>
        <w:t>Positions:</w:t>
      </w:r>
      <w:r>
        <w:rPr>
          <w:b w:val="0"/>
          <w:sz w:val="21"/>
        </w:rPr>
        <w:t xml:space="preserve"> 9,504 against a peak of 8,512 occupied locations (90% full at the peak, 85% on average).</w:t>
      </w:r>
    </w:p>
    <w:p>
      <w:pPr>
        <w:pStyle w:val="ListBullet"/>
      </w:pPr>
      <w:r>
        <w:rPr>
          <w:b w:val="0"/>
          <w:sz w:val="21"/>
        </w:rPr>
      </w:r>
      <w:r>
        <w:rPr>
          <w:b/>
          <w:sz w:val="21"/>
        </w:rPr>
        <w:t>Growth:</w:t>
      </w:r>
      <w:r>
        <w:rPr>
          <w:b w:val="0"/>
          <w:sz w:val="21"/>
        </w:rPr>
        <w:t xml:space="preserve"> occupied locations rose from 7,715 (April) to 8,512 (June), +16% per quarter. At that speed the racks are full in ~2 months. Three months of data cannot tell whether this is a season or a trend, so DHL should track the KPI monthly.</w:t>
      </w:r>
    </w:p>
    <w:p>
      <w:pPr>
        <w:pStyle w:val="ListBullet"/>
      </w:pPr>
      <w:r>
        <w:rPr>
          <w:b w:val="0"/>
          <w:sz w:val="21"/>
        </w:rPr>
      </w:r>
      <w:r>
        <w:rPr>
          <w:b/>
          <w:sz w:val="21"/>
        </w:rPr>
        <w:t>What we do about it:</w:t>
      </w:r>
      <w:r>
        <w:rPr>
          <w:b w:val="0"/>
          <w:sz w:val="21"/>
        </w:rPr>
        <w:t xml:space="preserve"> (1) clear dead stock — 21% of loads are older than one year (D1 Fig 2b); (2) the core has room for a 12th rack module (+864 positions); (3) the remaining ~270 m² of the 7,000 m² envelope stays free.</w:t>
      </w:r>
    </w:p>
    <w:p>
      <w:pPr>
        <w:pStyle w:val="Heading2"/>
      </w:pPr>
      <w:r>
        <w:t>2.4 Stress test — 150%, 200% and 250% volume</w:t>
      </w:r>
    </w:p>
    <w:p>
      <w:pPr>
        <w:spacing w:after="80"/>
      </w:pPr>
      <w:r>
        <w:rPr>
          <w:b w:val="0"/>
          <w:i w:val="0"/>
          <w:color w:val="222222"/>
          <w:sz w:val="21"/>
        </w:rPr>
        <w:t>Promised in D2 §3.1: what happens when volume grows? Workload scales with volume; the layout and doors are checked against the same rules as in D2.</w:t>
      </w:r>
    </w:p>
    <w:p>
      <w:pPr>
        <w:keepNext/>
        <w:jc w:val="center"/>
      </w:pPr>
      <w:r>
        <w:drawing>
          <wp:inline xmlns:a="http://schemas.openxmlformats.org/drawingml/2006/main" xmlns:pic="http://schemas.openxmlformats.org/drawingml/2006/picture">
            <wp:extent cx="4860000" cy="2216408"/>
            <wp:docPr id="4" name="Picture 4"/>
            <wp:cNvGraphicFramePr>
              <a:graphicFrameLocks noChangeAspect="1"/>
            </wp:cNvGraphicFramePr>
            <a:graphic>
              <a:graphicData uri="http://schemas.openxmlformats.org/drawingml/2006/picture">
                <pic:pic>
                  <pic:nvPicPr>
                    <pic:cNvPr id="0" name="d3_stress.png"/>
                    <pic:cNvPicPr/>
                  </pic:nvPicPr>
                  <pic:blipFill>
                    <a:blip r:embed="rId12"/>
                    <a:stretch>
                      <a:fillRect/>
                    </a:stretch>
                  </pic:blipFill>
                  <pic:spPr>
                    <a:xfrm>
                      <a:off x="0" y="0"/>
                      <a:ext cx="4860000" cy="2216408"/>
                    </a:xfrm>
                    <a:prstGeom prst="rect"/>
                  </pic:spPr>
                </pic:pic>
              </a:graphicData>
            </a:graphic>
          </wp:inline>
        </w:drawing>
      </w:r>
    </w:p>
    <w:p>
      <w:pPr>
        <w:spacing w:after="200"/>
        <w:jc w:val="center"/>
      </w:pPr>
      <w:r>
        <w:rPr>
          <w:b w:val="0"/>
          <w:i/>
          <w:color w:val="666666"/>
          <w:sz w:val="17"/>
        </w:rPr>
        <w:t>Fig 4. Direct FTE and trucks needed on the peak day at higher volumes.</w:t>
      </w:r>
    </w:p>
    <w:tbl>
      <w:tblPr>
        <w:tblStyle w:val="LightGrid-Accent1"/>
        <w:tblW w:type="auto" w:w="0"/>
        <w:jc w:val="center"/>
        <w:tblLayout w:type="fixed"/>
        <w:tblLook w:firstColumn="1" w:firstRow="1" w:lastColumn="0" w:lastRow="0" w:noHBand="0" w:noVBand="1" w:val="04A0"/>
      </w:tblPr>
      <w:tblGrid>
        <w:gridCol w:w="1134"/>
        <w:gridCol w:w="1587"/>
        <w:gridCol w:w="1020"/>
        <w:gridCol w:w="1020"/>
        <w:gridCol w:w="1020"/>
        <w:gridCol w:w="1361"/>
        <w:gridCol w:w="1701"/>
      </w:tblGrid>
      <w:tr>
        <w:trPr>
          <w:cantSplit/>
        </w:trPr>
        <w:tc>
          <w:tcPr>
            <w:tcW w:type="dxa" w:w="1134"/>
          </w:tcPr>
          <w:p>
            <w:pPr>
              <w:keepNext/>
            </w:pPr>
            <w:r/>
            <w:r>
              <w:rPr>
                <w:b/>
                <w:sz w:val="19"/>
              </w:rPr>
              <w:t>Volume</w:t>
            </w:r>
          </w:p>
        </w:tc>
        <w:tc>
          <w:tcPr>
            <w:tcW w:type="dxa" w:w="1587"/>
          </w:tcPr>
          <w:p>
            <w:pPr>
              <w:keepNext/>
            </w:pPr>
            <w:r/>
            <w:r>
              <w:rPr>
                <w:b/>
                <w:sz w:val="19"/>
              </w:rPr>
              <w:t>Direct FTE (peak day)</w:t>
            </w:r>
          </w:p>
        </w:tc>
        <w:tc>
          <w:tcPr>
            <w:tcW w:type="dxa" w:w="1020"/>
          </w:tcPr>
          <w:p>
            <w:pPr>
              <w:keepNext/>
            </w:pPr>
            <w:r/>
            <w:r>
              <w:rPr>
                <w:b/>
                <w:sz w:val="19"/>
              </w:rPr>
              <w:t>ETV 216i</w:t>
            </w:r>
          </w:p>
        </w:tc>
        <w:tc>
          <w:tcPr>
            <w:tcW w:type="dxa" w:w="1020"/>
          </w:tcPr>
          <w:p>
            <w:pPr>
              <w:keepNext/>
            </w:pPr>
            <w:r/>
            <w:r>
              <w:rPr>
                <w:b/>
                <w:sz w:val="19"/>
              </w:rPr>
              <w:t>EJE 120i</w:t>
            </w:r>
          </w:p>
        </w:tc>
        <w:tc>
          <w:tcPr>
            <w:tcW w:type="dxa" w:w="1020"/>
          </w:tcPr>
          <w:p>
            <w:pPr>
              <w:keepNext/>
            </w:pPr>
            <w:r/>
            <w:r>
              <w:rPr>
                <w:b/>
                <w:sz w:val="19"/>
              </w:rPr>
              <w:t>ERE 225</w:t>
            </w:r>
          </w:p>
        </w:tc>
        <w:tc>
          <w:tcPr>
            <w:tcW w:type="dxa" w:w="1361"/>
          </w:tcPr>
          <w:p>
            <w:pPr>
              <w:keepNext/>
            </w:pPr>
            <w:r/>
            <w:r>
              <w:rPr>
                <w:b/>
                <w:sz w:val="19"/>
              </w:rPr>
              <w:t>Outbound doors</w:t>
            </w:r>
          </w:p>
        </w:tc>
        <w:tc>
          <w:tcPr>
            <w:tcW w:type="dxa" w:w="1701"/>
          </w:tcPr>
          <w:p>
            <w:pPr>
              <w:keepNext/>
            </w:pPr>
            <w:r/>
            <w:r>
              <w:rPr>
                <w:b/>
                <w:sz w:val="19"/>
              </w:rPr>
              <w:t>Pickers in busiest wave</w:t>
            </w:r>
          </w:p>
        </w:tc>
      </w:tr>
      <w:tr>
        <w:trPr>
          <w:cantSplit/>
        </w:trPr>
        <w:tc>
          <w:tcPr>
            <w:tcW w:type="dxa" w:w="1134"/>
          </w:tcPr>
          <w:p>
            <w:pPr>
              <w:keepNext/>
            </w:pPr>
            <w:r/>
            <w:r>
              <w:rPr>
                <w:b w:val="0"/>
                <w:sz w:val="19"/>
              </w:rPr>
              <w:t>100%</w:t>
            </w:r>
          </w:p>
        </w:tc>
        <w:tc>
          <w:tcPr>
            <w:tcW w:type="dxa" w:w="1587"/>
          </w:tcPr>
          <w:p>
            <w:pPr>
              <w:keepNext/>
              <w:jc w:val="right"/>
            </w:pPr>
            <w:r/>
            <w:r>
              <w:rPr>
                <w:b w:val="0"/>
                <w:sz w:val="19"/>
              </w:rPr>
              <w:t>8.6</w:t>
            </w:r>
          </w:p>
        </w:tc>
        <w:tc>
          <w:tcPr>
            <w:tcW w:type="dxa" w:w="1020"/>
          </w:tcPr>
          <w:p>
            <w:pPr>
              <w:keepNext/>
              <w:jc w:val="right"/>
            </w:pPr>
            <w:r/>
            <w:r>
              <w:rPr>
                <w:b w:val="0"/>
                <w:sz w:val="19"/>
              </w:rPr>
              <w:t>2</w:t>
            </w:r>
          </w:p>
        </w:tc>
        <w:tc>
          <w:tcPr>
            <w:tcW w:type="dxa" w:w="1020"/>
          </w:tcPr>
          <w:p>
            <w:pPr>
              <w:keepNext/>
              <w:jc w:val="right"/>
            </w:pPr>
            <w:r/>
            <w:r>
              <w:rPr>
                <w:b w:val="0"/>
                <w:sz w:val="19"/>
              </w:rPr>
              <w:t>3</w:t>
            </w:r>
          </w:p>
        </w:tc>
        <w:tc>
          <w:tcPr>
            <w:tcW w:type="dxa" w:w="1020"/>
          </w:tcPr>
          <w:p>
            <w:pPr>
              <w:keepNext/>
              <w:jc w:val="right"/>
            </w:pPr>
            <w:r/>
            <w:r>
              <w:rPr>
                <w:b w:val="0"/>
                <w:sz w:val="19"/>
              </w:rPr>
              <w:t>1</w:t>
            </w:r>
          </w:p>
        </w:tc>
        <w:tc>
          <w:tcPr>
            <w:tcW w:type="dxa" w:w="1361"/>
          </w:tcPr>
          <w:p>
            <w:pPr>
              <w:keepNext/>
              <w:jc w:val="right"/>
            </w:pPr>
            <w:r/>
            <w:r>
              <w:rPr>
                <w:b w:val="0"/>
                <w:sz w:val="19"/>
              </w:rPr>
              <w:t>4</w:t>
            </w:r>
          </w:p>
        </w:tc>
        <w:tc>
          <w:tcPr>
            <w:tcW w:type="dxa" w:w="1701"/>
          </w:tcPr>
          <w:p>
            <w:pPr>
              <w:keepNext/>
              <w:jc w:val="right"/>
            </w:pPr>
            <w:r/>
            <w:r>
              <w:rPr>
                <w:b w:val="0"/>
                <w:sz w:val="19"/>
              </w:rPr>
              <w:t>3</w:t>
            </w:r>
          </w:p>
        </w:tc>
      </w:tr>
      <w:tr>
        <w:trPr>
          <w:cantSplit/>
        </w:trPr>
        <w:tc>
          <w:tcPr>
            <w:tcW w:type="dxa" w:w="1134"/>
          </w:tcPr>
          <w:p>
            <w:pPr>
              <w:keepNext/>
            </w:pPr>
            <w:r/>
            <w:r>
              <w:rPr>
                <w:b w:val="0"/>
                <w:sz w:val="19"/>
              </w:rPr>
              <w:t>150%</w:t>
            </w:r>
          </w:p>
        </w:tc>
        <w:tc>
          <w:tcPr>
            <w:tcW w:type="dxa" w:w="1587"/>
          </w:tcPr>
          <w:p>
            <w:pPr>
              <w:keepNext/>
              <w:jc w:val="right"/>
            </w:pPr>
            <w:r/>
            <w:r>
              <w:rPr>
                <w:b w:val="0"/>
                <w:sz w:val="19"/>
              </w:rPr>
              <w:t>13.0</w:t>
            </w:r>
          </w:p>
        </w:tc>
        <w:tc>
          <w:tcPr>
            <w:tcW w:type="dxa" w:w="1020"/>
          </w:tcPr>
          <w:p>
            <w:pPr>
              <w:keepNext/>
              <w:jc w:val="right"/>
            </w:pPr>
            <w:r/>
            <w:r>
              <w:rPr>
                <w:b w:val="0"/>
                <w:sz w:val="19"/>
              </w:rPr>
              <w:t>3</w:t>
            </w:r>
          </w:p>
        </w:tc>
        <w:tc>
          <w:tcPr>
            <w:tcW w:type="dxa" w:w="1020"/>
          </w:tcPr>
          <w:p>
            <w:pPr>
              <w:keepNext/>
              <w:jc w:val="right"/>
            </w:pPr>
            <w:r/>
            <w:r>
              <w:rPr>
                <w:b w:val="0"/>
                <w:sz w:val="19"/>
              </w:rPr>
              <w:t>4</w:t>
            </w:r>
          </w:p>
        </w:tc>
        <w:tc>
          <w:tcPr>
            <w:tcW w:type="dxa" w:w="1020"/>
          </w:tcPr>
          <w:p>
            <w:pPr>
              <w:keepNext/>
              <w:jc w:val="right"/>
            </w:pPr>
            <w:r/>
            <w:r>
              <w:rPr>
                <w:b w:val="0"/>
                <w:sz w:val="19"/>
              </w:rPr>
              <w:t>2</w:t>
            </w:r>
          </w:p>
        </w:tc>
        <w:tc>
          <w:tcPr>
            <w:tcW w:type="dxa" w:w="1361"/>
          </w:tcPr>
          <w:p>
            <w:pPr>
              <w:keepNext/>
              <w:jc w:val="right"/>
            </w:pPr>
            <w:r/>
            <w:r>
              <w:rPr>
                <w:b w:val="0"/>
                <w:sz w:val="19"/>
              </w:rPr>
              <w:t>5</w:t>
            </w:r>
          </w:p>
        </w:tc>
        <w:tc>
          <w:tcPr>
            <w:tcW w:type="dxa" w:w="1701"/>
          </w:tcPr>
          <w:p>
            <w:pPr>
              <w:keepNext/>
              <w:jc w:val="right"/>
            </w:pPr>
            <w:r/>
            <w:r>
              <w:rPr>
                <w:b w:val="0"/>
                <w:sz w:val="19"/>
              </w:rPr>
              <w:t>4</w:t>
            </w:r>
          </w:p>
        </w:tc>
      </w:tr>
      <w:tr>
        <w:trPr>
          <w:cantSplit/>
        </w:trPr>
        <w:tc>
          <w:tcPr>
            <w:tcW w:type="dxa" w:w="1134"/>
          </w:tcPr>
          <w:p>
            <w:pPr>
              <w:keepNext/>
            </w:pPr>
            <w:r/>
            <w:r>
              <w:rPr>
                <w:b w:val="0"/>
                <w:sz w:val="19"/>
              </w:rPr>
              <w:t>200%</w:t>
            </w:r>
          </w:p>
        </w:tc>
        <w:tc>
          <w:tcPr>
            <w:tcW w:type="dxa" w:w="1587"/>
          </w:tcPr>
          <w:p>
            <w:pPr>
              <w:keepNext/>
              <w:jc w:val="right"/>
            </w:pPr>
            <w:r/>
            <w:r>
              <w:rPr>
                <w:b w:val="0"/>
                <w:sz w:val="19"/>
              </w:rPr>
              <w:t>17.3</w:t>
            </w:r>
          </w:p>
        </w:tc>
        <w:tc>
          <w:tcPr>
            <w:tcW w:type="dxa" w:w="1020"/>
          </w:tcPr>
          <w:p>
            <w:pPr>
              <w:keepNext/>
              <w:jc w:val="right"/>
            </w:pPr>
            <w:r/>
            <w:r>
              <w:rPr>
                <w:b w:val="0"/>
                <w:sz w:val="19"/>
              </w:rPr>
              <w:t>4</w:t>
            </w:r>
          </w:p>
        </w:tc>
        <w:tc>
          <w:tcPr>
            <w:tcW w:type="dxa" w:w="1020"/>
          </w:tcPr>
          <w:p>
            <w:pPr>
              <w:keepNext/>
              <w:jc w:val="right"/>
            </w:pPr>
            <w:r/>
            <w:r>
              <w:rPr>
                <w:b w:val="0"/>
                <w:sz w:val="19"/>
              </w:rPr>
              <w:t>5</w:t>
            </w:r>
          </w:p>
        </w:tc>
        <w:tc>
          <w:tcPr>
            <w:tcW w:type="dxa" w:w="1020"/>
          </w:tcPr>
          <w:p>
            <w:pPr>
              <w:keepNext/>
              <w:jc w:val="right"/>
            </w:pPr>
            <w:r/>
            <w:r>
              <w:rPr>
                <w:b w:val="0"/>
                <w:sz w:val="19"/>
              </w:rPr>
              <w:t>2</w:t>
            </w:r>
          </w:p>
        </w:tc>
        <w:tc>
          <w:tcPr>
            <w:tcW w:type="dxa" w:w="1361"/>
          </w:tcPr>
          <w:p>
            <w:pPr>
              <w:keepNext/>
              <w:jc w:val="right"/>
            </w:pPr>
            <w:r/>
            <w:r>
              <w:rPr>
                <w:b w:val="0"/>
                <w:sz w:val="19"/>
              </w:rPr>
              <w:t>7</w:t>
            </w:r>
          </w:p>
        </w:tc>
        <w:tc>
          <w:tcPr>
            <w:tcW w:type="dxa" w:w="1701"/>
          </w:tcPr>
          <w:p>
            <w:pPr>
              <w:keepNext/>
              <w:jc w:val="right"/>
            </w:pPr>
            <w:r/>
            <w:r>
              <w:rPr>
                <w:b w:val="0"/>
                <w:sz w:val="19"/>
              </w:rPr>
              <w:t>6</w:t>
            </w:r>
          </w:p>
        </w:tc>
      </w:tr>
      <w:tr>
        <w:trPr>
          <w:cantSplit/>
        </w:trPr>
        <w:tc>
          <w:tcPr>
            <w:tcW w:type="dxa" w:w="1134"/>
          </w:tcPr>
          <w:p>
            <w:r/>
            <w:r>
              <w:rPr>
                <w:b w:val="0"/>
                <w:sz w:val="19"/>
              </w:rPr>
              <w:t>250%</w:t>
            </w:r>
          </w:p>
        </w:tc>
        <w:tc>
          <w:tcPr>
            <w:tcW w:type="dxa" w:w="1587"/>
          </w:tcPr>
          <w:p>
            <w:pPr>
              <w:jc w:val="right"/>
            </w:pPr>
            <w:r/>
            <w:r>
              <w:rPr>
                <w:b w:val="0"/>
                <w:sz w:val="19"/>
              </w:rPr>
              <w:t>21.6</w:t>
            </w:r>
          </w:p>
        </w:tc>
        <w:tc>
          <w:tcPr>
            <w:tcW w:type="dxa" w:w="1020"/>
          </w:tcPr>
          <w:p>
            <w:pPr>
              <w:jc w:val="right"/>
            </w:pPr>
            <w:r/>
            <w:r>
              <w:rPr>
                <w:b w:val="0"/>
                <w:sz w:val="19"/>
              </w:rPr>
              <w:t>4</w:t>
            </w:r>
          </w:p>
        </w:tc>
        <w:tc>
          <w:tcPr>
            <w:tcW w:type="dxa" w:w="1020"/>
          </w:tcPr>
          <w:p>
            <w:pPr>
              <w:jc w:val="right"/>
            </w:pPr>
            <w:r/>
            <w:r>
              <w:rPr>
                <w:b w:val="0"/>
                <w:sz w:val="19"/>
              </w:rPr>
              <w:t>6</w:t>
            </w:r>
          </w:p>
        </w:tc>
        <w:tc>
          <w:tcPr>
            <w:tcW w:type="dxa" w:w="1020"/>
          </w:tcPr>
          <w:p>
            <w:pPr>
              <w:jc w:val="right"/>
            </w:pPr>
            <w:r/>
            <w:r>
              <w:rPr>
                <w:b w:val="0"/>
                <w:sz w:val="19"/>
              </w:rPr>
              <w:t>2</w:t>
            </w:r>
          </w:p>
        </w:tc>
        <w:tc>
          <w:tcPr>
            <w:tcW w:type="dxa" w:w="1361"/>
          </w:tcPr>
          <w:p>
            <w:pPr>
              <w:jc w:val="right"/>
            </w:pPr>
            <w:r/>
            <w:r>
              <w:rPr>
                <w:b w:val="0"/>
                <w:sz w:val="19"/>
              </w:rPr>
              <w:t>8</w:t>
            </w:r>
          </w:p>
        </w:tc>
        <w:tc>
          <w:tcPr>
            <w:tcW w:type="dxa" w:w="1701"/>
          </w:tcPr>
          <w:p>
            <w:pPr>
              <w:jc w:val="right"/>
            </w:pPr>
            <w:r/>
            <w:r>
              <w:rPr>
                <w:b w:val="0"/>
                <w:sz w:val="19"/>
              </w:rPr>
              <w:t>7</w:t>
            </w:r>
          </w:p>
        </w:tc>
      </w:tr>
    </w:tbl>
    <w:p>
      <w:pPr>
        <w:spacing w:after="40"/>
      </w:pPr>
    </w:p>
    <w:p>
      <w:pPr>
        <w:pStyle w:val="ListBullet"/>
      </w:pPr>
      <w:r>
        <w:rPr>
          <w:b w:val="0"/>
          <w:sz w:val="21"/>
        </w:rPr>
      </w:r>
      <w:r>
        <w:rPr>
          <w:b/>
          <w:sz w:val="21"/>
        </w:rPr>
        <w:t>Up to 150%</w:t>
      </w:r>
      <w:r>
        <w:rPr>
          <w:b w:val="0"/>
          <w:sz w:val="21"/>
        </w:rPr>
        <w:t xml:space="preserve"> the design runs as planned: one extra reach truck and pallet truck, and all 5 shipping doors in use.</w:t>
      </w:r>
    </w:p>
    <w:p>
      <w:pPr>
        <w:pStyle w:val="ListBullet"/>
      </w:pPr>
      <w:r>
        <w:rPr>
          <w:b w:val="0"/>
          <w:sz w:val="21"/>
        </w:rPr>
      </w:r>
      <w:r>
        <w:rPr>
          <w:b/>
          <w:sz w:val="21"/>
        </w:rPr>
        <w:t>At 200% and more</w:t>
      </w:r>
      <w:r>
        <w:rPr>
          <w:b w:val="0"/>
          <w:sz w:val="21"/>
        </w:rPr>
        <w:t xml:space="preserve"> the 5 shipping doors are not enough in the busiest hour; the departure plan would need more spread (more slots before 12:00) or a 6th door — and storage would need the 12th module and a dead-stock clean-up first.</w:t>
      </w:r>
    </w:p>
    <w:p>
      <w:pPr>
        <w:pStyle w:val="ListBullet"/>
      </w:pPr>
      <w:r>
        <w:rPr>
          <w:b w:val="0"/>
          <w:sz w:val="21"/>
        </w:rPr>
      </w:r>
      <w:r>
        <w:rPr>
          <w:b/>
          <w:sz w:val="21"/>
        </w:rPr>
        <w:t>Pickers per zone stay low</w:t>
      </w:r>
      <w:r>
        <w:rPr>
          <w:b w:val="0"/>
          <w:sz w:val="21"/>
        </w:rPr>
        <w:t xml:space="preserve"> (≤ 7 in the busiest wave at 250%), so congestion in the aisles is not the limit.</w:t>
      </w:r>
    </w:p>
    <w:p>
      <w:pPr>
        <w:pStyle w:val="Heading1"/>
      </w:pPr>
      <w:r>
        <w:t>3. Sorting — what, how and when</w:t>
      </w:r>
    </w:p>
    <w:p>
      <w:pPr>
        <w:spacing w:after="80"/>
      </w:pPr>
      <w:r>
        <w:rPr>
          <w:b w:val="0"/>
          <w:i w:val="0"/>
          <w:color w:val="222222"/>
          <w:sz w:val="21"/>
        </w:rPr>
        <w:t>Sorting means putting goods into the right group for the next step. In our design it happens in four places. Each one is simple, uses a scan to check the item, and happens at a fixed moment in the day.</w:t>
      </w:r>
    </w:p>
    <w:tbl>
      <w:tblPr>
        <w:tblStyle w:val="LightGrid-Accent1"/>
        <w:tblW w:type="auto" w:w="0"/>
        <w:jc w:val="center"/>
        <w:tblLayout w:type="fixed"/>
        <w:tblLook w:firstColumn="1" w:firstRow="1" w:lastColumn="0" w:lastRow="0" w:noHBand="0" w:noVBand="1" w:val="04A0"/>
      </w:tblPr>
      <w:tblGrid>
        <w:gridCol w:w="1587"/>
        <w:gridCol w:w="1587"/>
        <w:gridCol w:w="3175"/>
        <w:gridCol w:w="1474"/>
        <w:gridCol w:w="1247"/>
      </w:tblGrid>
      <w:tr>
        <w:trPr>
          <w:cantSplit/>
        </w:trPr>
        <w:tc>
          <w:tcPr>
            <w:tcW w:type="dxa" w:w="1587"/>
          </w:tcPr>
          <w:p>
            <w:pPr>
              <w:keepNext/>
            </w:pPr>
            <w:r/>
            <w:r>
              <w:rPr>
                <w:b/>
                <w:sz w:val="19"/>
              </w:rPr>
              <w:t>Where</w:t>
            </w:r>
          </w:p>
        </w:tc>
        <w:tc>
          <w:tcPr>
            <w:tcW w:type="dxa" w:w="1587"/>
          </w:tcPr>
          <w:p>
            <w:pPr>
              <w:keepNext/>
            </w:pPr>
            <w:r/>
            <w:r>
              <w:rPr>
                <w:b/>
                <w:sz w:val="19"/>
              </w:rPr>
              <w:t>What is sorted</w:t>
            </w:r>
          </w:p>
        </w:tc>
        <w:tc>
          <w:tcPr>
            <w:tcW w:type="dxa" w:w="3175"/>
          </w:tcPr>
          <w:p>
            <w:pPr>
              <w:keepNext/>
            </w:pPr>
            <w:r/>
            <w:r>
              <w:rPr>
                <w:b/>
                <w:sz w:val="19"/>
              </w:rPr>
              <w:t>How</w:t>
            </w:r>
          </w:p>
        </w:tc>
        <w:tc>
          <w:tcPr>
            <w:tcW w:type="dxa" w:w="1474"/>
          </w:tcPr>
          <w:p>
            <w:pPr>
              <w:keepNext/>
            </w:pPr>
            <w:r/>
            <w:r>
              <w:rPr>
                <w:b/>
                <w:sz w:val="19"/>
              </w:rPr>
              <w:t>When</w:t>
            </w:r>
          </w:p>
        </w:tc>
        <w:tc>
          <w:tcPr>
            <w:tcW w:type="dxa" w:w="1247"/>
          </w:tcPr>
          <w:p>
            <w:pPr>
              <w:keepNext/>
            </w:pPr>
            <w:r/>
            <w:r>
              <w:rPr>
                <w:b/>
                <w:sz w:val="19"/>
              </w:rPr>
              <w:t>Equipment</w:t>
            </w:r>
          </w:p>
        </w:tc>
      </w:tr>
      <w:tr>
        <w:trPr>
          <w:cantSplit/>
        </w:trPr>
        <w:tc>
          <w:tcPr>
            <w:tcW w:type="dxa" w:w="1587"/>
          </w:tcPr>
          <w:p>
            <w:pPr>
              <w:keepNext/>
            </w:pPr>
            <w:r/>
            <w:r>
              <w:rPr>
                <w:b w:val="0"/>
                <w:sz w:val="19"/>
              </w:rPr>
              <w:t>1. Loose-container zone (door R1)</w:t>
            </w:r>
          </w:p>
        </w:tc>
        <w:tc>
          <w:tcPr>
            <w:tcW w:type="dxa" w:w="1587"/>
          </w:tcPr>
          <w:p>
            <w:pPr>
              <w:keepNext/>
            </w:pPr>
            <w:r/>
            <w:r>
              <w:rPr>
                <w:b w:val="0"/>
                <w:sz w:val="19"/>
              </w:rPr>
              <w:t>Cartons from a container → one pallet per SKU</w:t>
            </w:r>
          </w:p>
        </w:tc>
        <w:tc>
          <w:tcPr>
            <w:tcW w:type="dxa" w:w="3175"/>
          </w:tcPr>
          <w:p>
            <w:pPr>
              <w:keepNext/>
            </w:pPr>
            <w:r/>
            <w:r>
              <w:rPr>
                <w:b w:val="0"/>
                <w:sz w:val="19"/>
              </w:rPr>
              <w:t>Cartons roll out on the conveyor; the worker scans each carton and puts it on the build spot of its SKU (a container has 7 SKUs on average, so 12 build spots are enough). Full pallet → wrap, label, putaway.</w:t>
            </w:r>
          </w:p>
        </w:tc>
        <w:tc>
          <w:tcPr>
            <w:tcW w:type="dxa" w:w="1474"/>
          </w:tcPr>
          <w:p>
            <w:pPr>
              <w:keepNext/>
            </w:pPr>
            <w:r/>
            <w:r>
              <w:rPr>
                <w:b w:val="0"/>
                <w:sz w:val="19"/>
              </w:rPr>
              <w:t>Morning, when the container arrives (~3 h)</w:t>
            </w:r>
          </w:p>
        </w:tc>
        <w:tc>
          <w:tcPr>
            <w:tcW w:type="dxa" w:w="1247"/>
          </w:tcPr>
          <w:p>
            <w:pPr>
              <w:keepNext/>
            </w:pPr>
            <w:r/>
            <w:r>
              <w:rPr>
                <w:b w:val="0"/>
                <w:sz w:val="19"/>
              </w:rPr>
              <w:t>Roller conveyor, RF scanner, stretch wrapper</w:t>
            </w:r>
          </w:p>
        </w:tc>
      </w:tr>
      <w:tr>
        <w:trPr>
          <w:cantSplit/>
        </w:trPr>
        <w:tc>
          <w:tcPr>
            <w:tcW w:type="dxa" w:w="1587"/>
          </w:tcPr>
          <w:p>
            <w:pPr>
              <w:keepNext/>
            </w:pPr>
            <w:r/>
            <w:r>
              <w:rPr>
                <w:b w:val="0"/>
                <w:sz w:val="19"/>
              </w:rPr>
              <w:t>2. Put-to-light wall (packing)</w:t>
            </w:r>
          </w:p>
        </w:tc>
        <w:tc>
          <w:tcPr>
            <w:tcW w:type="dxa" w:w="1587"/>
          </w:tcPr>
          <w:p>
            <w:pPr>
              <w:keepNext/>
            </w:pPr>
            <w:r/>
            <w:r>
              <w:rPr>
                <w:b w:val="0"/>
                <w:sz w:val="19"/>
              </w:rPr>
              <w:t>Picked items → customer orders</w:t>
            </w:r>
          </w:p>
        </w:tc>
        <w:tc>
          <w:tcPr>
            <w:tcW w:type="dxa" w:w="3175"/>
          </w:tcPr>
          <w:p>
            <w:pPr>
              <w:keepNext/>
            </w:pPr>
            <w:r/>
            <w:r>
              <w:rPr>
                <w:b w:val="0"/>
                <w:sz w:val="19"/>
              </w:rPr>
              <w:t>Pickers collect the items of many small orders in one trolley tour (~31 lines). At the wall the packer scans an item, a light shows the order's slot, the item goes in and the button is pressed. A full slot lights up → pack.</w:t>
            </w:r>
          </w:p>
        </w:tc>
        <w:tc>
          <w:tcPr>
            <w:tcW w:type="dxa" w:w="1474"/>
          </w:tcPr>
          <w:p>
            <w:pPr>
              <w:keepNext/>
            </w:pPr>
            <w:r/>
            <w:r>
              <w:rPr>
                <w:b w:val="0"/>
                <w:sz w:val="19"/>
              </w:rPr>
              <w:t>During each wave (3 a day, ~40 small orders per wave)</w:t>
            </w:r>
          </w:p>
        </w:tc>
        <w:tc>
          <w:tcPr>
            <w:tcW w:type="dxa" w:w="1247"/>
          </w:tcPr>
          <w:p>
            <w:pPr>
              <w:keepNext/>
            </w:pPr>
            <w:r/>
            <w:r>
              <w:rPr>
                <w:b w:val="0"/>
                <w:sz w:val="19"/>
              </w:rPr>
              <w:t>Wall with 90 slots</w:t>
            </w:r>
          </w:p>
        </w:tc>
      </w:tr>
      <w:tr>
        <w:trPr>
          <w:cantSplit/>
        </w:trPr>
        <w:tc>
          <w:tcPr>
            <w:tcW w:type="dxa" w:w="1587"/>
          </w:tcPr>
          <w:p>
            <w:pPr>
              <w:keepNext/>
            </w:pPr>
            <w:r/>
            <w:r>
              <w:rPr>
                <w:b w:val="0"/>
                <w:sz w:val="19"/>
              </w:rPr>
              <w:t>3. Carrier lanes (outbound)</w:t>
            </w:r>
          </w:p>
        </w:tc>
        <w:tc>
          <w:tcPr>
            <w:tcW w:type="dxa" w:w="1587"/>
          </w:tcPr>
          <w:p>
            <w:pPr>
              <w:keepNext/>
            </w:pPr>
            <w:r/>
            <w:r>
              <w:rPr>
                <w:b w:val="0"/>
                <w:sz w:val="19"/>
              </w:rPr>
              <w:t>Packed parcels and pallets → trailer</w:t>
            </w:r>
          </w:p>
        </w:tc>
        <w:tc>
          <w:tcPr>
            <w:tcW w:type="dxa" w:w="3175"/>
          </w:tcPr>
          <w:p>
            <w:pPr>
              <w:keepNext/>
            </w:pPr>
            <w:r/>
            <w:r>
              <w:rPr>
                <w:b w:val="0"/>
                <w:sz w:val="19"/>
              </w:rPr>
              <w:t>The label says the carrier and departure slot. Parcels go into roll cages per carrier, pallets into the staging lane of their trailer (14 trailer slots a day).</w:t>
            </w:r>
          </w:p>
        </w:tc>
        <w:tc>
          <w:tcPr>
            <w:tcW w:type="dxa" w:w="1474"/>
          </w:tcPr>
          <w:p>
            <w:pPr>
              <w:keepNext/>
            </w:pPr>
            <w:r/>
            <w:r>
              <w:rPr>
                <w:b w:val="0"/>
                <w:sz w:val="19"/>
              </w:rPr>
              <w:t>All afternoon, until each trailer's departure</w:t>
            </w:r>
          </w:p>
        </w:tc>
        <w:tc>
          <w:tcPr>
            <w:tcW w:type="dxa" w:w="1247"/>
          </w:tcPr>
          <w:p>
            <w:pPr>
              <w:keepNext/>
            </w:pPr>
            <w:r/>
            <w:r>
              <w:rPr>
                <w:b w:val="0"/>
                <w:sz w:val="19"/>
              </w:rPr>
              <w:t>41 roll cages, floor lanes</w:t>
            </w:r>
          </w:p>
        </w:tc>
      </w:tr>
      <w:tr>
        <w:trPr>
          <w:cantSplit/>
        </w:trPr>
        <w:tc>
          <w:tcPr>
            <w:tcW w:type="dxa" w:w="1587"/>
          </w:tcPr>
          <w:p>
            <w:r/>
            <w:r>
              <w:rPr>
                <w:b w:val="0"/>
                <w:sz w:val="19"/>
              </w:rPr>
              <w:t>4. Returns</w:t>
            </w:r>
          </w:p>
        </w:tc>
        <w:tc>
          <w:tcPr>
            <w:tcW w:type="dxa" w:w="1587"/>
          </w:tcPr>
          <w:p>
            <w:r/>
            <w:r>
              <w:rPr>
                <w:b w:val="0"/>
                <w:sz w:val="19"/>
              </w:rPr>
              <w:t>Returned goods → restock / rework / scrap</w:t>
            </w:r>
          </w:p>
        </w:tc>
        <w:tc>
          <w:tcPr>
            <w:tcW w:type="dxa" w:w="3175"/>
          </w:tcPr>
          <w:p>
            <w:r/>
            <w:r>
              <w:rPr>
                <w:b w:val="0"/>
                <w:sz w:val="19"/>
              </w:rPr>
              <w:t>Inspect and grade, then each group goes to its own cage.</w:t>
            </w:r>
          </w:p>
        </w:tc>
        <w:tc>
          <w:tcPr>
            <w:tcW w:type="dxa" w:w="1474"/>
          </w:tcPr>
          <w:p>
            <w:r/>
            <w:r>
              <w:rPr>
                <w:b w:val="0"/>
                <w:sz w:val="19"/>
              </w:rPr>
              <w:t>When a return arrives</w:t>
            </w:r>
          </w:p>
        </w:tc>
        <w:tc>
          <w:tcPr>
            <w:tcW w:type="dxa" w:w="1247"/>
          </w:tcPr>
          <w:p>
            <w:r/>
            <w:r>
              <w:rPr>
                <w:b w:val="0"/>
                <w:sz w:val="19"/>
              </w:rPr>
              <w:t>Returns area, RF scanner</w:t>
            </w:r>
          </w:p>
        </w:tc>
      </w:tr>
    </w:tbl>
    <w:p>
      <w:pPr>
        <w:spacing w:after="40"/>
      </w:pPr>
    </w:p>
    <w:p>
      <w:pPr>
        <w:keepNext/>
        <w:jc w:val="center"/>
      </w:pPr>
      <w:r>
        <w:drawing>
          <wp:inline xmlns:a="http://schemas.openxmlformats.org/drawingml/2006/main" xmlns:pic="http://schemas.openxmlformats.org/drawingml/2006/picture">
            <wp:extent cx="5760000" cy="1871597"/>
            <wp:docPr id="5" name="Picture 5"/>
            <wp:cNvGraphicFramePr>
              <a:graphicFrameLocks noChangeAspect="1"/>
            </wp:cNvGraphicFramePr>
            <a:graphic>
              <a:graphicData uri="http://schemas.openxmlformats.org/drawingml/2006/picture">
                <pic:pic>
                  <pic:nvPicPr>
                    <pic:cNvPr id="0" name="d3_sorting_timeline.png"/>
                    <pic:cNvPicPr/>
                  </pic:nvPicPr>
                  <pic:blipFill>
                    <a:blip r:embed="rId13"/>
                    <a:stretch>
                      <a:fillRect/>
                    </a:stretch>
                  </pic:blipFill>
                  <pic:spPr>
                    <a:xfrm>
                      <a:off x="0" y="0"/>
                      <a:ext cx="5760000" cy="1871597"/>
                    </a:xfrm>
                    <a:prstGeom prst="rect"/>
                  </pic:spPr>
                </pic:pic>
              </a:graphicData>
            </a:graphic>
          </wp:inline>
        </w:drawing>
      </w:r>
    </w:p>
    <w:p>
      <w:pPr>
        <w:spacing w:after="200"/>
        <w:jc w:val="center"/>
      </w:pPr>
      <w:r>
        <w:rPr>
          <w:b w:val="0"/>
          <w:i/>
          <w:color w:val="666666"/>
          <w:sz w:val="17"/>
        </w:rPr>
        <w:t>Fig 5. When the sorting points are busy during a normal day.</w:t>
      </w:r>
    </w:p>
    <w:p>
      <w:pPr>
        <w:pStyle w:val="ListBullet"/>
      </w:pPr>
      <w:r>
        <w:rPr>
          <w:b w:val="0"/>
          <w:sz w:val="21"/>
        </w:rPr>
      </w:r>
      <w:r>
        <w:rPr>
          <w:b/>
          <w:sz w:val="21"/>
        </w:rPr>
        <w:t>Why a put-to-light wall and not sorting by hand:</w:t>
      </w:r>
      <w:r>
        <w:rPr>
          <w:b w:val="0"/>
          <w:sz w:val="21"/>
        </w:rPr>
        <w:t xml:space="preserve"> 84% of orders are small (median 7 litres). Picking them one by one would mean ~120 walks a day; picking them together and sorting at the wall is about twice as fast (D2 §6.2).</w:t>
      </w:r>
    </w:p>
    <w:p>
      <w:pPr>
        <w:pStyle w:val="ListBullet"/>
      </w:pPr>
      <w:r>
        <w:rPr>
          <w:b w:val="0"/>
          <w:sz w:val="21"/>
        </w:rPr>
      </w:r>
      <w:r>
        <w:rPr>
          <w:b/>
          <w:sz w:val="21"/>
        </w:rPr>
        <w:t>Why not an automatic sorter:</w:t>
      </w:r>
      <w:r>
        <w:rPr>
          <w:b w:val="0"/>
          <w:sz w:val="21"/>
        </w:rPr>
        <w:t xml:space="preserve"> ~120 small orders a day is far too little for a sorter machine to pay off; the wall costs about €26k (Section 5).</w:t>
      </w:r>
    </w:p>
    <w:p>
      <w:pPr>
        <w:pStyle w:val="ListBullet"/>
      </w:pPr>
      <w:r>
        <w:rPr>
          <w:b w:val="0"/>
          <w:sz w:val="21"/>
        </w:rPr>
      </w:r>
      <w:r>
        <w:rPr>
          <w:b/>
          <w:sz w:val="21"/>
        </w:rPr>
        <w:t>Large orders are not sorted:</w:t>
      </w:r>
      <w:r>
        <w:rPr>
          <w:b w:val="0"/>
          <w:sz w:val="21"/>
        </w:rPr>
        <w:t xml:space="preserve"> each one is picked straight onto its own pallet, so it goes directly to packing.</w:t>
      </w:r>
    </w:p>
    <w:p>
      <w:pPr>
        <w:pStyle w:val="Heading1"/>
      </w:pPr>
      <w:r>
        <w:t>4. Machinery — is everything fit and justified?</w:t>
      </w:r>
    </w:p>
    <w:p>
      <w:pPr>
        <w:spacing w:after="80"/>
      </w:pPr>
      <w:r>
        <w:rPr>
          <w:b w:val="0"/>
          <w:i w:val="0"/>
          <w:color w:val="222222"/>
          <w:sz w:val="21"/>
        </w:rPr>
        <w:t>Each machine was checked against three questions: does it have a job every day, does it fit the loads and the aisles, and is the number right?</w:t>
      </w:r>
    </w:p>
    <w:tbl>
      <w:tblPr>
        <w:tblStyle w:val="LightGrid-Accent1"/>
        <w:tblW w:type="auto" w:w="0"/>
        <w:jc w:val="center"/>
        <w:tblLayout w:type="fixed"/>
        <w:tblLook w:firstColumn="1" w:firstRow="1" w:lastColumn="0" w:lastRow="0" w:noHBand="0" w:noVBand="1" w:val="04A0"/>
      </w:tblPr>
      <w:tblGrid>
        <w:gridCol w:w="1587"/>
        <w:gridCol w:w="1587"/>
        <w:gridCol w:w="907"/>
        <w:gridCol w:w="794"/>
        <w:gridCol w:w="2041"/>
        <w:gridCol w:w="2154"/>
      </w:tblGrid>
      <w:tr>
        <w:trPr>
          <w:cantSplit/>
        </w:trPr>
        <w:tc>
          <w:tcPr>
            <w:tcW w:type="dxa" w:w="1587"/>
          </w:tcPr>
          <w:p>
            <w:pPr>
              <w:keepNext/>
            </w:pPr>
            <w:r/>
            <w:r>
              <w:rPr>
                <w:b/>
                <w:sz w:val="19"/>
              </w:rPr>
              <w:t>Machine</w:t>
            </w:r>
          </w:p>
        </w:tc>
        <w:tc>
          <w:tcPr>
            <w:tcW w:type="dxa" w:w="1587"/>
          </w:tcPr>
          <w:p>
            <w:pPr>
              <w:keepNext/>
            </w:pPr>
            <w:r/>
            <w:r>
              <w:rPr>
                <w:b/>
                <w:sz w:val="19"/>
              </w:rPr>
              <w:t>Job</w:t>
            </w:r>
          </w:p>
        </w:tc>
        <w:tc>
          <w:tcPr>
            <w:tcW w:type="dxa" w:w="907"/>
          </w:tcPr>
          <w:p>
            <w:pPr>
              <w:keepNext/>
            </w:pPr>
            <w:r/>
            <w:r>
              <w:rPr>
                <w:b/>
                <w:sz w:val="19"/>
              </w:rPr>
              <w:t>Units</w:t>
            </w:r>
          </w:p>
        </w:tc>
        <w:tc>
          <w:tcPr>
            <w:tcW w:type="dxa" w:w="794"/>
          </w:tcPr>
          <w:p>
            <w:pPr>
              <w:keepNext/>
            </w:pPr>
            <w:r/>
            <w:r>
              <w:rPr>
                <w:b/>
                <w:sz w:val="19"/>
              </w:rPr>
              <w:t>Use (avg day)</w:t>
            </w:r>
          </w:p>
        </w:tc>
        <w:tc>
          <w:tcPr>
            <w:tcW w:type="dxa" w:w="2041"/>
          </w:tcPr>
          <w:p>
            <w:pPr>
              <w:keepNext/>
            </w:pPr>
            <w:r/>
            <w:r>
              <w:rPr>
                <w:b/>
                <w:sz w:val="19"/>
              </w:rPr>
              <w:t>Fits?</w:t>
            </w:r>
          </w:p>
        </w:tc>
        <w:tc>
          <w:tcPr>
            <w:tcW w:type="dxa" w:w="2154"/>
          </w:tcPr>
          <w:p>
            <w:pPr>
              <w:keepNext/>
            </w:pPr>
            <w:r/>
            <w:r>
              <w:rPr>
                <w:b/>
                <w:sz w:val="19"/>
              </w:rPr>
              <w:t>Verdict</w:t>
            </w:r>
          </w:p>
        </w:tc>
      </w:tr>
      <w:tr>
        <w:trPr>
          <w:cantSplit/>
        </w:trPr>
        <w:tc>
          <w:tcPr>
            <w:tcW w:type="dxa" w:w="1587"/>
          </w:tcPr>
          <w:p>
            <w:pPr>
              <w:keepNext/>
            </w:pPr>
            <w:r/>
            <w:r>
              <w:rPr>
                <w:b w:val="0"/>
                <w:sz w:val="19"/>
              </w:rPr>
              <w:t>ETV 216i reach truck</w:t>
            </w:r>
          </w:p>
        </w:tc>
        <w:tc>
          <w:tcPr>
            <w:tcW w:type="dxa" w:w="1587"/>
          </w:tcPr>
          <w:p>
            <w:pPr>
              <w:keepNext/>
            </w:pPr>
            <w:r/>
            <w:r>
              <w:rPr>
                <w:b w:val="0"/>
                <w:sz w:val="19"/>
              </w:rPr>
              <w:t>Putaway, refill fast-pick area, full pallets</w:t>
            </w:r>
          </w:p>
        </w:tc>
        <w:tc>
          <w:tcPr>
            <w:tcW w:type="dxa" w:w="907"/>
          </w:tcPr>
          <w:p>
            <w:pPr>
              <w:keepNext/>
            </w:pPr>
            <w:r/>
            <w:r>
              <w:rPr>
                <w:b w:val="0"/>
                <w:sz w:val="19"/>
              </w:rPr>
              <w:t>3 → 2</w:t>
            </w:r>
          </w:p>
        </w:tc>
        <w:tc>
          <w:tcPr>
            <w:tcW w:type="dxa" w:w="794"/>
          </w:tcPr>
          <w:p>
            <w:pPr>
              <w:keepNext/>
            </w:pPr>
            <w:r/>
            <w:r>
              <w:rPr>
                <w:b w:val="0"/>
                <w:sz w:val="19"/>
              </w:rPr>
              <w:t>33%</w:t>
            </w:r>
          </w:p>
        </w:tc>
        <w:tc>
          <w:tcPr>
            <w:tcW w:type="dxa" w:w="2041"/>
          </w:tcPr>
          <w:p>
            <w:pPr>
              <w:keepNext/>
            </w:pPr>
            <w:r/>
            <w:r>
              <w:rPr>
                <w:b w:val="0"/>
                <w:sz w:val="19"/>
              </w:rPr>
              <w:t>Yes: 10.7 m lift for the 10.0 m top beam; single-deep → standard forks</w:t>
            </w:r>
          </w:p>
        </w:tc>
        <w:tc>
          <w:tcPr>
            <w:tcW w:type="dxa" w:w="2154"/>
          </w:tcPr>
          <w:p>
            <w:pPr>
              <w:keepNext/>
            </w:pPr>
            <w:r/>
            <w:r>
              <w:rPr>
                <w:b w:val="0"/>
                <w:sz w:val="19"/>
              </w:rPr>
              <w:t>Keep. 2 cover the peak day; a breakdown still leaves enough for an average day.</w:t>
            </w:r>
          </w:p>
        </w:tc>
      </w:tr>
      <w:tr>
        <w:trPr>
          <w:cantSplit/>
        </w:trPr>
        <w:tc>
          <w:tcPr>
            <w:tcW w:type="dxa" w:w="1587"/>
          </w:tcPr>
          <w:p>
            <w:pPr>
              <w:keepNext/>
            </w:pPr>
            <w:r/>
            <w:r>
              <w:rPr>
                <w:b w:val="0"/>
                <w:sz w:val="19"/>
              </w:rPr>
              <w:t>EJE 120i pallet truck</w:t>
            </w:r>
          </w:p>
        </w:tc>
        <w:tc>
          <w:tcPr>
            <w:tcW w:type="dxa" w:w="1587"/>
          </w:tcPr>
          <w:p>
            <w:pPr>
              <w:keepNext/>
            </w:pPr>
            <w:r/>
            <w:r>
              <w:rPr>
                <w:b w:val="0"/>
                <w:sz w:val="19"/>
              </w:rPr>
              <w:t>Large orders picked onto a pallet</w:t>
            </w:r>
          </w:p>
        </w:tc>
        <w:tc>
          <w:tcPr>
            <w:tcW w:type="dxa" w:w="907"/>
          </w:tcPr>
          <w:p>
            <w:pPr>
              <w:keepNext/>
            </w:pPr>
            <w:r/>
            <w:r>
              <w:rPr>
                <w:b w:val="0"/>
                <w:sz w:val="19"/>
              </w:rPr>
              <w:t>4 → 3</w:t>
            </w:r>
          </w:p>
        </w:tc>
        <w:tc>
          <w:tcPr>
            <w:tcW w:type="dxa" w:w="794"/>
          </w:tcPr>
          <w:p>
            <w:pPr>
              <w:keepNext/>
            </w:pPr>
            <w:r/>
            <w:r>
              <w:rPr>
                <w:b w:val="0"/>
                <w:sz w:val="19"/>
              </w:rPr>
              <w:t>35%</w:t>
            </w:r>
          </w:p>
        </w:tc>
        <w:tc>
          <w:tcPr>
            <w:tcW w:type="dxa" w:w="2041"/>
          </w:tcPr>
          <w:p>
            <w:pPr>
              <w:keepNext/>
            </w:pPr>
            <w:r/>
            <w:r>
              <w:rPr>
                <w:b w:val="0"/>
                <w:sz w:val="19"/>
              </w:rPr>
              <w:t>Yes: 0.72 m wide, no U-turns needed</w:t>
            </w:r>
          </w:p>
        </w:tc>
        <w:tc>
          <w:tcPr>
            <w:tcW w:type="dxa" w:w="2154"/>
          </w:tcPr>
          <w:p>
            <w:pPr>
              <w:keepNext/>
            </w:pPr>
            <w:r/>
            <w:r>
              <w:rPr>
                <w:b w:val="0"/>
                <w:sz w:val="19"/>
              </w:rPr>
              <w:t>Keep 3 (peak need).</w:t>
            </w:r>
          </w:p>
        </w:tc>
      </w:tr>
      <w:tr>
        <w:trPr>
          <w:cantSplit/>
        </w:trPr>
        <w:tc>
          <w:tcPr>
            <w:tcW w:type="dxa" w:w="1587"/>
          </w:tcPr>
          <w:p>
            <w:pPr>
              <w:keepNext/>
            </w:pPr>
            <w:r/>
            <w:r>
              <w:rPr>
                <w:b w:val="0"/>
                <w:sz w:val="19"/>
              </w:rPr>
              <w:t>ERE 225 rider pallet truck</w:t>
            </w:r>
          </w:p>
        </w:tc>
        <w:tc>
          <w:tcPr>
            <w:tcW w:type="dxa" w:w="1587"/>
          </w:tcPr>
          <w:p>
            <w:pPr>
              <w:keepNext/>
            </w:pPr>
            <w:r/>
            <w:r>
              <w:rPr>
                <w:b w:val="0"/>
                <w:sz w:val="19"/>
              </w:rPr>
              <w:t>Unload / load trailers, container-zone pallets</w:t>
            </w:r>
          </w:p>
        </w:tc>
        <w:tc>
          <w:tcPr>
            <w:tcW w:type="dxa" w:w="907"/>
          </w:tcPr>
          <w:p>
            <w:pPr>
              <w:keepNext/>
            </w:pPr>
            <w:r/>
            <w:r>
              <w:rPr>
                <w:b w:val="0"/>
                <w:sz w:val="19"/>
              </w:rPr>
              <w:t>2 → 2</w:t>
            </w:r>
          </w:p>
        </w:tc>
        <w:tc>
          <w:tcPr>
            <w:tcW w:type="dxa" w:w="794"/>
          </w:tcPr>
          <w:p>
            <w:pPr>
              <w:keepNext/>
            </w:pPr>
            <w:r/>
            <w:r>
              <w:rPr>
                <w:b w:val="0"/>
                <w:sz w:val="19"/>
              </w:rPr>
              <w:t>14%</w:t>
            </w:r>
          </w:p>
        </w:tc>
        <w:tc>
          <w:tcPr>
            <w:tcW w:type="dxa" w:w="2041"/>
          </w:tcPr>
          <w:p>
            <w:pPr>
              <w:keepNext/>
            </w:pPr>
            <w:r/>
            <w:r>
              <w:rPr>
                <w:b w:val="0"/>
                <w:sz w:val="19"/>
              </w:rPr>
              <w:t>Yes: 2.5 t, carries the few heavy loads</w:t>
            </w:r>
          </w:p>
        </w:tc>
        <w:tc>
          <w:tcPr>
            <w:tcW w:type="dxa" w:w="2154"/>
          </w:tcPr>
          <w:p>
            <w:pPr>
              <w:keepNext/>
            </w:pPr>
            <w:r/>
            <w:r>
              <w:rPr>
                <w:b w:val="0"/>
                <w:sz w:val="19"/>
              </w:rPr>
              <w:t>Keep 1 per dock side: docks are 96 m apart and both are busy 10:30–14:00. Low use — could drop to 1 if DHL accepts the walk.</w:t>
            </w:r>
          </w:p>
        </w:tc>
      </w:tr>
      <w:tr>
        <w:trPr>
          <w:cantSplit/>
        </w:trPr>
        <w:tc>
          <w:tcPr>
            <w:tcW w:type="dxa" w:w="1587"/>
          </w:tcPr>
          <w:p>
            <w:pPr>
              <w:keepNext/>
            </w:pPr>
            <w:r/>
            <w:r>
              <w:rPr>
                <w:b w:val="0"/>
                <w:sz w:val="19"/>
              </w:rPr>
              <w:t>Pick trolley + totes</w:t>
            </w:r>
          </w:p>
        </w:tc>
        <w:tc>
          <w:tcPr>
            <w:tcW w:type="dxa" w:w="1587"/>
          </w:tcPr>
          <w:p>
            <w:pPr>
              <w:keepNext/>
            </w:pPr>
            <w:r/>
            <w:r>
              <w:rPr>
                <w:b w:val="0"/>
                <w:sz w:val="19"/>
              </w:rPr>
              <w:t>Small orders, batch picking</w:t>
            </w:r>
          </w:p>
        </w:tc>
        <w:tc>
          <w:tcPr>
            <w:tcW w:type="dxa" w:w="907"/>
          </w:tcPr>
          <w:p>
            <w:pPr>
              <w:keepNext/>
            </w:pPr>
            <w:r/>
            <w:r>
              <w:rPr>
                <w:b w:val="0"/>
                <w:sz w:val="19"/>
              </w:rPr>
              <w:t>6</w:t>
            </w:r>
          </w:p>
        </w:tc>
        <w:tc>
          <w:tcPr>
            <w:tcW w:type="dxa" w:w="794"/>
          </w:tcPr>
          <w:p>
            <w:pPr>
              <w:keepNext/>
            </w:pPr>
            <w:r/>
            <w:r>
              <w:rPr>
                <w:b w:val="0"/>
                <w:sz w:val="19"/>
              </w:rPr>
              <w:t>—</w:t>
            </w:r>
          </w:p>
        </w:tc>
        <w:tc>
          <w:tcPr>
            <w:tcW w:type="dxa" w:w="2041"/>
          </w:tcPr>
          <w:p>
            <w:pPr>
              <w:keepNext/>
            </w:pPr>
            <w:r/>
            <w:r>
              <w:rPr>
                <w:b w:val="0"/>
                <w:sz w:val="19"/>
              </w:rPr>
              <w:t>Yes: 250 kg, 6 totes</w:t>
            </w:r>
          </w:p>
        </w:tc>
        <w:tc>
          <w:tcPr>
            <w:tcW w:type="dxa" w:w="2154"/>
          </w:tcPr>
          <w:p>
            <w:pPr>
              <w:keepNext/>
            </w:pPr>
            <w:r/>
            <w:r>
              <w:rPr>
                <w:b w:val="0"/>
                <w:sz w:val="19"/>
              </w:rPr>
              <w:t>Keep (cheap, flexible).</w:t>
            </w:r>
          </w:p>
        </w:tc>
      </w:tr>
      <w:tr>
        <w:trPr>
          <w:cantSplit/>
        </w:trPr>
        <w:tc>
          <w:tcPr>
            <w:tcW w:type="dxa" w:w="1587"/>
          </w:tcPr>
          <w:p>
            <w:pPr>
              <w:keepNext/>
            </w:pPr>
            <w:r/>
            <w:r>
              <w:rPr>
                <w:b w:val="0"/>
                <w:sz w:val="19"/>
              </w:rPr>
              <w:t>Put-to-light wall</w:t>
            </w:r>
          </w:p>
        </w:tc>
        <w:tc>
          <w:tcPr>
            <w:tcW w:type="dxa" w:w="1587"/>
          </w:tcPr>
          <w:p>
            <w:pPr>
              <w:keepNext/>
            </w:pPr>
            <w:r/>
            <w:r>
              <w:rPr>
                <w:b w:val="0"/>
                <w:sz w:val="19"/>
              </w:rPr>
              <w:t>Sort batch picks into orders</w:t>
            </w:r>
          </w:p>
        </w:tc>
        <w:tc>
          <w:tcPr>
            <w:tcW w:type="dxa" w:w="907"/>
          </w:tcPr>
          <w:p>
            <w:pPr>
              <w:keepNext/>
            </w:pPr>
            <w:r/>
            <w:r>
              <w:rPr>
                <w:b w:val="0"/>
                <w:sz w:val="19"/>
              </w:rPr>
              <w:t>90 slots</w:t>
            </w:r>
          </w:p>
        </w:tc>
        <w:tc>
          <w:tcPr>
            <w:tcW w:type="dxa" w:w="794"/>
          </w:tcPr>
          <w:p>
            <w:pPr>
              <w:keepNext/>
            </w:pPr>
            <w:r/>
            <w:r>
              <w:rPr>
                <w:b w:val="0"/>
                <w:sz w:val="19"/>
              </w:rPr>
              <w:t>—</w:t>
            </w:r>
          </w:p>
        </w:tc>
        <w:tc>
          <w:tcPr>
            <w:tcW w:type="dxa" w:w="2041"/>
          </w:tcPr>
          <w:p>
            <w:pPr>
              <w:keepNext/>
            </w:pPr>
            <w:r/>
            <w:r>
              <w:rPr>
                <w:b w:val="0"/>
                <w:sz w:val="19"/>
              </w:rPr>
              <w:t>Peak wave ~73 small orders + 20%</w:t>
            </w:r>
          </w:p>
        </w:tc>
        <w:tc>
          <w:tcPr>
            <w:tcW w:type="dxa" w:w="2154"/>
          </w:tcPr>
          <w:p>
            <w:pPr>
              <w:keepNext/>
            </w:pPr>
            <w:r/>
            <w:r>
              <w:rPr>
                <w:b w:val="0"/>
                <w:sz w:val="19"/>
              </w:rPr>
              <w:t>Keep.</w:t>
            </w:r>
          </w:p>
        </w:tc>
      </w:tr>
      <w:tr>
        <w:trPr>
          <w:cantSplit/>
        </w:trPr>
        <w:tc>
          <w:tcPr>
            <w:tcW w:type="dxa" w:w="1587"/>
          </w:tcPr>
          <w:p>
            <w:pPr>
              <w:keepNext/>
            </w:pPr>
            <w:r/>
            <w:r>
              <w:rPr>
                <w:b w:val="0"/>
                <w:sz w:val="19"/>
              </w:rPr>
              <w:t>Roller conveyor + 2 stretch wrappers</w:t>
            </w:r>
          </w:p>
        </w:tc>
        <w:tc>
          <w:tcPr>
            <w:tcW w:type="dxa" w:w="1587"/>
          </w:tcPr>
          <w:p>
            <w:pPr>
              <w:keepNext/>
            </w:pPr>
            <w:r/>
            <w:r>
              <w:rPr>
                <w:b w:val="0"/>
                <w:sz w:val="19"/>
              </w:rPr>
              <w:t>Unpack containers; wrap new and outgoing pallets</w:t>
            </w:r>
          </w:p>
        </w:tc>
        <w:tc>
          <w:tcPr>
            <w:tcW w:type="dxa" w:w="907"/>
          </w:tcPr>
          <w:p>
            <w:pPr>
              <w:keepNext/>
            </w:pPr>
            <w:r/>
            <w:r>
              <w:rPr>
                <w:b w:val="0"/>
                <w:sz w:val="19"/>
              </w:rPr>
              <w:t>new</w:t>
            </w:r>
          </w:p>
        </w:tc>
        <w:tc>
          <w:tcPr>
            <w:tcW w:type="dxa" w:w="794"/>
          </w:tcPr>
          <w:p>
            <w:pPr>
              <w:keepNext/>
            </w:pPr>
            <w:r/>
            <w:r>
              <w:rPr>
                <w:b w:val="0"/>
                <w:sz w:val="19"/>
              </w:rPr>
              <w:t>—</w:t>
            </w:r>
          </w:p>
        </w:tc>
        <w:tc>
          <w:tcPr>
            <w:tcW w:type="dxa" w:w="2041"/>
          </w:tcPr>
          <w:p>
            <w:pPr>
              <w:keepNext/>
            </w:pPr>
            <w:r/>
            <w:r>
              <w:rPr>
                <w:b w:val="0"/>
                <w:sz w:val="19"/>
              </w:rPr>
              <w:t>Yes: no heavy carrying out of the container</w:t>
            </w:r>
          </w:p>
        </w:tc>
        <w:tc>
          <w:tcPr>
            <w:tcW w:type="dxa" w:w="2154"/>
          </w:tcPr>
          <w:p>
            <w:pPr>
              <w:keepNext/>
            </w:pPr>
            <w:r/>
            <w:r>
              <w:rPr>
                <w:b w:val="0"/>
                <w:sz w:val="19"/>
              </w:rPr>
              <w:t>Add (D3).</w:t>
            </w:r>
          </w:p>
        </w:tc>
      </w:tr>
      <w:tr>
        <w:trPr>
          <w:cantSplit/>
        </w:trPr>
        <w:tc>
          <w:tcPr>
            <w:tcW w:type="dxa" w:w="1587"/>
          </w:tcPr>
          <w:p>
            <w:pPr>
              <w:keepNext/>
            </w:pPr>
            <w:r/>
            <w:r>
              <w:rPr>
                <w:b w:val="0"/>
                <w:sz w:val="19"/>
              </w:rPr>
              <w:t>RF terminals</w:t>
            </w:r>
          </w:p>
        </w:tc>
        <w:tc>
          <w:tcPr>
            <w:tcW w:type="dxa" w:w="1587"/>
          </w:tcPr>
          <w:p>
            <w:pPr>
              <w:keepNext/>
            </w:pPr>
            <w:r/>
            <w:r>
              <w:rPr>
                <w:b w:val="0"/>
                <w:sz w:val="19"/>
              </w:rPr>
              <w:t>Scan every move</w:t>
            </w:r>
          </w:p>
        </w:tc>
        <w:tc>
          <w:tcPr>
            <w:tcW w:type="dxa" w:w="907"/>
          </w:tcPr>
          <w:p>
            <w:pPr>
              <w:keepNext/>
            </w:pPr>
            <w:r/>
            <w:r>
              <w:rPr>
                <w:b w:val="0"/>
                <w:sz w:val="19"/>
              </w:rPr>
              <w:t>14</w:t>
            </w:r>
          </w:p>
        </w:tc>
        <w:tc>
          <w:tcPr>
            <w:tcW w:type="dxa" w:w="794"/>
          </w:tcPr>
          <w:p>
            <w:pPr>
              <w:keepNext/>
            </w:pPr>
            <w:r/>
            <w:r>
              <w:rPr>
                <w:b w:val="0"/>
                <w:sz w:val="19"/>
              </w:rPr>
              <w:t>—</w:t>
            </w:r>
          </w:p>
        </w:tc>
        <w:tc>
          <w:tcPr>
            <w:tcW w:type="dxa" w:w="2041"/>
          </w:tcPr>
          <w:p>
            <w:pPr>
              <w:keepNext/>
            </w:pPr>
            <w:r/>
            <w:r>
              <w:rPr>
                <w:b w:val="0"/>
                <w:sz w:val="19"/>
              </w:rPr>
              <w:t>One per person at the peak + 20%</w:t>
            </w:r>
          </w:p>
        </w:tc>
        <w:tc>
          <w:tcPr>
            <w:tcW w:type="dxa" w:w="2154"/>
          </w:tcPr>
          <w:p>
            <w:pPr>
              <w:keepNext/>
            </w:pPr>
            <w:r/>
            <w:r>
              <w:rPr>
                <w:b w:val="0"/>
                <w:sz w:val="19"/>
              </w:rPr>
              <w:t>Keep.</w:t>
            </w:r>
          </w:p>
        </w:tc>
      </w:tr>
      <w:tr>
        <w:trPr>
          <w:cantSplit/>
        </w:trPr>
        <w:tc>
          <w:tcPr>
            <w:tcW w:type="dxa" w:w="1587"/>
          </w:tcPr>
          <w:p>
            <w:pPr>
              <w:keepNext/>
            </w:pPr>
            <w:r/>
            <w:r>
              <w:rPr>
                <w:b w:val="0"/>
                <w:sz w:val="19"/>
              </w:rPr>
              <w:t>Telescopic forks</w:t>
            </w:r>
          </w:p>
        </w:tc>
        <w:tc>
          <w:tcPr>
            <w:tcW w:type="dxa" w:w="1587"/>
          </w:tcPr>
          <w:p>
            <w:pPr>
              <w:keepNext/>
            </w:pPr>
            <w:r/>
            <w:r>
              <w:rPr>
                <w:b w:val="0"/>
                <w:sz w:val="19"/>
              </w:rPr>
              <w:t>(double-deep)</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Not needed with single-deep racks</w:t>
            </w:r>
          </w:p>
        </w:tc>
        <w:tc>
          <w:tcPr>
            <w:tcW w:type="dxa" w:w="2154"/>
          </w:tcPr>
          <w:p>
            <w:pPr>
              <w:keepNext/>
            </w:pPr>
            <w:r/>
            <w:r>
              <w:rPr>
                <w:b w:val="0"/>
                <w:sz w:val="19"/>
              </w:rPr>
              <w:t>Removed.</w:t>
            </w:r>
          </w:p>
        </w:tc>
      </w:tr>
      <w:tr>
        <w:trPr>
          <w:cantSplit/>
        </w:trPr>
        <w:tc>
          <w:tcPr>
            <w:tcW w:type="dxa" w:w="1587"/>
          </w:tcPr>
          <w:p>
            <w:pPr>
              <w:keepNext/>
            </w:pPr>
            <w:r/>
            <w:r>
              <w:rPr>
                <w:b w:val="0"/>
                <w:sz w:val="19"/>
              </w:rPr>
              <w:t>ECE 225 order picker</w:t>
            </w:r>
          </w:p>
        </w:tc>
        <w:tc>
          <w:tcPr>
            <w:tcW w:type="dxa" w:w="1587"/>
          </w:tcPr>
          <w:p>
            <w:pPr>
              <w:keepNext/>
            </w:pPr>
            <w:r/>
            <w:r>
              <w:rPr>
                <w:b w:val="0"/>
                <w:sz w:val="19"/>
              </w:rPr>
              <w:t>(2-pallet picking)</w:t>
            </w:r>
          </w:p>
        </w:tc>
        <w:tc>
          <w:tcPr>
            <w:tcW w:type="dxa" w:w="907"/>
          </w:tcPr>
          <w:p>
            <w:pPr>
              <w:keepNext/>
            </w:pPr>
            <w:r/>
            <w:r>
              <w:rPr>
                <w:b w:val="0"/>
                <w:sz w:val="19"/>
              </w:rPr>
              <w:t>rejected (D2)</w:t>
            </w:r>
          </w:p>
        </w:tc>
        <w:tc>
          <w:tcPr>
            <w:tcW w:type="dxa" w:w="794"/>
          </w:tcPr>
          <w:p>
            <w:pPr>
              <w:keepNext/>
            </w:pPr>
            <w:r/>
            <w:r>
              <w:rPr>
                <w:b w:val="0"/>
                <w:sz w:val="19"/>
              </w:rPr>
              <w:t>—</w:t>
            </w:r>
          </w:p>
        </w:tc>
        <w:tc>
          <w:tcPr>
            <w:tcW w:type="dxa" w:w="2041"/>
          </w:tcPr>
          <w:p>
            <w:pPr>
              <w:keepNext/>
            </w:pPr>
            <w:r/>
            <w:r>
              <w:rPr>
                <w:b w:val="0"/>
                <w:sz w:val="19"/>
              </w:rPr>
              <w:t>Too long for 3.0 m aisles; orders too small</w:t>
            </w:r>
          </w:p>
        </w:tc>
        <w:tc>
          <w:tcPr>
            <w:tcW w:type="dxa" w:w="2154"/>
          </w:tcPr>
          <w:p>
            <w:pPr>
              <w:keepNext/>
            </w:pPr>
            <w:r/>
            <w:r>
              <w:rPr>
                <w:b w:val="0"/>
                <w:sz w:val="19"/>
              </w:rPr>
              <w:t>Rejected.</w:t>
            </w:r>
          </w:p>
        </w:tc>
      </w:tr>
      <w:tr>
        <w:trPr>
          <w:cantSplit/>
        </w:trPr>
        <w:tc>
          <w:tcPr>
            <w:tcW w:type="dxa" w:w="1587"/>
          </w:tcPr>
          <w:p>
            <w:r/>
            <w:r>
              <w:rPr>
                <w:b w:val="0"/>
                <w:sz w:val="19"/>
              </w:rPr>
              <w:t>EZS 130 tugger train</w:t>
            </w:r>
          </w:p>
        </w:tc>
        <w:tc>
          <w:tcPr>
            <w:tcW w:type="dxa" w:w="1587"/>
          </w:tcPr>
          <w:p>
            <w:r/>
            <w:r>
              <w:rPr>
                <w:b w:val="0"/>
                <w:sz w:val="19"/>
              </w:rPr>
              <w:t>(trolley transport)</w:t>
            </w:r>
          </w:p>
        </w:tc>
        <w:tc>
          <w:tcPr>
            <w:tcW w:type="dxa" w:w="907"/>
          </w:tcPr>
          <w:p>
            <w:r/>
            <w:r>
              <w:rPr>
                <w:b w:val="0"/>
                <w:sz w:val="19"/>
              </w:rPr>
              <w:t>not planned (D2)</w:t>
            </w:r>
          </w:p>
        </w:tc>
        <w:tc>
          <w:tcPr>
            <w:tcW w:type="dxa" w:w="794"/>
          </w:tcPr>
          <w:p>
            <w:r/>
            <w:r>
              <w:rPr>
                <w:b w:val="0"/>
                <w:sz w:val="19"/>
              </w:rPr>
              <w:t>—</w:t>
            </w:r>
          </w:p>
        </w:tc>
        <w:tc>
          <w:tcPr>
            <w:tcW w:type="dxa" w:w="2041"/>
          </w:tcPr>
          <w:p>
            <w:r/>
            <w:r>
              <w:rPr>
                <w:b w:val="0"/>
                <w:sz w:val="19"/>
              </w:rPr>
              <w:t>Driver would be ~26% busy</w:t>
            </w:r>
          </w:p>
        </w:tc>
        <w:tc>
          <w:tcPr>
            <w:tcW w:type="dxa" w:w="2154"/>
          </w:tcPr>
          <w:p>
            <w:r/>
            <w:r>
              <w:rPr>
                <w:b w:val="0"/>
                <w:sz w:val="19"/>
              </w:rPr>
              <w:t>Option if small orders triple.</w:t>
            </w:r>
          </w:p>
        </w:tc>
      </w:tr>
    </w:tbl>
    <w:p>
      <w:pPr>
        <w:spacing w:after="40"/>
      </w:pPr>
    </w:p>
    <w:p>
      <w:pPr>
        <w:keepNext/>
        <w:spacing w:after="80"/>
      </w:pPr>
      <w:r>
        <w:rPr>
          <w:b w:val="0"/>
          <w:i w:val="0"/>
          <w:color w:val="222222"/>
          <w:sz w:val="21"/>
        </w:rPr>
        <w:t>Do the loads fit the racks and the trucks? Checked on all 11,015 loads in stock (01-06-2025):</w:t>
      </w:r>
    </w:p>
    <w:tbl>
      <w:tblPr>
        <w:tblStyle w:val="LightGrid-Accent1"/>
        <w:tblW w:type="auto" w:w="0"/>
        <w:jc w:val="center"/>
        <w:tblLayout w:type="fixed"/>
        <w:tblLook w:firstColumn="1" w:firstRow="1" w:lastColumn="0" w:lastRow="0" w:noHBand="0" w:noVBand="1" w:val="04A0"/>
      </w:tblPr>
      <w:tblGrid>
        <w:gridCol w:w="1134"/>
        <w:gridCol w:w="3515"/>
        <w:gridCol w:w="4422"/>
      </w:tblGrid>
      <w:tr>
        <w:trPr>
          <w:cantSplit/>
        </w:trPr>
        <w:tc>
          <w:tcPr>
            <w:tcW w:type="dxa" w:w="1134"/>
          </w:tcPr>
          <w:p>
            <w:pPr>
              <w:keepNext/>
            </w:pPr>
            <w:r/>
            <w:r>
              <w:rPr>
                <w:b/>
                <w:sz w:val="19"/>
              </w:rPr>
              <w:t>Check</w:t>
            </w:r>
          </w:p>
        </w:tc>
        <w:tc>
          <w:tcPr>
            <w:tcW w:type="dxa" w:w="3515"/>
          </w:tcPr>
          <w:p>
            <w:pPr>
              <w:keepNext/>
            </w:pPr>
            <w:r/>
            <w:r>
              <w:rPr>
                <w:b/>
                <w:sz w:val="19"/>
              </w:rPr>
              <w:t>Data</w:t>
            </w:r>
          </w:p>
        </w:tc>
        <w:tc>
          <w:tcPr>
            <w:tcW w:type="dxa" w:w="4422"/>
          </w:tcPr>
          <w:p>
            <w:pPr>
              <w:keepNext/>
            </w:pPr>
            <w:r/>
            <w:r>
              <w:rPr>
                <w:b/>
                <w:sz w:val="19"/>
              </w:rPr>
              <w:t>Result</w:t>
            </w:r>
          </w:p>
        </w:tc>
      </w:tr>
      <w:tr>
        <w:trPr>
          <w:cantSplit/>
        </w:trPr>
        <w:tc>
          <w:tcPr>
            <w:tcW w:type="dxa" w:w="1134"/>
          </w:tcPr>
          <w:p>
            <w:pPr>
              <w:keepNext/>
            </w:pPr>
            <w:r/>
            <w:r>
              <w:rPr>
                <w:b w:val="0"/>
                <w:sz w:val="19"/>
              </w:rPr>
              <w:t>Weight</w:t>
            </w:r>
          </w:p>
        </w:tc>
        <w:tc>
          <w:tcPr>
            <w:tcW w:type="dxa" w:w="3515"/>
          </w:tcPr>
          <w:p>
            <w:pPr>
              <w:keepNext/>
            </w:pPr>
            <w:r/>
            <w:r>
              <w:rPr>
                <w:b w:val="0"/>
                <w:sz w:val="19"/>
              </w:rPr>
              <w:t>10 loads &gt; 1 t, 3 &gt; 1.6 t (actual qty × unit weight)</w:t>
            </w:r>
          </w:p>
        </w:tc>
        <w:tc>
          <w:tcPr>
            <w:tcW w:type="dxa" w:w="4422"/>
          </w:tcPr>
          <w:p>
            <w:pPr>
              <w:keepNext/>
            </w:pPr>
            <w:r/>
            <w:r>
              <w:rPr>
                <w:b w:val="0"/>
                <w:sz w:val="19"/>
              </w:rPr>
              <w:t>ETV 216i lifts 1.6 t → the few heavier loads go to floor positions, moved with the ERE 225 (2.5 t)</w:t>
            </w:r>
          </w:p>
        </w:tc>
      </w:tr>
      <w:tr>
        <w:trPr>
          <w:cantSplit/>
        </w:trPr>
        <w:tc>
          <w:tcPr>
            <w:tcW w:type="dxa" w:w="1134"/>
          </w:tcPr>
          <w:p>
            <w:pPr>
              <w:keepNext/>
            </w:pPr>
            <w:r/>
            <w:r>
              <w:rPr>
                <w:b w:val="0"/>
                <w:sz w:val="19"/>
              </w:rPr>
              <w:t>Length</w:t>
            </w:r>
          </w:p>
        </w:tc>
        <w:tc>
          <w:tcPr>
            <w:tcW w:type="dxa" w:w="3515"/>
          </w:tcPr>
          <w:p>
            <w:pPr>
              <w:keepNext/>
            </w:pPr>
            <w:r/>
            <w:r>
              <w:rPr>
                <w:b w:val="0"/>
                <w:sz w:val="19"/>
              </w:rPr>
              <w:t>163 loads 1.9–2.4 m (XLONG / CONS), 26 longer than 2.4 m</w:t>
            </w:r>
          </w:p>
        </w:tc>
        <w:tc>
          <w:tcPr>
            <w:tcW w:type="dxa" w:w="4422"/>
          </w:tcPr>
          <w:p>
            <w:pPr>
              <w:keepNext/>
            </w:pPr>
            <w:r/>
            <w:r>
              <w:rPr>
                <w:b w:val="0"/>
                <w:sz w:val="19"/>
              </w:rPr>
              <w:t>1.9–2.4 m pallets lie crosswise in the odd/long modules (1 per bay, forks under the long side); &gt; 2.4 m on cantilever</w:t>
            </w:r>
          </w:p>
        </w:tc>
      </w:tr>
      <w:tr>
        <w:trPr>
          <w:cantSplit/>
        </w:trPr>
        <w:tc>
          <w:tcPr>
            <w:tcW w:type="dxa" w:w="1134"/>
          </w:tcPr>
          <w:p>
            <w:pPr>
              <w:keepNext/>
            </w:pPr>
            <w:r/>
            <w:r>
              <w:rPr>
                <w:b w:val="0"/>
                <w:sz w:val="19"/>
              </w:rPr>
              <w:t>Height</w:t>
            </w:r>
          </w:p>
        </w:tc>
        <w:tc>
          <w:tcPr>
            <w:tcW w:type="dxa" w:w="3515"/>
          </w:tcPr>
          <w:p>
            <w:pPr>
              <w:keepNext/>
            </w:pPr>
            <w:r/>
            <w:r>
              <w:rPr>
                <w:b w:val="0"/>
                <w:sz w:val="19"/>
              </w:rPr>
              <w:t>940 loads 1.16–1.68 m tall, 42 taller; 493 have no height in the WMS</w:t>
            </w:r>
          </w:p>
        </w:tc>
        <w:tc>
          <w:tcPr>
            <w:tcW w:type="dxa" w:w="4422"/>
          </w:tcPr>
          <w:p>
            <w:pPr>
              <w:keepNext/>
            </w:pPr>
            <w:r/>
            <w:r>
              <w:rPr>
                <w:b w:val="0"/>
                <w:sz w:val="19"/>
              </w:rPr>
              <w:t>tall loads use the top level (1,188 positions with ~1.7 m free); the tallest stand on the floor</w:t>
            </w:r>
          </w:p>
        </w:tc>
      </w:tr>
      <w:tr>
        <w:trPr>
          <w:cantSplit/>
        </w:trPr>
        <w:tc>
          <w:tcPr>
            <w:tcW w:type="dxa" w:w="1134"/>
          </w:tcPr>
          <w:p>
            <w:r/>
            <w:r>
              <w:rPr>
                <w:b w:val="0"/>
                <w:sz w:val="19"/>
              </w:rPr>
              <w:t>Aisles</w:t>
            </w:r>
          </w:p>
        </w:tc>
        <w:tc>
          <w:tcPr>
            <w:tcW w:type="dxa" w:w="3515"/>
          </w:tcPr>
          <w:p>
            <w:r/>
            <w:r>
              <w:rPr>
                <w:b w:val="0"/>
                <w:sz w:val="19"/>
              </w:rPr>
              <w:t>3.0 m storage aisles, 3.2 m cross-aisles</w:t>
            </w:r>
          </w:p>
        </w:tc>
        <w:tc>
          <w:tcPr>
            <w:tcW w:type="dxa" w:w="4422"/>
          </w:tcPr>
          <w:p>
            <w:r/>
            <w:r>
              <w:rPr>
                <w:b w:val="0"/>
                <w:sz w:val="19"/>
              </w:rPr>
              <w:t>ETV needs 2.63–2.79 m, EJE 1.79–1.94 m → OK</w:t>
            </w:r>
          </w:p>
        </w:tc>
      </w:tr>
    </w:tbl>
    <w:p>
      <w:pPr>
        <w:spacing w:after="40"/>
      </w:pPr>
    </w:p>
    <w:p>
      <w:pPr>
        <w:pStyle w:val="Heading1"/>
      </w:pPr>
      <w:r>
        <w:t>5. Costs — CAPEX and OPEX</w:t>
      </w:r>
    </w:p>
    <w:p>
      <w:pPr>
        <w:spacing w:after="120"/>
      </w:pPr>
      <w:r>
        <w:rPr>
          <w:b w:val="0"/>
          <w:i w:val="0"/>
          <w:color w:val="222222"/>
          <w:sz w:val="21"/>
        </w:rPr>
        <w:t>The capacity plan (D2 §6) is turned into money in three steps: (1) count what the design needs (positions, bays, trucks, people), (2) multiply by a price from a public source or a labelled assumption (Section 7), (3) add it up per year. Trucks are leased with full service (repairs included), so they are OPEX, not CAPEX. The building, dock levellers, sprinklers and the hazmat compartment are outside the project scope and not included.</w:t>
      </w:r>
    </w:p>
    <w:p>
      <w:pPr>
        <w:pStyle w:val="Heading2"/>
      </w:pPr>
      <w:r>
        <w:t>5.1 One-off investment (CAPEX)</w:t>
      </w:r>
    </w:p>
    <w:p>
      <w:pPr>
        <w:keepNext/>
        <w:jc w:val="center"/>
      </w:pPr>
      <w:r>
        <w:drawing>
          <wp:inline xmlns:a="http://schemas.openxmlformats.org/drawingml/2006/main" xmlns:pic="http://schemas.openxmlformats.org/drawingml/2006/picture">
            <wp:extent cx="4860000" cy="2720310"/>
            <wp:docPr id="6" name="Picture 6"/>
            <wp:cNvGraphicFramePr>
              <a:graphicFrameLocks noChangeAspect="1"/>
            </wp:cNvGraphicFramePr>
            <a:graphic>
              <a:graphicData uri="http://schemas.openxmlformats.org/drawingml/2006/picture">
                <pic:pic>
                  <pic:nvPicPr>
                    <pic:cNvPr id="0" name="d3_capex.png"/>
                    <pic:cNvPicPr/>
                  </pic:nvPicPr>
                  <pic:blipFill>
                    <a:blip r:embed="rId14"/>
                    <a:stretch>
                      <a:fillRect/>
                    </a:stretch>
                  </pic:blipFill>
                  <pic:spPr>
                    <a:xfrm>
                      <a:off x="0" y="0"/>
                      <a:ext cx="4860000" cy="2720310"/>
                    </a:xfrm>
                    <a:prstGeom prst="rect"/>
                  </pic:spPr>
                </pic:pic>
              </a:graphicData>
            </a:graphic>
          </wp:inline>
        </w:drawing>
      </w:r>
    </w:p>
    <w:p>
      <w:pPr>
        <w:spacing w:after="200"/>
        <w:jc w:val="center"/>
      </w:pPr>
      <w:r>
        <w:rPr>
          <w:b w:val="0"/>
          <w:i/>
          <w:color w:val="666666"/>
          <w:sz w:val="17"/>
        </w:rPr>
        <w:t>Fig 6. CAPEX by group — total €1,627k.</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w:t>
            </w:r>
          </w:p>
        </w:tc>
        <w:tc>
          <w:tcPr>
            <w:tcW w:type="dxa" w:w="1134"/>
          </w:tcPr>
          <w:p>
            <w:pPr>
              <w:keepNext/>
            </w:pPr>
            <w:r/>
            <w:r>
              <w:rPr>
                <w:b/>
                <w:sz w:val="19"/>
              </w:rPr>
              <w:t>Unit price</w:t>
            </w:r>
          </w:p>
        </w:tc>
        <w:tc>
          <w:tcPr>
            <w:tcW w:type="dxa" w:w="1361"/>
          </w:tcPr>
          <w:p>
            <w:pPr>
              <w:keepNext/>
            </w:pPr>
            <w:r/>
            <w:r>
              <w:rPr>
                <w:b/>
                <w:sz w:val="19"/>
              </w:rPr>
              <w:t>Total</w:t>
            </w:r>
          </w:p>
        </w:tc>
        <w:tc>
          <w:tcPr>
            <w:tcW w:type="dxa" w:w="1587"/>
          </w:tcPr>
          <w:p>
            <w:pPr>
              <w:keepNext/>
            </w:pPr>
            <w:r/>
            <w:r>
              <w:rPr>
                <w:b/>
                <w:sz w:val="19"/>
              </w:rPr>
              <w:t>Source</w:t>
            </w:r>
          </w:p>
        </w:tc>
      </w:tr>
      <w:tr>
        <w:trPr>
          <w:cantSplit/>
        </w:trPr>
        <w:tc>
          <w:tcPr>
            <w:tcW w:type="dxa" w:w="3402"/>
          </w:tcPr>
          <w:p>
            <w:pPr>
              <w:keepNext/>
            </w:pPr>
            <w:r/>
            <w:r>
              <w:rPr>
                <w:b w:val="0"/>
                <w:sz w:val="19"/>
              </w:rPr>
              <w:t>Single-deep pallet racking (incl. installation)</w:t>
            </w:r>
          </w:p>
        </w:tc>
        <w:tc>
          <w:tcPr>
            <w:tcW w:type="dxa" w:w="1587"/>
          </w:tcPr>
          <w:p>
            <w:pPr>
              <w:keepNext/>
            </w:pPr>
            <w:r/>
            <w:r>
              <w:rPr>
                <w:b w:val="0"/>
                <w:sz w:val="19"/>
              </w:rPr>
              <w:t>9,504 positions</w:t>
            </w:r>
          </w:p>
        </w:tc>
        <w:tc>
          <w:tcPr>
            <w:tcW w:type="dxa" w:w="1134"/>
          </w:tcPr>
          <w:p>
            <w:pPr>
              <w:keepNext/>
              <w:jc w:val="right"/>
            </w:pPr>
            <w:r/>
            <w:r>
              <w:rPr>
                <w:b w:val="0"/>
                <w:sz w:val="19"/>
              </w:rPr>
              <w:t>€130</w:t>
            </w:r>
          </w:p>
        </w:tc>
        <w:tc>
          <w:tcPr>
            <w:tcW w:type="dxa" w:w="1361"/>
          </w:tcPr>
          <w:p>
            <w:pPr>
              <w:keepNext/>
              <w:jc w:val="right"/>
            </w:pPr>
            <w:r/>
            <w:r>
              <w:rPr>
                <w:b w:val="0"/>
                <w:sz w:val="19"/>
              </w:rPr>
              <w:t>€1,235,520</w:t>
            </w:r>
          </w:p>
        </w:tc>
        <w:tc>
          <w:tcPr>
            <w:tcW w:type="dxa" w:w="1587"/>
          </w:tcPr>
          <w:p>
            <w:pPr>
              <w:keepNext/>
              <w:jc w:val="right"/>
            </w:pPr>
            <w:r/>
            <w:r>
              <w:rPr>
                <w:b w:val="0"/>
                <w:sz w:val="19"/>
              </w:rPr>
              <w:t>A033 / S020</w:t>
            </w:r>
          </w:p>
        </w:tc>
      </w:tr>
      <w:tr>
        <w:trPr>
          <w:cantSplit/>
        </w:trPr>
        <w:tc>
          <w:tcPr>
            <w:tcW w:type="dxa" w:w="3402"/>
          </w:tcPr>
          <w:p>
            <w:pPr>
              <w:keepNext/>
            </w:pPr>
            <w:r/>
            <w:r>
              <w:rPr>
                <w:b w:val="0"/>
                <w:sz w:val="19"/>
              </w:rPr>
              <w:t>Cantilever racking for goods &gt; 2.4 m</w:t>
            </w:r>
          </w:p>
        </w:tc>
        <w:tc>
          <w:tcPr>
            <w:tcW w:type="dxa" w:w="1587"/>
          </w:tcPr>
          <w:p>
            <w:pPr>
              <w:keepNext/>
            </w:pPr>
            <w:r/>
            <w:r>
              <w:rPr>
                <w:b w:val="0"/>
                <w:sz w:val="19"/>
              </w:rPr>
              <w:t>40 arm positions</w:t>
            </w:r>
          </w:p>
        </w:tc>
        <w:tc>
          <w:tcPr>
            <w:tcW w:type="dxa" w:w="1134"/>
          </w:tcPr>
          <w:p>
            <w:pPr>
              <w:keepNext/>
              <w:jc w:val="right"/>
            </w:pPr>
            <w:r/>
            <w:r>
              <w:rPr>
                <w:b w:val="0"/>
                <w:sz w:val="19"/>
              </w:rPr>
              <w:t>€250</w:t>
            </w:r>
          </w:p>
        </w:tc>
        <w:tc>
          <w:tcPr>
            <w:tcW w:type="dxa" w:w="1361"/>
          </w:tcPr>
          <w:p>
            <w:pPr>
              <w:keepNext/>
              <w:jc w:val="right"/>
            </w:pPr>
            <w:r/>
            <w:r>
              <w:rPr>
                <w:b w:val="0"/>
                <w:sz w:val="19"/>
              </w:rPr>
              <w:t>€10,000</w:t>
            </w:r>
          </w:p>
        </w:tc>
        <w:tc>
          <w:tcPr>
            <w:tcW w:type="dxa" w:w="1587"/>
          </w:tcPr>
          <w:p>
            <w:pPr>
              <w:keepNext/>
              <w:jc w:val="right"/>
            </w:pPr>
            <w:r/>
            <w:r>
              <w:rPr>
                <w:b w:val="0"/>
                <w:sz w:val="19"/>
              </w:rPr>
              <w:t>A033</w:t>
            </w:r>
          </w:p>
        </w:tc>
      </w:tr>
      <w:tr>
        <w:trPr>
          <w:cantSplit/>
        </w:trPr>
        <w:tc>
          <w:tcPr>
            <w:tcW w:type="dxa" w:w="3402"/>
          </w:tcPr>
          <w:p>
            <w:pPr>
              <w:keepNext/>
            </w:pPr>
            <w:r/>
            <w:r>
              <w:rPr>
                <w:b w:val="0"/>
                <w:sz w:val="19"/>
              </w:rPr>
              <w:t>Rack protection, end guards, load signs</w:t>
            </w:r>
          </w:p>
        </w:tc>
        <w:tc>
          <w:tcPr>
            <w:tcW w:type="dxa" w:w="1587"/>
          </w:tcPr>
          <w:p>
            <w:pPr>
              <w:keepNext/>
            </w:pPr>
            <w:r/>
            <w:r>
              <w:rPr>
                <w:b w:val="0"/>
                <w:sz w:val="19"/>
              </w:rPr>
              <w:t>1 lot</w:t>
            </w:r>
          </w:p>
        </w:tc>
        <w:tc>
          <w:tcPr>
            <w:tcW w:type="dxa" w:w="1134"/>
          </w:tcPr>
          <w:p>
            <w:pPr>
              <w:keepNext/>
              <w:jc w:val="right"/>
            </w:pPr>
            <w:r/>
            <w:r>
              <w:rPr>
                <w:b w:val="0"/>
                <w:sz w:val="19"/>
              </w:rPr>
              <w:t>€61,776</w:t>
            </w:r>
          </w:p>
        </w:tc>
        <w:tc>
          <w:tcPr>
            <w:tcW w:type="dxa" w:w="1361"/>
          </w:tcPr>
          <w:p>
            <w:pPr>
              <w:keepNext/>
              <w:jc w:val="right"/>
            </w:pPr>
            <w:r/>
            <w:r>
              <w:rPr>
                <w:b w:val="0"/>
                <w:sz w:val="19"/>
              </w:rPr>
              <w:t>€61,776</w:t>
            </w:r>
          </w:p>
        </w:tc>
        <w:tc>
          <w:tcPr>
            <w:tcW w:type="dxa" w:w="1587"/>
          </w:tcPr>
          <w:p>
            <w:pPr>
              <w:keepNext/>
              <w:jc w:val="right"/>
            </w:pPr>
            <w:r/>
            <w:r>
              <w:rPr>
                <w:b w:val="0"/>
                <w:sz w:val="19"/>
              </w:rPr>
              <w:t>A033 / S015</w:t>
            </w:r>
          </w:p>
        </w:tc>
      </w:tr>
      <w:tr>
        <w:trPr>
          <w:cantSplit/>
        </w:trPr>
        <w:tc>
          <w:tcPr>
            <w:tcW w:type="dxa" w:w="3402"/>
          </w:tcPr>
          <w:p>
            <w:pPr>
              <w:keepNext/>
            </w:pPr>
            <w:r/>
            <w:r>
              <w:rPr>
                <w:b w:val="0"/>
                <w:sz w:val="19"/>
              </w:rPr>
              <w:t>Carton-flow bays, fast-pick area</w:t>
            </w:r>
          </w:p>
        </w:tc>
        <w:tc>
          <w:tcPr>
            <w:tcW w:type="dxa" w:w="1587"/>
          </w:tcPr>
          <w:p>
            <w:pPr>
              <w:keepNext/>
            </w:pPr>
            <w:r/>
            <w:r>
              <w:rPr>
                <w:b w:val="0"/>
                <w:sz w:val="19"/>
              </w:rPr>
              <w:t>31 bays</w:t>
            </w:r>
          </w:p>
        </w:tc>
        <w:tc>
          <w:tcPr>
            <w:tcW w:type="dxa" w:w="1134"/>
          </w:tcPr>
          <w:p>
            <w:pPr>
              <w:keepNext/>
              <w:jc w:val="right"/>
            </w:pPr>
            <w:r/>
            <w:r>
              <w:rPr>
                <w:b w:val="0"/>
                <w:sz w:val="19"/>
              </w:rPr>
              <w:t>€1,800</w:t>
            </w:r>
          </w:p>
        </w:tc>
        <w:tc>
          <w:tcPr>
            <w:tcW w:type="dxa" w:w="1361"/>
          </w:tcPr>
          <w:p>
            <w:pPr>
              <w:keepNext/>
              <w:jc w:val="right"/>
            </w:pPr>
            <w:r/>
            <w:r>
              <w:rPr>
                <w:b w:val="0"/>
                <w:sz w:val="19"/>
              </w:rPr>
              <w:t>€55,800</w:t>
            </w:r>
          </w:p>
        </w:tc>
        <w:tc>
          <w:tcPr>
            <w:tcW w:type="dxa" w:w="1587"/>
          </w:tcPr>
          <w:p>
            <w:pPr>
              <w:keepNext/>
              <w:jc w:val="right"/>
            </w:pPr>
            <w:r/>
            <w:r>
              <w:rPr>
                <w:b w:val="0"/>
                <w:sz w:val="19"/>
              </w:rPr>
              <w:t>A034 / S025</w:t>
            </w:r>
          </w:p>
        </w:tc>
      </w:tr>
      <w:tr>
        <w:trPr>
          <w:cantSplit/>
        </w:trPr>
        <w:tc>
          <w:tcPr>
            <w:tcW w:type="dxa" w:w="3402"/>
          </w:tcPr>
          <w:p>
            <w:pPr>
              <w:keepNext/>
            </w:pPr>
            <w:r/>
            <w:r>
              <w:rPr>
                <w:b w:val="0"/>
                <w:sz w:val="19"/>
              </w:rPr>
              <w:t>Pick trolleys (3-tier, 6 totes)</w:t>
            </w:r>
          </w:p>
        </w:tc>
        <w:tc>
          <w:tcPr>
            <w:tcW w:type="dxa" w:w="1587"/>
          </w:tcPr>
          <w:p>
            <w:pPr>
              <w:keepNext/>
            </w:pPr>
            <w:r/>
            <w:r>
              <w:rPr>
                <w:b w:val="0"/>
                <w:sz w:val="19"/>
              </w:rPr>
              <w:t>6 trolleys</w:t>
            </w:r>
          </w:p>
        </w:tc>
        <w:tc>
          <w:tcPr>
            <w:tcW w:type="dxa" w:w="1134"/>
          </w:tcPr>
          <w:p>
            <w:pPr>
              <w:keepNext/>
              <w:jc w:val="right"/>
            </w:pPr>
            <w:r/>
            <w:r>
              <w:rPr>
                <w:b w:val="0"/>
                <w:sz w:val="19"/>
              </w:rPr>
              <w:t>€433</w:t>
            </w:r>
          </w:p>
        </w:tc>
        <w:tc>
          <w:tcPr>
            <w:tcW w:type="dxa" w:w="1361"/>
          </w:tcPr>
          <w:p>
            <w:pPr>
              <w:keepNext/>
              <w:jc w:val="right"/>
            </w:pPr>
            <w:r/>
            <w:r>
              <w:rPr>
                <w:b w:val="0"/>
                <w:sz w:val="19"/>
              </w:rPr>
              <w:t>€2,598</w:t>
            </w:r>
          </w:p>
        </w:tc>
        <w:tc>
          <w:tcPr>
            <w:tcW w:type="dxa" w:w="1587"/>
          </w:tcPr>
          <w:p>
            <w:pPr>
              <w:keepNext/>
              <w:jc w:val="right"/>
            </w:pPr>
            <w:r/>
            <w:r>
              <w:rPr>
                <w:b w:val="0"/>
                <w:sz w:val="19"/>
              </w:rPr>
              <w:t>S011 / S025</w:t>
            </w:r>
          </w:p>
        </w:tc>
      </w:tr>
      <w:tr>
        <w:trPr>
          <w:cantSplit/>
        </w:trPr>
        <w:tc>
          <w:tcPr>
            <w:tcW w:type="dxa" w:w="3402"/>
          </w:tcPr>
          <w:p>
            <w:pPr>
              <w:keepNext/>
            </w:pPr>
            <w:r/>
            <w:r>
              <w:rPr>
                <w:b w:val="0"/>
                <w:sz w:val="19"/>
              </w:rPr>
              <w:t>Totes 600 x 400</w:t>
            </w:r>
          </w:p>
        </w:tc>
        <w:tc>
          <w:tcPr>
            <w:tcW w:type="dxa" w:w="1587"/>
          </w:tcPr>
          <w:p>
            <w:pPr>
              <w:keepNext/>
            </w:pPr>
            <w:r/>
            <w:r>
              <w:rPr>
                <w:b w:val="0"/>
                <w:sz w:val="19"/>
              </w:rPr>
              <w:t>54 totes</w:t>
            </w:r>
          </w:p>
        </w:tc>
        <w:tc>
          <w:tcPr>
            <w:tcW w:type="dxa" w:w="1134"/>
          </w:tcPr>
          <w:p>
            <w:pPr>
              <w:keepNext/>
              <w:jc w:val="right"/>
            </w:pPr>
            <w:r/>
            <w:r>
              <w:rPr>
                <w:b w:val="0"/>
                <w:sz w:val="19"/>
              </w:rPr>
              <w:t>€16</w:t>
            </w:r>
          </w:p>
        </w:tc>
        <w:tc>
          <w:tcPr>
            <w:tcW w:type="dxa" w:w="1361"/>
          </w:tcPr>
          <w:p>
            <w:pPr>
              <w:keepNext/>
              <w:jc w:val="right"/>
            </w:pPr>
            <w:r/>
            <w:r>
              <w:rPr>
                <w:b w:val="0"/>
                <w:sz w:val="19"/>
              </w:rPr>
              <w:t>€864</w:t>
            </w:r>
          </w:p>
        </w:tc>
        <w:tc>
          <w:tcPr>
            <w:tcW w:type="dxa" w:w="1587"/>
          </w:tcPr>
          <w:p>
            <w:pPr>
              <w:keepNext/>
              <w:jc w:val="right"/>
            </w:pPr>
            <w:r/>
            <w:r>
              <w:rPr>
                <w:b w:val="0"/>
                <w:sz w:val="19"/>
              </w:rPr>
              <w:t>S025</w:t>
            </w:r>
          </w:p>
        </w:tc>
      </w:tr>
      <w:tr>
        <w:trPr>
          <w:cantSplit/>
        </w:trPr>
        <w:tc>
          <w:tcPr>
            <w:tcW w:type="dxa" w:w="3402"/>
          </w:tcPr>
          <w:p>
            <w:pPr>
              <w:keepNext/>
            </w:pPr>
            <w:r/>
            <w:r>
              <w:rPr>
                <w:b w:val="0"/>
                <w:sz w:val="19"/>
              </w:rPr>
              <w:t>Put-to-light wall (slots)</w:t>
            </w:r>
          </w:p>
        </w:tc>
        <w:tc>
          <w:tcPr>
            <w:tcW w:type="dxa" w:w="1587"/>
          </w:tcPr>
          <w:p>
            <w:pPr>
              <w:keepNext/>
            </w:pPr>
            <w:r/>
            <w:r>
              <w:rPr>
                <w:b w:val="0"/>
                <w:sz w:val="19"/>
              </w:rPr>
              <w:t>90 slots</w:t>
            </w:r>
          </w:p>
        </w:tc>
        <w:tc>
          <w:tcPr>
            <w:tcW w:type="dxa" w:w="1134"/>
          </w:tcPr>
          <w:p>
            <w:pPr>
              <w:keepNext/>
              <w:jc w:val="right"/>
            </w:pPr>
            <w:r/>
            <w:r>
              <w:rPr>
                <w:b w:val="0"/>
                <w:sz w:val="19"/>
              </w:rPr>
              <w:t>€150</w:t>
            </w:r>
          </w:p>
        </w:tc>
        <w:tc>
          <w:tcPr>
            <w:tcW w:type="dxa" w:w="1361"/>
          </w:tcPr>
          <w:p>
            <w:pPr>
              <w:keepNext/>
              <w:jc w:val="right"/>
            </w:pPr>
            <w:r/>
            <w:r>
              <w:rPr>
                <w:b w:val="0"/>
                <w:sz w:val="19"/>
              </w:rPr>
              <w:t>€13,500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Put-to-light installation + WMS link</w:t>
            </w:r>
          </w:p>
        </w:tc>
        <w:tc>
          <w:tcPr>
            <w:tcW w:type="dxa" w:w="1587"/>
          </w:tcPr>
          <w:p>
            <w:pPr>
              <w:keepNext/>
            </w:pPr>
            <w:r/>
            <w:r>
              <w:rPr>
                <w:b w:val="0"/>
                <w:sz w:val="19"/>
              </w:rPr>
              <w:t>1 lot</w:t>
            </w:r>
          </w:p>
        </w:tc>
        <w:tc>
          <w:tcPr>
            <w:tcW w:type="dxa" w:w="1134"/>
          </w:tcPr>
          <w:p>
            <w:pPr>
              <w:keepNext/>
              <w:jc w:val="right"/>
            </w:pPr>
            <w:r/>
            <w:r>
              <w:rPr>
                <w:b w:val="0"/>
                <w:sz w:val="19"/>
              </w:rPr>
              <w:t>€12,000</w:t>
            </w:r>
          </w:p>
        </w:tc>
        <w:tc>
          <w:tcPr>
            <w:tcW w:type="dxa" w:w="1361"/>
          </w:tcPr>
          <w:p>
            <w:pPr>
              <w:keepNext/>
              <w:jc w:val="right"/>
            </w:pPr>
            <w:r/>
            <w:r>
              <w:rPr>
                <w:b w:val="0"/>
                <w:sz w:val="19"/>
              </w:rPr>
              <w:t>€12,000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Pack stations (bench, scale, label printer)</w:t>
            </w:r>
          </w:p>
        </w:tc>
        <w:tc>
          <w:tcPr>
            <w:tcW w:type="dxa" w:w="1587"/>
          </w:tcPr>
          <w:p>
            <w:pPr>
              <w:keepNext/>
            </w:pPr>
            <w:r/>
            <w:r>
              <w:rPr>
                <w:b w:val="0"/>
                <w:sz w:val="19"/>
              </w:rPr>
              <w:t>4 stations</w:t>
            </w:r>
          </w:p>
        </w:tc>
        <w:tc>
          <w:tcPr>
            <w:tcW w:type="dxa" w:w="1134"/>
          </w:tcPr>
          <w:p>
            <w:pPr>
              <w:keepNext/>
              <w:jc w:val="right"/>
            </w:pPr>
            <w:r/>
            <w:r>
              <w:rPr>
                <w:b w:val="0"/>
                <w:sz w:val="19"/>
              </w:rPr>
              <w:t>€2,500</w:t>
            </w:r>
          </w:p>
        </w:tc>
        <w:tc>
          <w:tcPr>
            <w:tcW w:type="dxa" w:w="1361"/>
          </w:tcPr>
          <w:p>
            <w:pPr>
              <w:keepNext/>
              <w:jc w:val="right"/>
            </w:pPr>
            <w:r/>
            <w:r>
              <w:rPr>
                <w:b w:val="0"/>
                <w:sz w:val="19"/>
              </w:rPr>
              <w:t>€10,000</w:t>
            </w:r>
          </w:p>
        </w:tc>
        <w:tc>
          <w:tcPr>
            <w:tcW w:type="dxa" w:w="1587"/>
          </w:tcPr>
          <w:p>
            <w:pPr>
              <w:keepNext/>
              <w:jc w:val="right"/>
            </w:pPr>
            <w:r/>
            <w:r>
              <w:rPr>
                <w:b w:val="0"/>
                <w:sz w:val="19"/>
              </w:rPr>
              <w:t>A036</w:t>
            </w:r>
          </w:p>
        </w:tc>
      </w:tr>
      <w:tr>
        <w:trPr>
          <w:cantSplit/>
        </w:trPr>
        <w:tc>
          <w:tcPr>
            <w:tcW w:type="dxa" w:w="3402"/>
          </w:tcPr>
          <w:p>
            <w:pPr>
              <w:keepNext/>
            </w:pPr>
            <w:r/>
            <w:r>
              <w:rPr>
                <w:b w:val="0"/>
                <w:sz w:val="19"/>
              </w:rPr>
              <w:t>Stretch wrapper (packing)</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Roll cages for parcels</w:t>
            </w:r>
          </w:p>
        </w:tc>
        <w:tc>
          <w:tcPr>
            <w:tcW w:type="dxa" w:w="1587"/>
          </w:tcPr>
          <w:p>
            <w:pPr>
              <w:keepNext/>
            </w:pPr>
            <w:r/>
            <w:r>
              <w:rPr>
                <w:b w:val="0"/>
                <w:sz w:val="19"/>
              </w:rPr>
              <w:t>41 cages</w:t>
            </w:r>
          </w:p>
        </w:tc>
        <w:tc>
          <w:tcPr>
            <w:tcW w:type="dxa" w:w="1134"/>
          </w:tcPr>
          <w:p>
            <w:pPr>
              <w:keepNext/>
              <w:jc w:val="right"/>
            </w:pPr>
            <w:r/>
            <w:r>
              <w:rPr>
                <w:b w:val="0"/>
                <w:sz w:val="19"/>
              </w:rPr>
              <w:t>€150</w:t>
            </w:r>
          </w:p>
        </w:tc>
        <w:tc>
          <w:tcPr>
            <w:tcW w:type="dxa" w:w="1361"/>
          </w:tcPr>
          <w:p>
            <w:pPr>
              <w:keepNext/>
              <w:jc w:val="right"/>
            </w:pPr>
            <w:r/>
            <w:r>
              <w:rPr>
                <w:b w:val="0"/>
                <w:sz w:val="19"/>
              </w:rPr>
              <w:t>€6,150</w:t>
            </w:r>
          </w:p>
        </w:tc>
        <w:tc>
          <w:tcPr>
            <w:tcW w:type="dxa" w:w="1587"/>
          </w:tcPr>
          <w:p>
            <w:pPr>
              <w:keepNext/>
              <w:jc w:val="right"/>
            </w:pPr>
            <w:r/>
            <w:r>
              <w:rPr>
                <w:b w:val="0"/>
                <w:sz w:val="19"/>
              </w:rPr>
              <w:t>A036</w:t>
            </w:r>
          </w:p>
        </w:tc>
      </w:tr>
      <w:tr>
        <w:trPr>
          <w:cantSplit/>
        </w:trPr>
        <w:tc>
          <w:tcPr>
            <w:tcW w:type="dxa" w:w="3402"/>
          </w:tcPr>
          <w:p>
            <w:pPr>
              <w:keepNext/>
            </w:pPr>
            <w:r/>
            <w:r>
              <w:rPr>
                <w:b w:val="0"/>
                <w:sz w:val="19"/>
              </w:rPr>
              <w:t>Extendable roller conveyor (into the container)</w:t>
            </w:r>
          </w:p>
        </w:tc>
        <w:tc>
          <w:tcPr>
            <w:tcW w:type="dxa" w:w="1587"/>
          </w:tcPr>
          <w:p>
            <w:pPr>
              <w:keepNext/>
            </w:pPr>
            <w:r/>
            <w:r>
              <w:rPr>
                <w:b w:val="0"/>
                <w:sz w:val="19"/>
              </w:rPr>
              <w:t>2 units</w:t>
            </w:r>
          </w:p>
        </w:tc>
        <w:tc>
          <w:tcPr>
            <w:tcW w:type="dxa" w:w="1134"/>
          </w:tcPr>
          <w:p>
            <w:pPr>
              <w:keepNext/>
              <w:jc w:val="right"/>
            </w:pPr>
            <w:r/>
            <w:r>
              <w:rPr>
                <w:b w:val="0"/>
                <w:sz w:val="19"/>
              </w:rPr>
              <w:t>€1,250</w:t>
            </w:r>
          </w:p>
        </w:tc>
        <w:tc>
          <w:tcPr>
            <w:tcW w:type="dxa" w:w="1361"/>
          </w:tcPr>
          <w:p>
            <w:pPr>
              <w:keepNext/>
              <w:jc w:val="right"/>
            </w:pPr>
            <w:r/>
            <w:r>
              <w:rPr>
                <w:b w:val="0"/>
                <w:sz w:val="19"/>
              </w:rPr>
              <w:t>€2,500</w:t>
            </w:r>
          </w:p>
        </w:tc>
        <w:tc>
          <w:tcPr>
            <w:tcW w:type="dxa" w:w="1587"/>
          </w:tcPr>
          <w:p>
            <w:pPr>
              <w:keepNext/>
              <w:jc w:val="right"/>
            </w:pPr>
            <w:r/>
            <w:r>
              <w:rPr>
                <w:b w:val="0"/>
                <w:sz w:val="19"/>
              </w:rPr>
              <w:t>S025</w:t>
            </w:r>
          </w:p>
        </w:tc>
      </w:tr>
      <w:tr>
        <w:trPr>
          <w:cantSplit/>
        </w:trPr>
        <w:tc>
          <w:tcPr>
            <w:tcW w:type="dxa" w:w="3402"/>
          </w:tcPr>
          <w:p>
            <w:pPr>
              <w:keepNext/>
            </w:pPr>
            <w:r/>
            <w:r>
              <w:rPr>
                <w:b w:val="0"/>
                <w:sz w:val="19"/>
              </w:rPr>
              <w:t>Stretch wrapper (newly built pallets)</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RF terminals with cradles</w:t>
            </w:r>
          </w:p>
        </w:tc>
        <w:tc>
          <w:tcPr>
            <w:tcW w:type="dxa" w:w="1587"/>
          </w:tcPr>
          <w:p>
            <w:pPr>
              <w:keepNext/>
            </w:pPr>
            <w:r/>
            <w:r>
              <w:rPr>
                <w:b w:val="0"/>
                <w:sz w:val="19"/>
              </w:rPr>
              <w:t>14 units</w:t>
            </w:r>
          </w:p>
        </w:tc>
        <w:tc>
          <w:tcPr>
            <w:tcW w:type="dxa" w:w="1134"/>
          </w:tcPr>
          <w:p>
            <w:pPr>
              <w:keepNext/>
              <w:jc w:val="right"/>
            </w:pPr>
            <w:r/>
            <w:r>
              <w:rPr>
                <w:b w:val="0"/>
                <w:sz w:val="19"/>
              </w:rPr>
              <w:t>€1,500</w:t>
            </w:r>
          </w:p>
        </w:tc>
        <w:tc>
          <w:tcPr>
            <w:tcW w:type="dxa" w:w="1361"/>
          </w:tcPr>
          <w:p>
            <w:pPr>
              <w:keepNext/>
              <w:jc w:val="right"/>
            </w:pPr>
            <w:r/>
            <w:r>
              <w:rPr>
                <w:b w:val="0"/>
                <w:sz w:val="19"/>
              </w:rPr>
              <w:t>€21,000</w:t>
            </w:r>
          </w:p>
        </w:tc>
        <w:tc>
          <w:tcPr>
            <w:tcW w:type="dxa" w:w="1587"/>
          </w:tcPr>
          <w:p>
            <w:pPr>
              <w:keepNext/>
              <w:jc w:val="right"/>
            </w:pPr>
            <w:r/>
            <w:r>
              <w:rPr>
                <w:b w:val="0"/>
                <w:sz w:val="19"/>
              </w:rPr>
              <w:t>A036 / S025</w:t>
            </w:r>
          </w:p>
        </w:tc>
      </w:tr>
      <w:tr>
        <w:trPr>
          <w:cantSplit/>
        </w:trPr>
        <w:tc>
          <w:tcPr>
            <w:tcW w:type="dxa" w:w="3402"/>
          </w:tcPr>
          <w:p>
            <w:pPr>
              <w:keepNext/>
            </w:pPr>
            <w:r/>
            <w:r>
              <w:rPr>
                <w:b w:val="0"/>
                <w:sz w:val="19"/>
              </w:rPr>
              <w:t>WMS set-up: waves, put-wall, slotting, putaway rules</w:t>
            </w:r>
          </w:p>
        </w:tc>
        <w:tc>
          <w:tcPr>
            <w:tcW w:type="dxa" w:w="1587"/>
          </w:tcPr>
          <w:p>
            <w:pPr>
              <w:keepNext/>
            </w:pPr>
            <w:r/>
            <w:r>
              <w:rPr>
                <w:b w:val="0"/>
                <w:sz w:val="19"/>
              </w:rPr>
              <w:t>1 lot</w:t>
            </w:r>
          </w:p>
        </w:tc>
        <w:tc>
          <w:tcPr>
            <w:tcW w:type="dxa" w:w="1134"/>
          </w:tcPr>
          <w:p>
            <w:pPr>
              <w:keepNext/>
              <w:jc w:val="right"/>
            </w:pPr>
            <w:r/>
            <w:r>
              <w:rPr>
                <w:b w:val="0"/>
                <w:sz w:val="19"/>
              </w:rPr>
              <w:t>€25,000</w:t>
            </w:r>
          </w:p>
        </w:tc>
        <w:tc>
          <w:tcPr>
            <w:tcW w:type="dxa" w:w="1361"/>
          </w:tcPr>
          <w:p>
            <w:pPr>
              <w:keepNext/>
              <w:jc w:val="right"/>
            </w:pPr>
            <w:r/>
            <w:r>
              <w:rPr>
                <w:b w:val="0"/>
                <w:sz w:val="19"/>
              </w:rPr>
              <w:t>€25,000</w:t>
            </w:r>
          </w:p>
        </w:tc>
        <w:tc>
          <w:tcPr>
            <w:tcW w:type="dxa" w:w="1587"/>
          </w:tcPr>
          <w:p>
            <w:pPr>
              <w:keepNext/>
              <w:jc w:val="right"/>
            </w:pPr>
            <w:r/>
            <w:r>
              <w:rPr>
                <w:b w:val="0"/>
                <w:sz w:val="19"/>
              </w:rPr>
              <w:t>A037</w:t>
            </w:r>
          </w:p>
        </w:tc>
      </w:tr>
      <w:tr>
        <w:trPr>
          <w:cantSplit/>
        </w:trPr>
        <w:tc>
          <w:tcPr>
            <w:tcW w:type="dxa" w:w="3402"/>
          </w:tcPr>
          <w:p>
            <w:pPr>
              <w:keepNext/>
            </w:pPr>
            <w:r/>
            <w:r>
              <w:rPr>
                <w:b w:val="0"/>
                <w:sz w:val="19"/>
              </w:rPr>
              <w:t>Move-in / re-slotting (each load moved once)</w:t>
            </w:r>
          </w:p>
        </w:tc>
        <w:tc>
          <w:tcPr>
            <w:tcW w:type="dxa" w:w="1587"/>
          </w:tcPr>
          <w:p>
            <w:pPr>
              <w:keepNext/>
            </w:pPr>
            <w:r/>
            <w:r>
              <w:rPr>
                <w:b w:val="0"/>
                <w:sz w:val="19"/>
              </w:rPr>
              <w:t>11,015 loads</w:t>
            </w:r>
          </w:p>
        </w:tc>
        <w:tc>
          <w:tcPr>
            <w:tcW w:type="dxa" w:w="1134"/>
          </w:tcPr>
          <w:p>
            <w:pPr>
              <w:keepNext/>
              <w:jc w:val="right"/>
            </w:pPr>
            <w:r/>
            <w:r>
              <w:rPr>
                <w:b w:val="0"/>
                <w:sz w:val="19"/>
              </w:rPr>
              <w:t>€1.34</w:t>
            </w:r>
          </w:p>
        </w:tc>
        <w:tc>
          <w:tcPr>
            <w:tcW w:type="dxa" w:w="1361"/>
          </w:tcPr>
          <w:p>
            <w:pPr>
              <w:keepNext/>
              <w:jc w:val="right"/>
            </w:pPr>
            <w:r/>
            <w:r>
              <w:rPr>
                <w:b w:val="0"/>
                <w:sz w:val="19"/>
              </w:rPr>
              <w:t>€14,813</w:t>
            </w:r>
          </w:p>
        </w:tc>
        <w:tc>
          <w:tcPr>
            <w:tcW w:type="dxa" w:w="1587"/>
          </w:tcPr>
          <w:p>
            <w:pPr>
              <w:keepNext/>
              <w:jc w:val="right"/>
            </w:pPr>
            <w:r/>
            <w:r>
              <w:rPr>
                <w:b w:val="0"/>
                <w:sz w:val="19"/>
              </w:rPr>
              <w:t>ETV cycle model + A030</w:t>
            </w:r>
          </w:p>
        </w:tc>
      </w:tr>
      <w:tr>
        <w:trPr>
          <w:cantSplit/>
        </w:trPr>
        <w:tc>
          <w:tcPr>
            <w:tcW w:type="dxa" w:w="3402"/>
          </w:tcPr>
          <w:p>
            <w:pPr>
              <w:keepNext/>
            </w:pPr>
            <w:r/>
            <w:r>
              <w:rPr>
                <w:b w:val="0"/>
                <w:sz w:val="19"/>
              </w:rPr>
              <w:t>Contingency 10%</w:t>
            </w:r>
          </w:p>
        </w:tc>
        <w:tc>
          <w:tcPr>
            <w:tcW w:type="dxa" w:w="1587"/>
          </w:tcPr>
          <w:p>
            <w:pPr>
              <w:keepNext/>
            </w:pPr>
            <w:r/>
            <w:r>
              <w:rPr>
                <w:b w:val="0"/>
                <w:sz w:val="19"/>
              </w:rPr>
              <w:t>1 lot</w:t>
            </w:r>
          </w:p>
        </w:tc>
        <w:tc>
          <w:tcPr>
            <w:tcW w:type="dxa" w:w="1134"/>
          </w:tcPr>
          <w:p>
            <w:pPr>
              <w:keepNext/>
              <w:jc w:val="right"/>
            </w:pPr>
            <w:r/>
            <w:r>
              <w:rPr>
                <w:b w:val="0"/>
                <w:sz w:val="19"/>
              </w:rPr>
              <w:t>€147,922</w:t>
            </w:r>
          </w:p>
        </w:tc>
        <w:tc>
          <w:tcPr>
            <w:tcW w:type="dxa" w:w="1361"/>
          </w:tcPr>
          <w:p>
            <w:pPr>
              <w:keepNext/>
              <w:jc w:val="right"/>
            </w:pPr>
            <w:r/>
            <w:r>
              <w:rPr>
                <w:b w:val="0"/>
                <w:sz w:val="19"/>
              </w:rPr>
              <w:t>€147,922</w:t>
            </w:r>
          </w:p>
        </w:tc>
        <w:tc>
          <w:tcPr>
            <w:tcW w:type="dxa" w:w="1587"/>
          </w:tcPr>
          <w:p>
            <w:pPr>
              <w:keepNext/>
              <w:jc w:val="right"/>
            </w:pPr>
            <w:r/>
            <w:r>
              <w:rPr>
                <w:b w:val="0"/>
                <w:sz w:val="19"/>
              </w:rPr>
              <w:t>A037</w:t>
            </w:r>
          </w:p>
        </w:tc>
      </w:tr>
      <w:tr>
        <w:trPr>
          <w:cantSplit/>
        </w:trPr>
        <w:tc>
          <w:tcPr>
            <w:tcW w:type="dxa" w:w="3402"/>
          </w:tcPr>
          <w:p>
            <w:r/>
            <w:r>
              <w:rPr>
                <w:b/>
                <w:sz w:val="19"/>
              </w:rPr>
              <w:t>Total CAPEX</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€1,627,140</w:t>
            </w:r>
          </w:p>
        </w:tc>
        <w:tc>
          <w:tcPr>
            <w:tcW w:type="dxa" w:w="1587"/>
          </w:tcPr>
          <w:p>
            <w:pPr>
              <w:jc w:val="right"/>
            </w:pPr>
            <w:r/>
            <w:r>
              <w:rPr>
                <w:b/>
                <w:sz w:val="19"/>
              </w:rPr>
            </w:r>
          </w:p>
        </w:tc>
      </w:tr>
    </w:tbl>
    <w:p>
      <w:pPr>
        <w:spacing w:after="40"/>
      </w:pPr>
    </w:p>
    <w:p>
      <w:pPr>
        <w:pStyle w:val="ListBullet"/>
      </w:pPr>
      <w:r>
        <w:rPr>
          <w:b w:val="0"/>
          <w:sz w:val="21"/>
        </w:rPr>
      </w:r>
      <w:r>
        <w:rPr>
          <w:b/>
          <w:sz w:val="21"/>
        </w:rPr>
        <w:t>Racking is 80% of the investment.</w:t>
      </w:r>
      <w:r>
        <w:rPr>
          <w:b w:val="0"/>
          <w:sz w:val="21"/>
        </w:rPr>
        <w:t xml:space="preserve"> If the racking already standing in Bemmel can be taken down and rebuilt in the new layout (about €25 per position), the investment drops to €461k. DHL must confirm the type and condition of today's racks.</w:t>
      </w:r>
    </w:p>
    <w:p>
      <w:pPr>
        <w:pStyle w:val="ListBullet"/>
      </w:pPr>
      <w:r>
        <w:rPr>
          <w:b w:val="0"/>
          <w:sz w:val="21"/>
        </w:rPr>
      </w:r>
      <w:r>
        <w:rPr>
          <w:b/>
          <w:sz w:val="21"/>
        </w:rPr>
        <w:t>Depreciation:</w:t>
      </w:r>
      <w:r>
        <w:rPr>
          <w:b w:val="0"/>
          <w:sz w:val="21"/>
        </w:rPr>
        <w:t xml:space="preserve"> €135,474 a year (racking 15 years, equipment 7, IT 5).</w:t>
      </w:r>
    </w:p>
    <w:p>
      <w:pPr>
        <w:pStyle w:val="Heading2"/>
      </w:pPr>
      <w:r>
        <w:t>5.2 Running cost (OPEX)</w:t>
      </w:r>
    </w:p>
    <w:p>
      <w:pPr>
        <w:keepNext/>
        <w:jc w:val="center"/>
      </w:pPr>
      <w:r>
        <w:drawing>
          <wp:inline xmlns:a="http://schemas.openxmlformats.org/drawingml/2006/main" xmlns:pic="http://schemas.openxmlformats.org/drawingml/2006/picture">
            <wp:extent cx="4860000" cy="1734979"/>
            <wp:docPr id="7" name="Picture 7"/>
            <wp:cNvGraphicFramePr>
              <a:graphicFrameLocks noChangeAspect="1"/>
            </wp:cNvGraphicFramePr>
            <a:graphic>
              <a:graphicData uri="http://schemas.openxmlformats.org/drawingml/2006/picture">
                <pic:pic>
                  <pic:nvPicPr>
                    <pic:cNvPr id="0" name="d3_opex.png"/>
                    <pic:cNvPicPr/>
                  </pic:nvPicPr>
                  <pic:blipFill>
                    <a:blip r:embed="rId15"/>
                    <a:stretch>
                      <a:fillRect/>
                    </a:stretch>
                  </pic:blipFill>
                  <pic:spPr>
                    <a:xfrm>
                      <a:off x="0" y="0"/>
                      <a:ext cx="4860000" cy="1734979"/>
                    </a:xfrm>
                    <a:prstGeom prst="rect"/>
                  </pic:spPr>
                </pic:pic>
              </a:graphicData>
            </a:graphic>
          </wp:inline>
        </w:drawing>
      </w:r>
    </w:p>
    <w:p>
      <w:pPr>
        <w:spacing w:after="200"/>
        <w:jc w:val="center"/>
      </w:pPr>
      <w:r>
        <w:rPr>
          <w:b w:val="0"/>
          <w:i/>
          <w:color w:val="666666"/>
          <w:sz w:val="17"/>
        </w:rPr>
        <w:t>Fig 7. OPEX by group — total €455k per year.</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 / year</w:t>
            </w:r>
          </w:p>
        </w:tc>
        <w:tc>
          <w:tcPr>
            <w:tcW w:type="dxa" w:w="1134"/>
          </w:tcPr>
          <w:p>
            <w:pPr>
              <w:keepNext/>
            </w:pPr>
            <w:r/>
            <w:r>
              <w:rPr>
                <w:b/>
                <w:sz w:val="19"/>
              </w:rPr>
              <w:t>Unit cost</w:t>
            </w:r>
          </w:p>
        </w:tc>
        <w:tc>
          <w:tcPr>
            <w:tcW w:type="dxa" w:w="1361"/>
          </w:tcPr>
          <w:p>
            <w:pPr>
              <w:keepNext/>
            </w:pPr>
            <w:r/>
            <w:r>
              <w:rPr>
                <w:b/>
                <w:sz w:val="19"/>
              </w:rPr>
              <w:t>Per year</w:t>
            </w:r>
          </w:p>
        </w:tc>
        <w:tc>
          <w:tcPr>
            <w:tcW w:type="dxa" w:w="1587"/>
          </w:tcPr>
          <w:p>
            <w:pPr>
              <w:keepNext/>
            </w:pPr>
            <w:r/>
            <w:r>
              <w:rPr>
                <w:b/>
                <w:sz w:val="19"/>
              </w:rPr>
              <w:t>Source</w:t>
            </w:r>
          </w:p>
        </w:tc>
      </w:tr>
      <w:tr>
        <w:trPr>
          <w:cantSplit/>
        </w:trPr>
        <w:tc>
          <w:tcPr>
            <w:tcW w:type="dxa" w:w="3402"/>
          </w:tcPr>
          <w:p>
            <w:pPr>
              <w:keepNext/>
            </w:pPr>
            <w:r/>
            <w:r>
              <w:rPr>
                <w:b w:val="0"/>
                <w:sz w:val="19"/>
              </w:rPr>
              <w:t>Direct DHL labour (receiving, putaway, replenishment, picking, packing, loading)</w:t>
            </w:r>
          </w:p>
        </w:tc>
        <w:tc>
          <w:tcPr>
            <w:tcW w:type="dxa" w:w="1587"/>
          </w:tcPr>
          <w:p>
            <w:pPr>
              <w:keepNext/>
            </w:pPr>
            <w:r/>
            <w:r>
              <w:rPr>
                <w:b w:val="0"/>
                <w:sz w:val="19"/>
              </w:rPr>
              <w:t>9,083 paid h</w:t>
            </w:r>
          </w:p>
        </w:tc>
        <w:tc>
          <w:tcPr>
            <w:tcW w:type="dxa" w:w="1134"/>
          </w:tcPr>
          <w:p>
            <w:pPr>
              <w:keepNext/>
              <w:jc w:val="right"/>
            </w:pPr>
            <w:r/>
            <w:r>
              <w:rPr>
                <w:b w:val="0"/>
                <w:sz w:val="19"/>
              </w:rPr>
              <w:t>€28</w:t>
            </w:r>
          </w:p>
        </w:tc>
        <w:tc>
          <w:tcPr>
            <w:tcW w:type="dxa" w:w="1361"/>
          </w:tcPr>
          <w:p>
            <w:pPr>
              <w:keepNext/>
              <w:jc w:val="right"/>
            </w:pPr>
            <w:r/>
            <w:r>
              <w:rPr>
                <w:b w:val="0"/>
                <w:sz w:val="19"/>
              </w:rPr>
              <w:t>€254,333</w:t>
            </w:r>
          </w:p>
        </w:tc>
        <w:tc>
          <w:tcPr>
            <w:tcW w:type="dxa" w:w="1587"/>
          </w:tcPr>
          <w:p>
            <w:pPr>
              <w:keepNext/>
              <w:jc w:val="right"/>
            </w:pPr>
            <w:r/>
            <w:r>
              <w:rPr>
                <w:b w:val="0"/>
                <w:sz w:val="19"/>
              </w:rPr>
              <w:t>capacity plan (D2 §6) x A030</w:t>
            </w:r>
          </w:p>
        </w:tc>
      </w:tr>
      <w:tr>
        <w:trPr>
          <w:cantSplit/>
        </w:trPr>
        <w:tc>
          <w:tcPr>
            <w:tcW w:type="dxa" w:w="3402"/>
          </w:tcPr>
          <w:p>
            <w:pPr>
              <w:keepNext/>
            </w:pPr>
            <w:r/>
            <w:r>
              <w:rPr>
                <w:b w:val="0"/>
                <w:sz w:val="19"/>
              </w:rPr>
              <w:t>Loose-container zone crew (2 people x 3 h per container)</w:t>
            </w:r>
          </w:p>
        </w:tc>
        <w:tc>
          <w:tcPr>
            <w:tcW w:type="dxa" w:w="1587"/>
          </w:tcPr>
          <w:p>
            <w:pPr>
              <w:keepNext/>
            </w:pPr>
            <w:r/>
            <w:r>
              <w:rPr>
                <w:b w:val="0"/>
                <w:sz w:val="19"/>
              </w:rPr>
              <w:t>1,562 paid h</w:t>
            </w:r>
          </w:p>
        </w:tc>
        <w:tc>
          <w:tcPr>
            <w:tcW w:type="dxa" w:w="1134"/>
          </w:tcPr>
          <w:p>
            <w:pPr>
              <w:keepNext/>
              <w:jc w:val="right"/>
            </w:pPr>
            <w:r/>
            <w:r>
              <w:rPr>
                <w:b w:val="0"/>
                <w:sz w:val="19"/>
              </w:rPr>
              <w:t>€28</w:t>
            </w:r>
          </w:p>
        </w:tc>
        <w:tc>
          <w:tcPr>
            <w:tcW w:type="dxa" w:w="1361"/>
          </w:tcPr>
          <w:p>
            <w:pPr>
              <w:keepNext/>
              <w:jc w:val="right"/>
            </w:pPr>
            <w:r/>
            <w:r>
              <w:rPr>
                <w:b w:val="0"/>
                <w:sz w:val="19"/>
              </w:rPr>
              <w:t>€43,725</w:t>
            </w:r>
          </w:p>
        </w:tc>
        <w:tc>
          <w:tcPr>
            <w:tcW w:type="dxa" w:w="1587"/>
          </w:tcPr>
          <w:p>
            <w:pPr>
              <w:keepNext/>
              <w:jc w:val="right"/>
            </w:pPr>
            <w:r/>
            <w:r>
              <w:rPr>
                <w:b w:val="0"/>
                <w:sz w:val="19"/>
              </w:rPr>
              <w:t>A019 x A030 (or contractor fee, see break-even)</w:t>
            </w:r>
          </w:p>
        </w:tc>
      </w:tr>
      <w:tr>
        <w:trPr>
          <w:cantSplit/>
        </w:trPr>
        <w:tc>
          <w:tcPr>
            <w:tcW w:type="dxa" w:w="3402"/>
          </w:tcPr>
          <w:p>
            <w:pPr>
              <w:keepNext/>
            </w:pPr>
            <w:r/>
            <w:r>
              <w:rPr>
                <w:b w:val="0"/>
                <w:sz w:val="19"/>
              </w:rPr>
              <w:t>Team leader + inventory control / admin</w:t>
            </w:r>
          </w:p>
        </w:tc>
        <w:tc>
          <w:tcPr>
            <w:tcW w:type="dxa" w:w="1587"/>
          </w:tcPr>
          <w:p>
            <w:pPr>
              <w:keepNext/>
            </w:pPr>
            <w:r/>
            <w:r>
              <w:rPr>
                <w:b w:val="0"/>
                <w:sz w:val="19"/>
              </w:rPr>
              <w:t>2,928 paid h</w:t>
            </w:r>
          </w:p>
        </w:tc>
        <w:tc>
          <w:tcPr>
            <w:tcW w:type="dxa" w:w="1134"/>
          </w:tcPr>
          <w:p>
            <w:pPr>
              <w:keepNext/>
              <w:jc w:val="right"/>
            </w:pPr>
            <w:r/>
            <w:r>
              <w:rPr>
                <w:b w:val="0"/>
                <w:sz w:val="19"/>
              </w:rPr>
              <w:t>€36</w:t>
            </w:r>
          </w:p>
        </w:tc>
        <w:tc>
          <w:tcPr>
            <w:tcW w:type="dxa" w:w="1361"/>
          </w:tcPr>
          <w:p>
            <w:pPr>
              <w:keepNext/>
              <w:jc w:val="right"/>
            </w:pPr>
            <w:r/>
            <w:r>
              <w:rPr>
                <w:b w:val="0"/>
                <w:sz w:val="19"/>
              </w:rPr>
              <w:t>€106,384</w:t>
            </w:r>
          </w:p>
        </w:tc>
        <w:tc>
          <w:tcPr>
            <w:tcW w:type="dxa" w:w="1587"/>
          </w:tcPr>
          <w:p>
            <w:pPr>
              <w:keepNext/>
              <w:jc w:val="right"/>
            </w:pPr>
            <w:r/>
            <w:r>
              <w:rPr>
                <w:b w:val="0"/>
                <w:sz w:val="19"/>
              </w:rPr>
              <w:t>A032 x A030</w:t>
            </w:r>
          </w:p>
        </w:tc>
      </w:tr>
      <w:tr>
        <w:trPr>
          <w:cantSplit/>
        </w:trPr>
        <w:tc>
          <w:tcPr>
            <w:tcW w:type="dxa" w:w="3402"/>
          </w:tcPr>
          <w:p>
            <w:pPr>
              <w:keepNext/>
            </w:pPr>
            <w:r/>
            <w:r>
              <w:rPr>
                <w:b w:val="0"/>
                <w:sz w:val="19"/>
              </w:rPr>
              <w:t>ETV 216i reach truck lease (2)</w:t>
            </w:r>
          </w:p>
        </w:tc>
        <w:tc>
          <w:tcPr>
            <w:tcW w:type="dxa" w:w="1587"/>
          </w:tcPr>
          <w:p>
            <w:pPr>
              <w:keepNext/>
            </w:pPr>
            <w:r/>
            <w:r>
              <w:rPr>
                <w:b w:val="0"/>
                <w:sz w:val="19"/>
              </w:rPr>
              <w:t>24 truck-months</w:t>
            </w:r>
          </w:p>
        </w:tc>
        <w:tc>
          <w:tcPr>
            <w:tcW w:type="dxa" w:w="1134"/>
          </w:tcPr>
          <w:p>
            <w:pPr>
              <w:keepNext/>
              <w:jc w:val="right"/>
            </w:pPr>
            <w:r/>
            <w:r>
              <w:rPr>
                <w:b w:val="0"/>
                <w:sz w:val="19"/>
              </w:rPr>
              <w:t>€900</w:t>
            </w:r>
          </w:p>
        </w:tc>
        <w:tc>
          <w:tcPr>
            <w:tcW w:type="dxa" w:w="1361"/>
          </w:tcPr>
          <w:p>
            <w:pPr>
              <w:keepNext/>
              <w:jc w:val="right"/>
            </w:pPr>
            <w:r/>
            <w:r>
              <w:rPr>
                <w:b w:val="0"/>
                <w:sz w:val="19"/>
              </w:rPr>
              <w:t>€21,600</w:t>
            </w:r>
          </w:p>
        </w:tc>
        <w:tc>
          <w:tcPr>
            <w:tcW w:type="dxa" w:w="1587"/>
          </w:tcPr>
          <w:p>
            <w:pPr>
              <w:keepNext/>
              <w:jc w:val="right"/>
            </w:pPr>
            <w:r/>
            <w:r>
              <w:rPr>
                <w:b w:val="0"/>
                <w:sz w:val="19"/>
              </w:rPr>
              <w:t>A038 / S021</w:t>
            </w:r>
          </w:p>
        </w:tc>
      </w:tr>
      <w:tr>
        <w:trPr>
          <w:cantSplit/>
        </w:trPr>
        <w:tc>
          <w:tcPr>
            <w:tcW w:type="dxa" w:w="3402"/>
          </w:tcPr>
          <w:p>
            <w:pPr>
              <w:keepNext/>
            </w:pPr>
            <w:r/>
            <w:r>
              <w:rPr>
                <w:b w:val="0"/>
                <w:sz w:val="19"/>
              </w:rPr>
              <w:t>EJE 120i pallet truck lease (3)</w:t>
            </w:r>
          </w:p>
        </w:tc>
        <w:tc>
          <w:tcPr>
            <w:tcW w:type="dxa" w:w="1587"/>
          </w:tcPr>
          <w:p>
            <w:pPr>
              <w:keepNext/>
            </w:pPr>
            <w:r/>
            <w:r>
              <w:rPr>
                <w:b w:val="0"/>
                <w:sz w:val="19"/>
              </w:rPr>
              <w:t>36 truck-months</w:t>
            </w:r>
          </w:p>
        </w:tc>
        <w:tc>
          <w:tcPr>
            <w:tcW w:type="dxa" w:w="1134"/>
          </w:tcPr>
          <w:p>
            <w:pPr>
              <w:keepNext/>
              <w:jc w:val="right"/>
            </w:pPr>
            <w:r/>
            <w:r>
              <w:rPr>
                <w:b w:val="0"/>
                <w:sz w:val="19"/>
              </w:rPr>
              <w:t>€150</w:t>
            </w:r>
          </w:p>
        </w:tc>
        <w:tc>
          <w:tcPr>
            <w:tcW w:type="dxa" w:w="1361"/>
          </w:tcPr>
          <w:p>
            <w:pPr>
              <w:keepNext/>
              <w:jc w:val="right"/>
            </w:pPr>
            <w:r/>
            <w:r>
              <w:rPr>
                <w:b w:val="0"/>
                <w:sz w:val="19"/>
              </w:rPr>
              <w:t>€5,400</w:t>
            </w:r>
          </w:p>
        </w:tc>
        <w:tc>
          <w:tcPr>
            <w:tcW w:type="dxa" w:w="1587"/>
          </w:tcPr>
          <w:p>
            <w:pPr>
              <w:keepNext/>
              <w:jc w:val="right"/>
            </w:pPr>
            <w:r/>
            <w:r>
              <w:rPr>
                <w:b w:val="0"/>
                <w:sz w:val="19"/>
              </w:rPr>
              <w:t>A038</w:t>
            </w:r>
          </w:p>
        </w:tc>
      </w:tr>
      <w:tr>
        <w:trPr>
          <w:cantSplit/>
        </w:trPr>
        <w:tc>
          <w:tcPr>
            <w:tcW w:type="dxa" w:w="3402"/>
          </w:tcPr>
          <w:p>
            <w:pPr>
              <w:keepNext/>
            </w:pPr>
            <w:r/>
            <w:r>
              <w:rPr>
                <w:b w:val="0"/>
                <w:sz w:val="19"/>
              </w:rPr>
              <w:t>ERE 225 rider pallet truck lease (2)</w:t>
            </w:r>
          </w:p>
        </w:tc>
        <w:tc>
          <w:tcPr>
            <w:tcW w:type="dxa" w:w="1587"/>
          </w:tcPr>
          <w:p>
            <w:pPr>
              <w:keepNext/>
            </w:pPr>
            <w:r/>
            <w:r>
              <w:rPr>
                <w:b w:val="0"/>
                <w:sz w:val="19"/>
              </w:rPr>
              <w:t>24 truck-months</w:t>
            </w:r>
          </w:p>
        </w:tc>
        <w:tc>
          <w:tcPr>
            <w:tcW w:type="dxa" w:w="1134"/>
          </w:tcPr>
          <w:p>
            <w:pPr>
              <w:keepNext/>
              <w:jc w:val="right"/>
            </w:pPr>
            <w:r/>
            <w:r>
              <w:rPr>
                <w:b w:val="0"/>
                <w:sz w:val="19"/>
              </w:rPr>
              <w:t>€350</w:t>
            </w:r>
          </w:p>
        </w:tc>
        <w:tc>
          <w:tcPr>
            <w:tcW w:type="dxa" w:w="1361"/>
          </w:tcPr>
          <w:p>
            <w:pPr>
              <w:keepNext/>
              <w:jc w:val="right"/>
            </w:pPr>
            <w:r/>
            <w:r>
              <w:rPr>
                <w:b w:val="0"/>
                <w:sz w:val="19"/>
              </w:rPr>
              <w:t>€8,400</w:t>
            </w:r>
          </w:p>
        </w:tc>
        <w:tc>
          <w:tcPr>
            <w:tcW w:type="dxa" w:w="1587"/>
          </w:tcPr>
          <w:p>
            <w:pPr>
              <w:keepNext/>
              <w:jc w:val="right"/>
            </w:pPr>
            <w:r/>
            <w:r>
              <w:rPr>
                <w:b w:val="0"/>
                <w:sz w:val="19"/>
              </w:rPr>
              <w:t>A038</w:t>
            </w:r>
          </w:p>
        </w:tc>
      </w:tr>
      <w:tr>
        <w:trPr>
          <w:cantSplit/>
        </w:trPr>
        <w:tc>
          <w:tcPr>
            <w:tcW w:type="dxa" w:w="3402"/>
          </w:tcPr>
          <w:p>
            <w:pPr>
              <w:keepNext/>
            </w:pPr>
            <w:r/>
            <w:r>
              <w:rPr>
                <w:b w:val="0"/>
                <w:sz w:val="19"/>
              </w:rPr>
              <w:t>Electricity for trucks</w:t>
            </w:r>
          </w:p>
        </w:tc>
        <w:tc>
          <w:tcPr>
            <w:tcW w:type="dxa" w:w="1587"/>
          </w:tcPr>
          <w:p>
            <w:pPr>
              <w:keepNext/>
            </w:pPr>
            <w:r/>
            <w:r>
              <w:rPr>
                <w:b w:val="0"/>
                <w:sz w:val="19"/>
              </w:rPr>
              <w:t>8,442 kWh</w:t>
            </w:r>
          </w:p>
        </w:tc>
        <w:tc>
          <w:tcPr>
            <w:tcW w:type="dxa" w:w="1134"/>
          </w:tcPr>
          <w:p>
            <w:pPr>
              <w:keepNext/>
              <w:jc w:val="right"/>
            </w:pPr>
            <w:r/>
            <w:r>
              <w:rPr>
                <w:b w:val="0"/>
                <w:sz w:val="19"/>
              </w:rPr>
              <w:t>€0.20</w:t>
            </w:r>
          </w:p>
        </w:tc>
        <w:tc>
          <w:tcPr>
            <w:tcW w:type="dxa" w:w="1361"/>
          </w:tcPr>
          <w:p>
            <w:pPr>
              <w:keepNext/>
              <w:jc w:val="right"/>
            </w:pPr>
            <w:r/>
            <w:r>
              <w:rPr>
                <w:b w:val="0"/>
                <w:sz w:val="19"/>
              </w:rPr>
              <w:t>€1,727</w:t>
            </w:r>
          </w:p>
        </w:tc>
        <w:tc>
          <w:tcPr>
            <w:tcW w:type="dxa" w:w="1587"/>
          </w:tcPr>
          <w:p>
            <w:pPr>
              <w:keepNext/>
              <w:jc w:val="right"/>
            </w:pPr>
            <w:r/>
            <w:r>
              <w:rPr>
                <w:b w:val="0"/>
                <w:sz w:val="19"/>
              </w:rPr>
              <w:t>A039 / S022</w:t>
            </w:r>
          </w:p>
        </w:tc>
      </w:tr>
      <w:tr>
        <w:trPr>
          <w:cantSplit/>
        </w:trPr>
        <w:tc>
          <w:tcPr>
            <w:tcW w:type="dxa" w:w="3402"/>
          </w:tcPr>
          <w:p>
            <w:pPr>
              <w:keepNext/>
            </w:pPr>
            <w:r/>
            <w:r>
              <w:rPr>
                <w:b w:val="0"/>
                <w:sz w:val="19"/>
              </w:rPr>
              <w:t>Rack inspection (EN 15635) and repairs</w:t>
            </w:r>
          </w:p>
        </w:tc>
        <w:tc>
          <w:tcPr>
            <w:tcW w:type="dxa" w:w="1587"/>
          </w:tcPr>
          <w:p>
            <w:pPr>
              <w:keepNext/>
            </w:pPr>
            <w:r/>
            <w:r>
              <w:rPr>
                <w:b w:val="0"/>
                <w:sz w:val="19"/>
              </w:rPr>
              <w:t>1 per year</w:t>
            </w:r>
          </w:p>
        </w:tc>
        <w:tc>
          <w:tcPr>
            <w:tcW w:type="dxa" w:w="1134"/>
          </w:tcPr>
          <w:p>
            <w:pPr>
              <w:keepNext/>
              <w:jc w:val="right"/>
            </w:pPr>
            <w:r/>
            <w:r>
              <w:rPr>
                <w:b w:val="0"/>
                <w:sz w:val="19"/>
              </w:rPr>
              <w:t>€2,500</w:t>
            </w:r>
          </w:p>
        </w:tc>
        <w:tc>
          <w:tcPr>
            <w:tcW w:type="dxa" w:w="1361"/>
          </w:tcPr>
          <w:p>
            <w:pPr>
              <w:keepNext/>
              <w:jc w:val="right"/>
            </w:pPr>
            <w:r/>
            <w:r>
              <w:rPr>
                <w:b w:val="0"/>
                <w:sz w:val="19"/>
              </w:rPr>
              <w:t>€2,500</w:t>
            </w:r>
          </w:p>
        </w:tc>
        <w:tc>
          <w:tcPr>
            <w:tcW w:type="dxa" w:w="1587"/>
          </w:tcPr>
          <w:p>
            <w:pPr>
              <w:keepNext/>
              <w:jc w:val="right"/>
            </w:pPr>
            <w:r/>
            <w:r>
              <w:rPr>
                <w:b w:val="0"/>
                <w:sz w:val="19"/>
              </w:rPr>
              <w:t>A040 / S015</w:t>
            </w:r>
          </w:p>
        </w:tc>
      </w:tr>
      <w:tr>
        <w:trPr>
          <w:cantSplit/>
        </w:trPr>
        <w:tc>
          <w:tcPr>
            <w:tcW w:type="dxa" w:w="3402"/>
          </w:tcPr>
          <w:p>
            <w:pPr>
              <w:keepNext/>
            </w:pPr>
            <w:r/>
            <w:r>
              <w:rPr>
                <w:b w:val="0"/>
                <w:sz w:val="19"/>
              </w:rPr>
              <w:t>IT support, licences, device spares</w:t>
            </w:r>
          </w:p>
        </w:tc>
        <w:tc>
          <w:tcPr>
            <w:tcW w:type="dxa" w:w="1587"/>
          </w:tcPr>
          <w:p>
            <w:pPr>
              <w:keepNext/>
            </w:pPr>
            <w:r/>
            <w:r>
              <w:rPr>
                <w:b w:val="0"/>
                <w:sz w:val="19"/>
              </w:rPr>
              <w:t>1 per year</w:t>
            </w:r>
          </w:p>
        </w:tc>
        <w:tc>
          <w:tcPr>
            <w:tcW w:type="dxa" w:w="1134"/>
          </w:tcPr>
          <w:p>
            <w:pPr>
              <w:keepNext/>
              <w:jc w:val="right"/>
            </w:pPr>
            <w:r/>
            <w:r>
              <w:rPr>
                <w:b w:val="0"/>
                <w:sz w:val="19"/>
              </w:rPr>
              <w:t>€10,725</w:t>
            </w:r>
          </w:p>
        </w:tc>
        <w:tc>
          <w:tcPr>
            <w:tcW w:type="dxa" w:w="1361"/>
          </w:tcPr>
          <w:p>
            <w:pPr>
              <w:keepNext/>
              <w:jc w:val="right"/>
            </w:pPr>
            <w:r/>
            <w:r>
              <w:rPr>
                <w:b w:val="0"/>
                <w:sz w:val="19"/>
              </w:rPr>
              <w:t>€10,725</w:t>
            </w:r>
          </w:p>
        </w:tc>
        <w:tc>
          <w:tcPr>
            <w:tcW w:type="dxa" w:w="1587"/>
          </w:tcPr>
          <w:p>
            <w:pPr>
              <w:keepNext/>
              <w:jc w:val="right"/>
            </w:pPr>
            <w:r/>
            <w:r>
              <w:rPr>
                <w:b w:val="0"/>
                <w:sz w:val="19"/>
              </w:rPr>
              <w:t>A040</w:t>
            </w:r>
          </w:p>
        </w:tc>
      </w:tr>
      <w:tr>
        <w:trPr>
          <w:cantSplit/>
        </w:trPr>
        <w:tc>
          <w:tcPr>
            <w:tcW w:type="dxa" w:w="3402"/>
          </w:tcPr>
          <w:p>
            <w:pPr>
              <w:keepNext/>
            </w:pPr>
            <w:r/>
            <w:r>
              <w:rPr>
                <w:b w:val="0"/>
                <w:sz w:val="19"/>
              </w:rPr>
              <w:t>Total OPEX per year</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€454,794</w:t>
            </w:r>
          </w:p>
        </w:tc>
        <w:tc>
          <w:tcPr>
            <w:tcW w:type="dxa" w:w="1587"/>
          </w:tcPr>
          <w:p>
            <w:pPr>
              <w:keepNext/>
              <w:jc w:val="right"/>
            </w:pPr>
            <w:r/>
            <w:r>
              <w:rPr>
                <w:b w:val="0"/>
                <w:sz w:val="19"/>
              </w:rPr>
            </w:r>
          </w:p>
        </w:tc>
      </w:tr>
      <w:tr>
        <w:trPr>
          <w:cantSplit/>
        </w:trPr>
        <w:tc>
          <w:tcPr>
            <w:tcW w:type="dxa" w:w="3402"/>
          </w:tcPr>
          <w:p>
            <w:pPr>
              <w:keepNext/>
            </w:pPr>
            <w:r/>
            <w:r>
              <w:rPr>
                <w:b w:val="0"/>
                <w:sz w:val="19"/>
              </w:rPr>
              <w:t>+ depreciation of CAPEX</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€135,474</w:t>
            </w:r>
          </w:p>
        </w:tc>
        <w:tc>
          <w:tcPr>
            <w:tcW w:type="dxa" w:w="1587"/>
          </w:tcPr>
          <w:p>
            <w:pPr>
              <w:keepNext/>
              <w:jc w:val="right"/>
            </w:pPr>
            <w:r/>
            <w:r>
              <w:rPr>
                <w:b w:val="0"/>
                <w:sz w:val="19"/>
              </w:rPr>
              <w:t>A041</w:t>
            </w:r>
          </w:p>
        </w:tc>
      </w:tr>
      <w:tr>
        <w:trPr>
          <w:cantSplit/>
        </w:trPr>
        <w:tc>
          <w:tcPr>
            <w:tcW w:type="dxa" w:w="3402"/>
          </w:tcPr>
          <w:p>
            <w:r/>
            <w:r>
              <w:rPr>
                <w:b/>
                <w:sz w:val="19"/>
              </w:rPr>
              <w:t>Total yearly cost</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€590,267</w:t>
            </w:r>
          </w:p>
        </w:tc>
        <w:tc>
          <w:tcPr>
            <w:tcW w:type="dxa" w:w="1587"/>
          </w:tcPr>
          <w:p>
            <w:pPr>
              <w:jc w:val="right"/>
            </w:pPr>
            <w:r/>
            <w:r>
              <w:rPr>
                <w:b/>
                <w:sz w:val="19"/>
              </w:rPr>
            </w:r>
          </w:p>
        </w:tc>
      </w:tr>
    </w:tbl>
    <w:p>
      <w:pPr>
        <w:spacing w:after="40"/>
      </w:pPr>
    </w:p>
    <w:p>
      <w:pPr>
        <w:spacing w:after="120"/>
      </w:pPr>
      <w:r>
        <w:rPr>
          <w:b w:val="0"/>
          <w:i w:val="0"/>
          <w:color w:val="666666"/>
          <w:sz w:val="19"/>
        </w:rPr>
        <w:t>Labour hours come from the capacity plan: 4.7 FTE on an average day × 8 paid hours × 244 working days. Peak days are covered by flexible staff at the same hourly cost.</w:t>
      </w:r>
    </w:p>
    <w:p>
      <w:pPr>
        <w:pStyle w:val="Heading2"/>
      </w:pPr>
      <w:r>
        <w:t>5.3 Cost per unit</w:t>
      </w:r>
    </w:p>
    <w:tbl>
      <w:tblPr>
        <w:tblStyle w:val="LightGrid-Accent1"/>
        <w:tblW w:type="auto" w:w="0"/>
        <w:jc w:val="center"/>
        <w:tblLayout w:type="fixed"/>
        <w:tblLook w:firstColumn="1" w:firstRow="1" w:lastColumn="0" w:lastRow="0" w:noHBand="0" w:noVBand="1" w:val="04A0"/>
      </w:tblPr>
      <w:tblGrid>
        <w:gridCol w:w="2835"/>
        <w:gridCol w:w="2268"/>
        <w:gridCol w:w="1701"/>
      </w:tblGrid>
      <w:tr>
        <w:trPr>
          <w:cantSplit/>
        </w:trPr>
        <w:tc>
          <w:tcPr>
            <w:tcW w:type="dxa" w:w="2835"/>
          </w:tcPr>
          <w:p>
            <w:pPr>
              <w:keepNext/>
            </w:pPr>
            <w:r/>
            <w:r>
              <w:rPr>
                <w:b/>
                <w:sz w:val="19"/>
              </w:rPr>
              <w:t>Per …</w:t>
            </w:r>
          </w:p>
        </w:tc>
        <w:tc>
          <w:tcPr>
            <w:tcW w:type="dxa" w:w="2268"/>
          </w:tcPr>
          <w:p>
            <w:pPr>
              <w:keepNext/>
            </w:pPr>
            <w:r/>
            <w:r>
              <w:rPr>
                <w:b/>
                <w:sz w:val="19"/>
              </w:rPr>
              <w:t>Volume per year</w:t>
            </w:r>
          </w:p>
        </w:tc>
        <w:tc>
          <w:tcPr>
            <w:tcW w:type="dxa" w:w="1701"/>
          </w:tcPr>
          <w:p>
            <w:pPr>
              <w:keepNext/>
            </w:pPr>
            <w:r/>
            <w:r>
              <w:rPr>
                <w:b/>
                <w:sz w:val="19"/>
              </w:rPr>
              <w:t>Cost</w:t>
            </w:r>
          </w:p>
        </w:tc>
      </w:tr>
      <w:tr>
        <w:trPr>
          <w:cantSplit/>
        </w:trPr>
        <w:tc>
          <w:tcPr>
            <w:tcW w:type="dxa" w:w="2835"/>
          </w:tcPr>
          <w:p>
            <w:pPr>
              <w:keepNext/>
            </w:pPr>
            <w:r/>
            <w:r>
              <w:rPr>
                <w:b w:val="0"/>
                <w:sz w:val="19"/>
              </w:rPr>
              <w:t>Order line</w:t>
            </w:r>
          </w:p>
        </w:tc>
        <w:tc>
          <w:tcPr>
            <w:tcW w:type="dxa" w:w="2268"/>
          </w:tcPr>
          <w:p>
            <w:pPr>
              <w:keepNext/>
              <w:jc w:val="right"/>
            </w:pPr>
            <w:r/>
            <w:r>
              <w:rPr>
                <w:b w:val="0"/>
                <w:sz w:val="19"/>
              </w:rPr>
              <w:t>156,160</w:t>
            </w:r>
          </w:p>
        </w:tc>
        <w:tc>
          <w:tcPr>
            <w:tcW w:type="dxa" w:w="1701"/>
          </w:tcPr>
          <w:p>
            <w:pPr>
              <w:keepNext/>
              <w:jc w:val="right"/>
            </w:pPr>
            <w:r/>
            <w:r>
              <w:rPr>
                <w:b w:val="0"/>
                <w:sz w:val="19"/>
              </w:rPr>
              <w:t>€3.78</w:t>
            </w:r>
          </w:p>
        </w:tc>
      </w:tr>
      <w:tr>
        <w:trPr>
          <w:cantSplit/>
        </w:trPr>
        <w:tc>
          <w:tcPr>
            <w:tcW w:type="dxa" w:w="2835"/>
          </w:tcPr>
          <w:p>
            <w:pPr>
              <w:keepNext/>
            </w:pPr>
            <w:r/>
            <w:r>
              <w:rPr>
                <w:b w:val="0"/>
                <w:sz w:val="19"/>
              </w:rPr>
              <w:t>Order</w:t>
            </w:r>
          </w:p>
        </w:tc>
        <w:tc>
          <w:tcPr>
            <w:tcW w:type="dxa" w:w="2268"/>
          </w:tcPr>
          <w:p>
            <w:pPr>
              <w:keepNext/>
              <w:jc w:val="right"/>
            </w:pPr>
            <w:r/>
            <w:r>
              <w:rPr>
                <w:b w:val="0"/>
                <w:sz w:val="19"/>
              </w:rPr>
              <w:t>35,136</w:t>
            </w:r>
          </w:p>
        </w:tc>
        <w:tc>
          <w:tcPr>
            <w:tcW w:type="dxa" w:w="1701"/>
          </w:tcPr>
          <w:p>
            <w:pPr>
              <w:keepNext/>
              <w:jc w:val="right"/>
            </w:pPr>
            <w:r/>
            <w:r>
              <w:rPr>
                <w:b w:val="0"/>
                <w:sz w:val="19"/>
              </w:rPr>
              <w:t>€16.80</w:t>
            </w:r>
          </w:p>
        </w:tc>
      </w:tr>
      <w:tr>
        <w:trPr>
          <w:cantSplit/>
        </w:trPr>
        <w:tc>
          <w:tcPr>
            <w:tcW w:type="dxa" w:w="2835"/>
          </w:tcPr>
          <w:p>
            <w:pPr>
              <w:keepNext/>
            </w:pPr>
            <w:r/>
            <w:r>
              <w:rPr>
                <w:b w:val="0"/>
                <w:sz w:val="19"/>
              </w:rPr>
              <w:t>Inbound pallet</w:t>
            </w:r>
          </w:p>
        </w:tc>
        <w:tc>
          <w:tcPr>
            <w:tcW w:type="dxa" w:w="2268"/>
          </w:tcPr>
          <w:p>
            <w:pPr>
              <w:keepNext/>
              <w:jc w:val="right"/>
            </w:pPr>
            <w:r/>
            <w:r>
              <w:rPr>
                <w:b w:val="0"/>
                <w:sz w:val="19"/>
              </w:rPr>
              <w:t>24,132</w:t>
            </w:r>
          </w:p>
        </w:tc>
        <w:tc>
          <w:tcPr>
            <w:tcW w:type="dxa" w:w="1701"/>
          </w:tcPr>
          <w:p>
            <w:pPr>
              <w:keepNext/>
              <w:jc w:val="right"/>
            </w:pPr>
            <w:r/>
            <w:r>
              <w:rPr>
                <w:b w:val="0"/>
                <w:sz w:val="19"/>
              </w:rPr>
              <w:t>€24.46</w:t>
            </w:r>
          </w:p>
        </w:tc>
      </w:tr>
      <w:tr>
        <w:trPr>
          <w:cantSplit/>
        </w:trPr>
        <w:tc>
          <w:tcPr>
            <w:tcW w:type="dxa" w:w="2835"/>
          </w:tcPr>
          <w:p>
            <w:r/>
            <w:r>
              <w:rPr>
                <w:b w:val="0"/>
                <w:sz w:val="19"/>
              </w:rPr>
              <w:t>Pallet position per month</w:t>
            </w:r>
          </w:p>
        </w:tc>
        <w:tc>
          <w:tcPr>
            <w:tcW w:type="dxa" w:w="2268"/>
          </w:tcPr>
          <w:p>
            <w:pPr>
              <w:jc w:val="right"/>
            </w:pPr>
            <w:r/>
            <w:r>
              <w:rPr>
                <w:b w:val="0"/>
                <w:sz w:val="19"/>
              </w:rPr>
              <w:t>9,504</w:t>
            </w:r>
          </w:p>
        </w:tc>
        <w:tc>
          <w:tcPr>
            <w:tcW w:type="dxa" w:w="1701"/>
          </w:tcPr>
          <w:p>
            <w:pPr>
              <w:jc w:val="right"/>
            </w:pPr>
            <w:r/>
            <w:r>
              <w:rPr>
                <w:b w:val="0"/>
                <w:sz w:val="19"/>
              </w:rPr>
              <w:t>€5.18</w:t>
            </w:r>
          </w:p>
        </w:tc>
      </w:tr>
    </w:tbl>
    <w:p>
      <w:pPr>
        <w:spacing w:after="40"/>
      </w:pPr>
    </w:p>
    <w:p>
      <w:pPr>
        <w:spacing w:after="120"/>
      </w:pPr>
      <w:r>
        <w:rPr>
          <w:b w:val="0"/>
          <w:i w:val="0"/>
          <w:color w:val="666666"/>
          <w:sz w:val="19"/>
        </w:rPr>
        <w:t>These are full costs (OPEX + depreciation) split over the volume — useful for DHL to compare with the price agreed with Assa Abloy.</w:t>
      </w:r>
    </w:p>
    <w:p>
      <w:pPr>
        <w:pStyle w:val="Heading2"/>
      </w:pPr>
      <w:r>
        <w:t>5.4 Today vs future — saving and payback</w:t>
      </w:r>
    </w:p>
    <w:tbl>
      <w:tblPr>
        <w:tblStyle w:val="LightGrid-Accent1"/>
        <w:tblW w:type="auto" w:w="0"/>
        <w:jc w:val="center"/>
        <w:tblLayout w:type="fixed"/>
        <w:tblLook w:firstColumn="1" w:firstRow="1" w:lastColumn="0" w:lastRow="0" w:noHBand="0" w:noVBand="1" w:val="04A0"/>
      </w:tblPr>
      <w:tblGrid>
        <w:gridCol w:w="3402"/>
        <w:gridCol w:w="2551"/>
        <w:gridCol w:w="2551"/>
      </w:tblGrid>
      <w:tr>
        <w:trPr>
          <w:cantSplit/>
        </w:trPr>
        <w:tc>
          <w:tcPr>
            <w:tcW w:type="dxa" w:w="3402"/>
          </w:tcPr>
          <w:p>
            <w:pPr>
              <w:keepNext/>
            </w:pPr>
            <w:r/>
            <w:r>
              <w:rPr>
                <w:b/>
                <w:sz w:val="19"/>
              </w:rPr>
            </w:r>
          </w:p>
        </w:tc>
        <w:tc>
          <w:tcPr>
            <w:tcW w:type="dxa" w:w="2551"/>
          </w:tcPr>
          <w:p>
            <w:pPr>
              <w:keepNext/>
            </w:pPr>
            <w:r/>
            <w:r>
              <w:rPr>
                <w:b/>
                <w:sz w:val="19"/>
              </w:rPr>
              <w:t>All-new equipment</w:t>
            </w:r>
          </w:p>
        </w:tc>
        <w:tc>
          <w:tcPr>
            <w:tcW w:type="dxa" w:w="2551"/>
          </w:tcPr>
          <w:p>
            <w:pPr>
              <w:keepNext/>
            </w:pPr>
            <w:r/>
            <w:r>
              <w:rPr>
                <w:b/>
                <w:sz w:val="19"/>
              </w:rPr>
              <w:t>Re-use today's racking</w:t>
            </w:r>
          </w:p>
        </w:tc>
      </w:tr>
      <w:tr>
        <w:trPr>
          <w:cantSplit/>
        </w:trPr>
        <w:tc>
          <w:tcPr>
            <w:tcW w:type="dxa" w:w="3402"/>
          </w:tcPr>
          <w:p>
            <w:pPr>
              <w:keepNext/>
            </w:pPr>
            <w:r/>
            <w:r>
              <w:rPr>
                <w:b w:val="0"/>
                <w:sz w:val="19"/>
              </w:rPr>
              <w:t>One-off investment</w:t>
            </w:r>
          </w:p>
        </w:tc>
        <w:tc>
          <w:tcPr>
            <w:tcW w:type="dxa" w:w="2551"/>
          </w:tcPr>
          <w:p>
            <w:pPr>
              <w:keepNext/>
              <w:jc w:val="right"/>
            </w:pPr>
            <w:r/>
            <w:r>
              <w:rPr>
                <w:b w:val="0"/>
                <w:sz w:val="19"/>
              </w:rPr>
              <w:t>€1,627,140</w:t>
            </w:r>
          </w:p>
        </w:tc>
        <w:tc>
          <w:tcPr>
            <w:tcW w:type="dxa" w:w="2551"/>
          </w:tcPr>
          <w:p>
            <w:pPr>
              <w:keepNext/>
              <w:jc w:val="right"/>
            </w:pPr>
            <w:r/>
            <w:r>
              <w:rPr>
                <w:b w:val="0"/>
                <w:sz w:val="19"/>
              </w:rPr>
              <w:t>€461,475</w:t>
            </w:r>
          </w:p>
        </w:tc>
      </w:tr>
      <w:tr>
        <w:trPr>
          <w:cantSplit/>
        </w:trPr>
        <w:tc>
          <w:tcPr>
            <w:tcW w:type="dxa" w:w="3402"/>
          </w:tcPr>
          <w:p>
            <w:pPr>
              <w:keepNext/>
            </w:pPr>
            <w:r/>
            <w:r>
              <w:rPr>
                <w:b w:val="0"/>
                <w:sz w:val="19"/>
              </w:rPr>
              <w:t>Labour saved per year (Section 2.2)</w:t>
            </w:r>
          </w:p>
        </w:tc>
        <w:tc>
          <w:tcPr>
            <w:tcW w:type="dxa" w:w="2551"/>
          </w:tcPr>
          <w:p>
            <w:pPr>
              <w:keepNext/>
              <w:jc w:val="right"/>
            </w:pPr>
            <w:r/>
            <w:r>
              <w:rPr>
                <w:b w:val="0"/>
                <w:sz w:val="19"/>
              </w:rPr>
              <w:t>€144,292</w:t>
            </w:r>
          </w:p>
        </w:tc>
        <w:tc>
          <w:tcPr>
            <w:tcW w:type="dxa" w:w="2551"/>
          </w:tcPr>
          <w:p>
            <w:pPr>
              <w:keepNext/>
              <w:jc w:val="right"/>
            </w:pPr>
            <w:r/>
            <w:r>
              <w:rPr>
                <w:b w:val="0"/>
                <w:sz w:val="19"/>
              </w:rPr>
              <w:t>€144,292</w:t>
            </w:r>
          </w:p>
        </w:tc>
      </w:tr>
      <w:tr>
        <w:trPr>
          <w:cantSplit/>
        </w:trPr>
        <w:tc>
          <w:tcPr>
            <w:tcW w:type="dxa" w:w="3402"/>
          </w:tcPr>
          <w:p>
            <w:r/>
            <w:r>
              <w:rPr>
                <w:b w:val="0"/>
                <w:sz w:val="19"/>
              </w:rPr>
              <w:t>Simple payback</w:t>
            </w:r>
          </w:p>
        </w:tc>
        <w:tc>
          <w:tcPr>
            <w:tcW w:type="dxa" w:w="2551"/>
          </w:tcPr>
          <w:p>
            <w:pPr>
              <w:jc w:val="right"/>
            </w:pPr>
            <w:r/>
            <w:r>
              <w:rPr>
                <w:b w:val="0"/>
                <w:sz w:val="19"/>
              </w:rPr>
              <w:t>11.3 years</w:t>
            </w:r>
          </w:p>
        </w:tc>
        <w:tc>
          <w:tcPr>
            <w:tcW w:type="dxa" w:w="2551"/>
          </w:tcPr>
          <w:p>
            <w:pPr>
              <w:jc w:val="right"/>
            </w:pPr>
            <w:r/>
            <w:r>
              <w:rPr>
                <w:b w:val="0"/>
                <w:sz w:val="19"/>
              </w:rPr>
              <w:t>3.2 years</w:t>
            </w:r>
          </w:p>
        </w:tc>
      </w:tr>
    </w:tbl>
    <w:p>
      <w:pPr>
        <w:spacing w:after="40"/>
      </w:pPr>
    </w:p>
    <w:p>
      <w:pPr>
        <w:pStyle w:val="ListBullet"/>
      </w:pPr>
      <w:r>
        <w:rPr>
          <w:b w:val="0"/>
          <w:sz w:val="21"/>
        </w:rPr>
      </w:r>
      <w:r>
        <w:rPr>
          <w:b/>
          <w:sz w:val="21"/>
        </w:rPr>
        <w:t>Only labour savings are counted.</w:t>
      </w:r>
      <w:r>
        <w:rPr>
          <w:b w:val="0"/>
          <w:sz w:val="21"/>
        </w:rPr>
        <w:t xml:space="preserve"> Shorter lead times, fewer parked trailers, fewer picking errors and a safer layout have value too, but no reliable price.</w:t>
      </w:r>
    </w:p>
    <w:p>
      <w:pPr>
        <w:pStyle w:val="ListBullet"/>
      </w:pPr>
      <w:r>
        <w:rPr>
          <w:b w:val="0"/>
          <w:sz w:val="21"/>
        </w:rPr>
      </w:r>
      <w:r>
        <w:rPr>
          <w:b/>
          <w:sz w:val="21"/>
        </w:rPr>
        <w:t>The saving is the part DHL can prove fastest:</w:t>
      </w:r>
      <w:r>
        <w:rPr>
          <w:b w:val="0"/>
          <w:sz w:val="21"/>
        </w:rPr>
        <w:t xml:space="preserve"> wave release and batching need almost no investment (WMS set-up, trolleys, the put-to-light wall). They can start before the racks are rebuilt.</w:t>
      </w:r>
    </w:p>
    <w:p>
      <w:pPr>
        <w:pStyle w:val="Heading2"/>
      </w:pPr>
      <w:r>
        <w:t>5.5 What if our cost assumptions are wrong?</w:t>
      </w:r>
    </w:p>
    <w:p>
      <w:pPr>
        <w:keepNext/>
        <w:jc w:val="center"/>
      </w:pPr>
      <w:r>
        <w:drawing>
          <wp:inline xmlns:a="http://schemas.openxmlformats.org/drawingml/2006/main" xmlns:pic="http://schemas.openxmlformats.org/drawingml/2006/picture">
            <wp:extent cx="5400000" cy="1853499"/>
            <wp:docPr id="8" name="Picture 8"/>
            <wp:cNvGraphicFramePr>
              <a:graphicFrameLocks noChangeAspect="1"/>
            </wp:cNvGraphicFramePr>
            <a:graphic>
              <a:graphicData uri="http://schemas.openxmlformats.org/drawingml/2006/picture">
                <pic:pic>
                  <pic:nvPicPr>
                    <pic:cNvPr id="0" name="d3_tornado.png"/>
                    <pic:cNvPicPr/>
                  </pic:nvPicPr>
                  <pic:blipFill>
                    <a:blip r:embed="rId16"/>
                    <a:stretch>
                      <a:fillRect/>
                    </a:stretch>
                  </pic:blipFill>
                  <pic:spPr>
                    <a:xfrm>
                      <a:off x="0" y="0"/>
                      <a:ext cx="5400000" cy="1853499"/>
                    </a:xfrm>
                    <a:prstGeom prst="rect"/>
                  </pic:spPr>
                </pic:pic>
              </a:graphicData>
            </a:graphic>
          </wp:inline>
        </w:drawing>
      </w:r>
    </w:p>
    <w:p>
      <w:pPr>
        <w:spacing w:after="200"/>
        <w:jc w:val="center"/>
      </w:pPr>
      <w:r>
        <w:rPr>
          <w:b w:val="0"/>
          <w:i/>
          <w:color w:val="666666"/>
          <w:sz w:val="17"/>
        </w:rPr>
        <w:t>Fig 8. Yearly cost (OPEX + depreciation) when each assumption moves to the low or high end of its range.</w:t>
      </w:r>
    </w:p>
    <w:p>
      <w:pPr>
        <w:pStyle w:val="ListBullet"/>
      </w:pPr>
      <w:r>
        <w:rPr>
          <w:b w:val="0"/>
          <w:sz w:val="21"/>
        </w:rPr>
      </w:r>
      <w:r>
        <w:rPr>
          <w:b/>
          <w:sz w:val="21"/>
        </w:rPr>
        <w:t>Labour rate and productivity matter most</w:t>
      </w:r>
      <w:r>
        <w:rPr>
          <w:b w:val="0"/>
          <w:sz w:val="21"/>
        </w:rPr>
        <w:t xml:space="preserve"> — labour is about two thirds of the yearly cost. DHL's real hourly cost and time studies (A006, A025) are the most valuable inputs to get.</w:t>
      </w:r>
    </w:p>
    <w:p>
      <w:pPr>
        <w:pStyle w:val="ListBullet"/>
      </w:pPr>
      <w:r>
        <w:rPr>
          <w:b w:val="0"/>
          <w:sz w:val="21"/>
        </w:rPr>
      </w:r>
      <w:r>
        <w:rPr>
          <w:b/>
          <w:sz w:val="21"/>
        </w:rPr>
        <w:t>Racking price is the biggest one-off uncertainty</w:t>
      </w:r>
      <w:r>
        <w:rPr>
          <w:b w:val="0"/>
          <w:sz w:val="21"/>
        </w:rPr>
        <w:t>, but spread over 15 years its effect on the yearly cost is smaller.</w:t>
      </w:r>
    </w:p>
    <w:p>
      <w:pPr>
        <w:pStyle w:val="ListBullet"/>
      </w:pPr>
      <w:r>
        <w:rPr>
          <w:b w:val="0"/>
          <w:sz w:val="21"/>
        </w:rPr>
      </w:r>
      <w:r>
        <w:rPr>
          <w:b/>
          <w:sz w:val="21"/>
        </w:rPr>
        <w:t>The truck lease price hardly matters</w:t>
      </w:r>
      <w:r>
        <w:rPr>
          <w:b w:val="0"/>
          <w:sz w:val="21"/>
        </w:rPr>
        <w:t>: only 7 trucks are leased.</w:t>
      </w:r>
    </w:p>
    <w:p>
      <w:pPr>
        <w:pStyle w:val="ListBullet"/>
      </w:pPr>
      <w:r>
        <w:rPr>
          <w:b w:val="0"/>
          <w:sz w:val="21"/>
        </w:rPr>
      </w:r>
      <w:r>
        <w:rPr>
          <w:b/>
          <w:sz w:val="21"/>
        </w:rPr>
        <w:t>Loose containers:</w:t>
      </w:r>
      <w:r>
        <w:rPr>
          <w:b w:val="0"/>
          <w:sz w:val="21"/>
        </w:rPr>
        <w:t xml:space="preserve"> a DHL crew costs ~€179 per container (244 containers a year). If a contractor quotes less, use the contractor in the same zone.</w:t>
      </w:r>
    </w:p>
    <w:p>
      <w:pPr>
        <w:pStyle w:val="Heading1"/>
      </w:pPr>
      <w:r>
        <w:t>6. Supporting documents</w:t>
      </w:r>
    </w:p>
    <w:tbl>
      <w:tblPr>
        <w:tblStyle w:val="LightGrid-Accent1"/>
        <w:tblW w:type="auto" w:w="0"/>
        <w:jc w:val="center"/>
        <w:tblLayout w:type="fixed"/>
        <w:tblLook w:firstColumn="1" w:firstRow="1" w:lastColumn="0" w:lastRow="0" w:noHBand="0" w:noVBand="1" w:val="04A0"/>
      </w:tblPr>
      <w:tblGrid>
        <w:gridCol w:w="3061"/>
        <w:gridCol w:w="6009"/>
      </w:tblGrid>
      <w:tr>
        <w:trPr>
          <w:cantSplit/>
        </w:trPr>
        <w:tc>
          <w:tcPr>
            <w:tcW w:type="dxa" w:w="3061"/>
          </w:tcPr>
          <w:p>
            <w:pPr>
              <w:keepNext/>
            </w:pPr>
            <w:r/>
            <w:r>
              <w:rPr>
                <w:b/>
                <w:sz w:val="19"/>
              </w:rPr>
              <w:t>Document</w:t>
            </w:r>
          </w:p>
        </w:tc>
        <w:tc>
          <w:tcPr>
            <w:tcW w:type="dxa" w:w="6009"/>
          </w:tcPr>
          <w:p>
            <w:pPr>
              <w:keepNext/>
            </w:pPr>
            <w:r/>
            <w:r>
              <w:rPr>
                <w:b/>
                <w:sz w:val="19"/>
              </w:rPr>
              <w:t>What it contains</w:t>
            </w:r>
          </w:p>
        </w:tc>
      </w:tr>
      <w:tr>
        <w:trPr>
          <w:cantSplit/>
        </w:trPr>
        <w:tc>
          <w:tcPr>
            <w:tcW w:type="dxa" w:w="3061"/>
          </w:tcPr>
          <w:p>
            <w:pPr>
              <w:keepNext/>
            </w:pPr>
            <w:r/>
            <w:r>
              <w:rPr>
                <w:b w:val="0"/>
                <w:sz w:val="19"/>
              </w:rPr>
              <w:t>Deliverable 1 — Analysis (updated)</w:t>
            </w:r>
          </w:p>
        </w:tc>
        <w:tc>
          <w:tcPr>
            <w:tcW w:type="dxa" w:w="6009"/>
          </w:tcPr>
          <w:p>
            <w:pPr>
              <w:keepNext/>
            </w:pPr>
            <w:r/>
            <w:r>
              <w:rPr>
                <w:b w:val="0"/>
                <w:sz w:val="19"/>
              </w:rPr>
              <w:t>Data analysis, concept choice and decision matrix; now single-deep racks and per-order lead time</w:t>
            </w:r>
          </w:p>
        </w:tc>
      </w:tr>
      <w:tr>
        <w:trPr>
          <w:cantSplit/>
        </w:trPr>
        <w:tc>
          <w:tcPr>
            <w:tcW w:type="dxa" w:w="3061"/>
          </w:tcPr>
          <w:p>
            <w:pPr>
              <w:keepNext/>
            </w:pPr>
            <w:r/>
            <w:r>
              <w:rPr>
                <w:b w:val="0"/>
                <w:sz w:val="19"/>
              </w:rPr>
              <w:t>Deliverable 2 — Future state (v3)</w:t>
            </w:r>
          </w:p>
        </w:tc>
        <w:tc>
          <w:tcPr>
            <w:tcW w:type="dxa" w:w="6009"/>
          </w:tcPr>
          <w:p>
            <w:pPr>
              <w:keepNext/>
            </w:pPr>
            <w:r/>
            <w:r>
              <w:rPr>
                <w:b w:val="0"/>
                <w:sz w:val="19"/>
              </w:rPr>
              <w:t>Processes, flowcharts, layout and 3D, docks, picking, machinery and capacity plan; now with the loose-container zone and the reviewed fleet</w:t>
            </w:r>
          </w:p>
        </w:tc>
      </w:tr>
      <w:tr>
        <w:trPr>
          <w:cantSplit/>
        </w:trPr>
        <w:tc>
          <w:tcPr>
            <w:tcW w:type="dxa" w:w="3061"/>
          </w:tcPr>
          <w:p>
            <w:pPr>
              <w:keepNext/>
            </w:pPr>
            <w:r/>
            <w:r>
              <w:rPr>
                <w:b w:val="0"/>
                <w:sz w:val="19"/>
              </w:rPr>
              <w:t>Deliverable_3_Calculations.xlsx</w:t>
            </w:r>
          </w:p>
        </w:tc>
        <w:tc>
          <w:tcPr>
            <w:tcW w:type="dxa" w:w="6009"/>
          </w:tcPr>
          <w:p>
            <w:pPr>
              <w:keepNext/>
            </w:pPr>
            <w:r/>
            <w:r>
              <w:rPr>
                <w:b w:val="0"/>
                <w:sz w:val="19"/>
              </w:rPr>
              <w:t>Every price, quantity and formula of this report; change an input and all totals update</w:t>
            </w:r>
          </w:p>
        </w:tc>
      </w:tr>
      <w:tr>
        <w:trPr>
          <w:cantSplit/>
        </w:trPr>
        <w:tc>
          <w:tcPr>
            <w:tcW w:type="dxa" w:w="3061"/>
          </w:tcPr>
          <w:p>
            <w:pPr>
              <w:keepNext/>
            </w:pPr>
            <w:r/>
            <w:r>
              <w:rPr>
                <w:b w:val="0"/>
                <w:sz w:val="19"/>
              </w:rPr>
              <w:t>data/assumptions.json</w:t>
            </w:r>
          </w:p>
        </w:tc>
        <w:tc>
          <w:tcPr>
            <w:tcW w:type="dxa" w:w="6009"/>
          </w:tcPr>
          <w:p>
            <w:pPr>
              <w:keepNext/>
            </w:pPr>
            <w:r/>
            <w:r>
              <w:rPr>
                <w:b w:val="0"/>
                <w:sz w:val="19"/>
              </w:rPr>
              <w:t>All assumptions A001–A041, each with reason, source and impact</w:t>
            </w:r>
          </w:p>
        </w:tc>
      </w:tr>
      <w:tr>
        <w:trPr>
          <w:cantSplit/>
        </w:trPr>
        <w:tc>
          <w:tcPr>
            <w:tcW w:type="dxa" w:w="3061"/>
          </w:tcPr>
          <w:p>
            <w:pPr>
              <w:keepNext/>
            </w:pPr>
            <w:r/>
            <w:r>
              <w:rPr>
                <w:b w:val="0"/>
                <w:sz w:val="19"/>
              </w:rPr>
              <w:t>documentation/sources.md</w:t>
            </w:r>
          </w:p>
        </w:tc>
        <w:tc>
          <w:tcPr>
            <w:tcW w:type="dxa" w:w="6009"/>
          </w:tcPr>
          <w:p>
            <w:pPr>
              <w:keepNext/>
            </w:pPr>
            <w:r/>
            <w:r>
              <w:rPr>
                <w:b w:val="0"/>
                <w:sz w:val="19"/>
              </w:rPr>
              <w:t>All sources S001–S025 with links and what they support</w:t>
            </w:r>
          </w:p>
        </w:tc>
      </w:tr>
      <w:tr>
        <w:trPr>
          <w:cantSplit/>
        </w:trPr>
        <w:tc>
          <w:tcPr>
            <w:tcW w:type="dxa" w:w="3061"/>
          </w:tcPr>
          <w:p>
            <w:r/>
            <w:r>
              <w:rPr>
                <w:b w:val="0"/>
                <w:sz w:val="19"/>
              </w:rPr>
              <w:t>analysis/*.py</w:t>
            </w:r>
          </w:p>
        </w:tc>
        <w:tc>
          <w:tcPr>
            <w:tcW w:type="dxa" w:w="6009"/>
          </w:tcPr>
          <w:p>
            <w:r/>
            <w:r>
              <w:rPr>
                <w:b w:val="0"/>
                <w:sz w:val="19"/>
              </w:rPr>
              <w:t>Scripts that turn the raw data into every table and figure (run order in README.md)</w:t>
            </w:r>
          </w:p>
        </w:tc>
      </w:tr>
    </w:tbl>
    <w:p>
      <w:pPr>
        <w:spacing w:after="40"/>
      </w:pPr>
    </w:p>
    <w:p>
      <w:pPr>
        <w:pStyle w:val="Heading1"/>
      </w:pPr>
      <w:r>
        <w:t>7. Cost assumptions and open points</w:t>
      </w:r>
    </w:p>
    <w:p>
      <w:pPr>
        <w:keepNext/>
        <w:spacing w:after="80"/>
      </w:pPr>
      <w:r>
        <w:rPr>
          <w:b w:val="0"/>
          <w:i w:val="0"/>
          <w:color w:val="222222"/>
          <w:sz w:val="21"/>
        </w:rPr>
        <w:t>New assumptions for Deliverable 3 (full register in data/assumptions.json):</w:t>
      </w:r>
    </w:p>
    <w:tbl>
      <w:tblPr>
        <w:tblStyle w:val="LightGrid-Accent1"/>
        <w:tblW w:type="auto" w:w="0"/>
        <w:jc w:val="center"/>
        <w:tblLayout w:type="fixed"/>
        <w:tblLook w:firstColumn="1" w:firstRow="1" w:lastColumn="0" w:lastRow="0" w:noHBand="0" w:noVBand="1" w:val="04A0"/>
      </w:tblPr>
      <w:tblGrid>
        <w:gridCol w:w="680"/>
        <w:gridCol w:w="2041"/>
        <w:gridCol w:w="4195"/>
        <w:gridCol w:w="2154"/>
      </w:tblGrid>
      <w:tr>
        <w:trPr>
          <w:cantSplit/>
        </w:trPr>
        <w:tc>
          <w:tcPr>
            <w:tcW w:type="dxa" w:w="680"/>
          </w:tcPr>
          <w:p>
            <w:pPr>
              <w:keepNext/>
            </w:pPr>
            <w:r/>
            <w:r>
              <w:rPr>
                <w:b/>
                <w:sz w:val="19"/>
              </w:rPr>
              <w:t>ID</w:t>
            </w:r>
          </w:p>
        </w:tc>
        <w:tc>
          <w:tcPr>
            <w:tcW w:type="dxa" w:w="2041"/>
          </w:tcPr>
          <w:p>
            <w:pPr>
              <w:keepNext/>
            </w:pPr>
            <w:r/>
            <w:r>
              <w:rPr>
                <w:b/>
                <w:sz w:val="19"/>
              </w:rPr>
              <w:t>Assumption</w:t>
            </w:r>
          </w:p>
        </w:tc>
        <w:tc>
          <w:tcPr>
            <w:tcW w:type="dxa" w:w="4195"/>
          </w:tcPr>
          <w:p>
            <w:pPr>
              <w:keepNext/>
            </w:pPr>
            <w:r/>
            <w:r>
              <w:rPr>
                <w:b/>
                <w:sz w:val="19"/>
              </w:rPr>
              <w:t>Value</w:t>
            </w:r>
          </w:p>
        </w:tc>
        <w:tc>
          <w:tcPr>
            <w:tcW w:type="dxa" w:w="2154"/>
          </w:tcPr>
          <w:p>
            <w:pPr>
              <w:keepNext/>
            </w:pPr>
            <w:r/>
            <w:r>
              <w:rPr>
                <w:b/>
                <w:sz w:val="19"/>
              </w:rPr>
              <w:t>Source</w:t>
            </w:r>
          </w:p>
        </w:tc>
      </w:tr>
      <w:tr>
        <w:trPr>
          <w:cantSplit/>
        </w:trPr>
        <w:tc>
          <w:tcPr>
            <w:tcW w:type="dxa" w:w="680"/>
          </w:tcPr>
          <w:p>
            <w:pPr>
              <w:keepNext/>
            </w:pPr>
            <w:r/>
            <w:r>
              <w:rPr>
                <w:b w:val="0"/>
                <w:sz w:val="19"/>
              </w:rPr>
              <w:t>A030</w:t>
            </w:r>
          </w:p>
        </w:tc>
        <w:tc>
          <w:tcPr>
            <w:tcW w:type="dxa" w:w="2041"/>
          </w:tcPr>
          <w:p>
            <w:pPr>
              <w:keepNext/>
            </w:pPr>
            <w:r/>
            <w:r>
              <w:rPr>
                <w:b w:val="0"/>
                <w:sz w:val="19"/>
              </w:rPr>
              <w:t>Labour cost per paid hour</w:t>
            </w:r>
          </w:p>
        </w:tc>
        <w:tc>
          <w:tcPr>
            <w:tcW w:type="dxa" w:w="4195"/>
          </w:tcPr>
          <w:p>
            <w:pPr>
              <w:keepNext/>
            </w:pPr>
            <w:r/>
            <w:r>
              <w:rPr>
                <w:b w:val="0"/>
                <w:sz w:val="19"/>
              </w:rPr>
              <w:t>operative EUR 28 (24-34); team leader EUR 38; admin EUR 33</w:t>
            </w:r>
          </w:p>
        </w:tc>
        <w:tc>
          <w:tcPr>
            <w:tcW w:type="dxa" w:w="2154"/>
          </w:tcPr>
          <w:p>
            <w:pPr>
              <w:keepNext/>
            </w:pPr>
            <w:r/>
            <w:r>
              <w:rPr>
                <w:b w:val="0"/>
                <w:sz w:val="19"/>
              </w:rPr>
              <w:t>S018, S019</w:t>
            </w:r>
          </w:p>
        </w:tc>
      </w:tr>
      <w:tr>
        <w:trPr>
          <w:cantSplit/>
        </w:trPr>
        <w:tc>
          <w:tcPr>
            <w:tcW w:type="dxa" w:w="680"/>
          </w:tcPr>
          <w:p>
            <w:pPr>
              <w:keepNext/>
            </w:pPr>
            <w:r/>
            <w:r>
              <w:rPr>
                <w:b w:val="0"/>
                <w:sz w:val="19"/>
              </w:rPr>
              <w:t>A031</w:t>
            </w:r>
          </w:p>
        </w:tc>
        <w:tc>
          <w:tcPr>
            <w:tcW w:type="dxa" w:w="2041"/>
          </w:tcPr>
          <w:p>
            <w:pPr>
              <w:keepNext/>
            </w:pPr>
            <w:r/>
            <w:r>
              <w:rPr>
                <w:b w:val="0"/>
                <w:sz w:val="19"/>
              </w:rPr>
              <w:t>Working days per year</w:t>
            </w:r>
          </w:p>
        </w:tc>
        <w:tc>
          <w:tcPr>
            <w:tcW w:type="dxa" w:w="4195"/>
          </w:tcPr>
          <w:p>
            <w:pPr>
              <w:keepNext/>
            </w:pPr>
            <w:r/>
            <w:r>
              <w:rPr>
                <w:b w:val="0"/>
                <w:sz w:val="19"/>
              </w:rPr>
              <w:t>244</w:t>
            </w:r>
          </w:p>
        </w:tc>
        <w:tc>
          <w:tcPr>
            <w:tcW w:type="dxa" w:w="2154"/>
          </w:tcPr>
          <w:p>
            <w:pPr>
              <w:keepNext/>
            </w:pPr>
            <w:r/>
            <w:r>
              <w:rPr>
                <w:b w:val="0"/>
                <w:sz w:val="19"/>
              </w:rPr>
              <w:t>Measured (S002)</w:t>
            </w:r>
          </w:p>
        </w:tc>
      </w:tr>
      <w:tr>
        <w:trPr>
          <w:cantSplit/>
        </w:trPr>
        <w:tc>
          <w:tcPr>
            <w:tcW w:type="dxa" w:w="680"/>
          </w:tcPr>
          <w:p>
            <w:pPr>
              <w:keepNext/>
            </w:pPr>
            <w:r/>
            <w:r>
              <w:rPr>
                <w:b w:val="0"/>
                <w:sz w:val="19"/>
              </w:rPr>
              <w:t>A032</w:t>
            </w:r>
          </w:p>
        </w:tc>
        <w:tc>
          <w:tcPr>
            <w:tcW w:type="dxa" w:w="2041"/>
          </w:tcPr>
          <w:p>
            <w:pPr>
              <w:keepNext/>
            </w:pPr>
            <w:r/>
            <w:r>
              <w:rPr>
                <w:b w:val="0"/>
                <w:sz w:val="19"/>
              </w:rPr>
              <w:t>Indirect staff</w:t>
            </w:r>
          </w:p>
        </w:tc>
        <w:tc>
          <w:tcPr>
            <w:tcW w:type="dxa" w:w="4195"/>
          </w:tcPr>
          <w:p>
            <w:pPr>
              <w:keepNext/>
            </w:pPr>
            <w:r/>
            <w:r>
              <w:rPr>
                <w:b w:val="0"/>
                <w:sz w:val="19"/>
              </w:rPr>
              <w:t>1.5 FTE (1 team leader + 0.5 inventory control / WMS admin)</w:t>
            </w:r>
          </w:p>
        </w:tc>
        <w:tc>
          <w:tcPr>
            <w:tcW w:type="dxa" w:w="2154"/>
          </w:tcPr>
          <w:p>
            <w:pPr>
              <w:keepNext/>
            </w:pPr>
            <w:r/>
            <w:r>
              <w:rPr>
                <w:b w:val="0"/>
                <w:sz w:val="19"/>
              </w:rPr>
              <w:t>Planning assumption</w:t>
            </w:r>
          </w:p>
        </w:tc>
      </w:tr>
      <w:tr>
        <w:trPr>
          <w:cantSplit/>
        </w:trPr>
        <w:tc>
          <w:tcPr>
            <w:tcW w:type="dxa" w:w="680"/>
          </w:tcPr>
          <w:p>
            <w:pPr>
              <w:keepNext/>
            </w:pPr>
            <w:r/>
            <w:r>
              <w:rPr>
                <w:b w:val="0"/>
                <w:sz w:val="19"/>
              </w:rPr>
              <w:t>A033</w:t>
            </w:r>
          </w:p>
        </w:tc>
        <w:tc>
          <w:tcPr>
            <w:tcW w:type="dxa" w:w="2041"/>
          </w:tcPr>
          <w:p>
            <w:pPr>
              <w:keepNext/>
            </w:pPr>
            <w:r/>
            <w:r>
              <w:rPr>
                <w:b w:val="0"/>
                <w:sz w:val="19"/>
              </w:rPr>
              <w:t>Racking prices</w:t>
            </w:r>
          </w:p>
        </w:tc>
        <w:tc>
          <w:tcPr>
            <w:tcW w:type="dxa" w:w="4195"/>
          </w:tcPr>
          <w:p>
            <w:pPr>
              <w:keepNext/>
            </w:pPr>
            <w:r/>
            <w:r>
              <w:rPr>
                <w:b w:val="0"/>
                <w:sz w:val="19"/>
              </w:rPr>
              <w:t>EUR 130 per installed single-deep position (80-200); cantilever EUR 250 per arm; protection 5% of racking; re-use of existing racking EUR 25/position</w:t>
            </w:r>
          </w:p>
        </w:tc>
        <w:tc>
          <w:tcPr>
            <w:tcW w:type="dxa" w:w="2154"/>
          </w:tcPr>
          <w:p>
            <w:pPr>
              <w:keepNext/>
            </w:pPr>
            <w:r/>
            <w:r>
              <w:rPr>
                <w:b w:val="0"/>
                <w:sz w:val="19"/>
              </w:rPr>
              <w:t>S020 + assumption</w:t>
            </w:r>
          </w:p>
        </w:tc>
      </w:tr>
      <w:tr>
        <w:trPr>
          <w:cantSplit/>
        </w:trPr>
        <w:tc>
          <w:tcPr>
            <w:tcW w:type="dxa" w:w="680"/>
          </w:tcPr>
          <w:p>
            <w:pPr>
              <w:keepNext/>
            </w:pPr>
            <w:r/>
            <w:r>
              <w:rPr>
                <w:b w:val="0"/>
                <w:sz w:val="19"/>
              </w:rPr>
              <w:t>A034</w:t>
            </w:r>
          </w:p>
        </w:tc>
        <w:tc>
          <w:tcPr>
            <w:tcW w:type="dxa" w:w="2041"/>
          </w:tcPr>
          <w:p>
            <w:pPr>
              <w:keepNext/>
            </w:pPr>
            <w:r/>
            <w:r>
              <w:rPr>
                <w:b w:val="0"/>
                <w:sz w:val="19"/>
              </w:rPr>
              <w:t>Carton-flow bay price</w:t>
            </w:r>
          </w:p>
        </w:tc>
        <w:tc>
          <w:tcPr>
            <w:tcW w:type="dxa" w:w="4195"/>
          </w:tcPr>
          <w:p>
            <w:pPr>
              <w:keepNext/>
            </w:pPr>
            <w:r/>
            <w:r>
              <w:rPr>
                <w:b w:val="0"/>
                <w:sz w:val="19"/>
              </w:rPr>
              <w:t>EUR 1,800 per 2 m bay (1,100-2,300)</w:t>
            </w:r>
          </w:p>
        </w:tc>
        <w:tc>
          <w:tcPr>
            <w:tcW w:type="dxa" w:w="2154"/>
          </w:tcPr>
          <w:p>
            <w:pPr>
              <w:keepNext/>
            </w:pPr>
            <w:r/>
            <w:r>
              <w:rPr>
                <w:b w:val="0"/>
                <w:sz w:val="19"/>
              </w:rPr>
              <w:t>S025</w:t>
            </w:r>
          </w:p>
        </w:tc>
      </w:tr>
      <w:tr>
        <w:trPr>
          <w:cantSplit/>
        </w:trPr>
        <w:tc>
          <w:tcPr>
            <w:tcW w:type="dxa" w:w="680"/>
          </w:tcPr>
          <w:p>
            <w:pPr>
              <w:keepNext/>
            </w:pPr>
            <w:r/>
            <w:r>
              <w:rPr>
                <w:b w:val="0"/>
                <w:sz w:val="19"/>
              </w:rPr>
              <w:t>A035</w:t>
            </w:r>
          </w:p>
        </w:tc>
        <w:tc>
          <w:tcPr>
            <w:tcW w:type="dxa" w:w="2041"/>
          </w:tcPr>
          <w:p>
            <w:pPr>
              <w:keepNext/>
            </w:pPr>
            <w:r/>
            <w:r>
              <w:rPr>
                <w:b w:val="0"/>
                <w:sz w:val="19"/>
              </w:rPr>
              <w:t>Put-to-light wall</w:t>
            </w:r>
          </w:p>
        </w:tc>
        <w:tc>
          <w:tcPr>
            <w:tcW w:type="dxa" w:w="4195"/>
          </w:tcPr>
          <w:p>
            <w:pPr>
              <w:keepNext/>
            </w:pPr>
            <w:r/>
            <w:r>
              <w:rPr>
                <w:b w:val="0"/>
                <w:sz w:val="19"/>
              </w:rPr>
              <w:t>EUR 150 per slot + EUR 12,000 installation and WMS link</w:t>
            </w:r>
          </w:p>
        </w:tc>
        <w:tc>
          <w:tcPr>
            <w:tcW w:type="dxa" w:w="2154"/>
          </w:tcPr>
          <w:p>
            <w:pPr>
              <w:keepNext/>
            </w:pPr>
            <w:r/>
            <w:r>
              <w:rPr>
                <w:b w:val="0"/>
                <w:sz w:val="19"/>
              </w:rPr>
              <w:t>S025</w:t>
            </w:r>
          </w:p>
        </w:tc>
      </w:tr>
      <w:tr>
        <w:trPr>
          <w:cantSplit/>
        </w:trPr>
        <w:tc>
          <w:tcPr>
            <w:tcW w:type="dxa" w:w="680"/>
          </w:tcPr>
          <w:p>
            <w:pPr>
              <w:keepNext/>
            </w:pPr>
            <w:r/>
            <w:r>
              <w:rPr>
                <w:b w:val="0"/>
                <w:sz w:val="19"/>
              </w:rPr>
              <w:t>A036</w:t>
            </w:r>
          </w:p>
        </w:tc>
        <w:tc>
          <w:tcPr>
            <w:tcW w:type="dxa" w:w="2041"/>
          </w:tcPr>
          <w:p>
            <w:pPr>
              <w:keepNext/>
            </w:pPr>
            <w:r/>
            <w:r>
              <w:rPr>
                <w:b w:val="0"/>
                <w:sz w:val="19"/>
              </w:rPr>
              <w:t>Small equipment prices</w:t>
            </w:r>
          </w:p>
        </w:tc>
        <w:tc>
          <w:tcPr>
            <w:tcW w:type="dxa" w:w="4195"/>
          </w:tcPr>
          <w:p>
            <w:pPr>
              <w:keepNext/>
            </w:pPr>
            <w:r/>
            <w:r>
              <w:rPr>
                <w:b w:val="0"/>
                <w:sz w:val="19"/>
              </w:rPr>
              <w:t>RF terminal EUR 1,500; trolley EUR 433; tote EUR 16; wrapper EUR 3,849; roller conveyor EUR 1,250; pack station EUR 2,500; roll cage EUR 150</w:t>
            </w:r>
          </w:p>
        </w:tc>
        <w:tc>
          <w:tcPr>
            <w:tcW w:type="dxa" w:w="2154"/>
          </w:tcPr>
          <w:p>
            <w:pPr>
              <w:keepNext/>
            </w:pPr>
            <w:r/>
            <w:r>
              <w:rPr>
                <w:b w:val="0"/>
                <w:sz w:val="19"/>
              </w:rPr>
              <w:t>S025 + assumption</w:t>
            </w:r>
          </w:p>
        </w:tc>
      </w:tr>
      <w:tr>
        <w:trPr>
          <w:cantSplit/>
        </w:trPr>
        <w:tc>
          <w:tcPr>
            <w:tcW w:type="dxa" w:w="680"/>
          </w:tcPr>
          <w:p>
            <w:pPr>
              <w:keepNext/>
            </w:pPr>
            <w:r/>
            <w:r>
              <w:rPr>
                <w:b w:val="0"/>
                <w:sz w:val="19"/>
              </w:rPr>
              <w:t>A037</w:t>
            </w:r>
          </w:p>
        </w:tc>
        <w:tc>
          <w:tcPr>
            <w:tcW w:type="dxa" w:w="2041"/>
          </w:tcPr>
          <w:p>
            <w:pPr>
              <w:keepNext/>
            </w:pPr>
            <w:r/>
            <w:r>
              <w:rPr>
                <w:b w:val="0"/>
                <w:sz w:val="19"/>
              </w:rPr>
              <w:t>WMS set-up and contingency</w:t>
            </w:r>
          </w:p>
        </w:tc>
        <w:tc>
          <w:tcPr>
            <w:tcW w:type="dxa" w:w="4195"/>
          </w:tcPr>
          <w:p>
            <w:pPr>
              <w:keepNext/>
            </w:pPr>
            <w:r/>
            <w:r>
              <w:rPr>
                <w:b w:val="0"/>
                <w:sz w:val="19"/>
              </w:rPr>
              <w:t>WMS set-up EUR 25,000; contingency 10% of CAPEX</w:t>
            </w:r>
          </w:p>
        </w:tc>
        <w:tc>
          <w:tcPr>
            <w:tcW w:type="dxa" w:w="2154"/>
          </w:tcPr>
          <w:p>
            <w:pPr>
              <w:keepNext/>
            </w:pPr>
            <w:r/>
            <w:r>
              <w:rPr>
                <w:b w:val="0"/>
                <w:sz w:val="19"/>
              </w:rPr>
              <w:t>Assumption</w:t>
            </w:r>
          </w:p>
        </w:tc>
      </w:tr>
      <w:tr>
        <w:trPr>
          <w:cantSplit/>
        </w:trPr>
        <w:tc>
          <w:tcPr>
            <w:tcW w:type="dxa" w:w="680"/>
          </w:tcPr>
          <w:p>
            <w:pPr>
              <w:keepNext/>
            </w:pPr>
            <w:r/>
            <w:r>
              <w:rPr>
                <w:b w:val="0"/>
                <w:sz w:val="19"/>
              </w:rPr>
              <w:t>A038</w:t>
            </w:r>
          </w:p>
        </w:tc>
        <w:tc>
          <w:tcPr>
            <w:tcW w:type="dxa" w:w="2041"/>
          </w:tcPr>
          <w:p>
            <w:pPr>
              <w:keepNext/>
            </w:pPr>
            <w:r/>
            <w:r>
              <w:rPr>
                <w:b w:val="0"/>
                <w:sz w:val="19"/>
              </w:rPr>
              <w:t>Truck full-service lease per month</w:t>
            </w:r>
          </w:p>
        </w:tc>
        <w:tc>
          <w:tcPr>
            <w:tcW w:type="dxa" w:w="4195"/>
          </w:tcPr>
          <w:p>
            <w:pPr>
              <w:keepNext/>
            </w:pPr>
            <w:r/>
            <w:r>
              <w:rPr>
                <w:b w:val="0"/>
                <w:sz w:val="19"/>
              </w:rPr>
              <w:t>ETV 216i EUR 900 (495-1,550); EJE 120i EUR 150; ERE 225 EUR 350</w:t>
            </w:r>
          </w:p>
        </w:tc>
        <w:tc>
          <w:tcPr>
            <w:tcW w:type="dxa" w:w="2154"/>
          </w:tcPr>
          <w:p>
            <w:pPr>
              <w:keepNext/>
            </w:pPr>
            <w:r/>
            <w:r>
              <w:rPr>
                <w:b w:val="0"/>
                <w:sz w:val="19"/>
              </w:rPr>
              <w:t>S021 + assumption</w:t>
            </w:r>
          </w:p>
        </w:tc>
      </w:tr>
      <w:tr>
        <w:trPr>
          <w:cantSplit/>
        </w:trPr>
        <w:tc>
          <w:tcPr>
            <w:tcW w:type="dxa" w:w="680"/>
          </w:tcPr>
          <w:p>
            <w:pPr>
              <w:keepNext/>
            </w:pPr>
            <w:r/>
            <w:r>
              <w:rPr>
                <w:b w:val="0"/>
                <w:sz w:val="19"/>
              </w:rPr>
              <w:t>A039</w:t>
            </w:r>
          </w:p>
        </w:tc>
        <w:tc>
          <w:tcPr>
            <w:tcW w:type="dxa" w:w="2041"/>
          </w:tcPr>
          <w:p>
            <w:pPr>
              <w:keepNext/>
            </w:pPr>
            <w:r/>
            <w:r>
              <w:rPr>
                <w:b w:val="0"/>
                <w:sz w:val="19"/>
              </w:rPr>
              <w:t>Truck energy</w:t>
            </w:r>
          </w:p>
        </w:tc>
        <w:tc>
          <w:tcPr>
            <w:tcW w:type="dxa" w:w="4195"/>
          </w:tcPr>
          <w:p>
            <w:pPr>
              <w:keepNext/>
            </w:pPr>
            <w:r/>
            <w:r>
              <w:rPr>
                <w:b w:val="0"/>
                <w:sz w:val="19"/>
              </w:rPr>
              <w:t>ETV 4 kWh per operating hour, pallet trucks 1.5 kWh/h; EUR 0.2046 per kWh</w:t>
            </w:r>
          </w:p>
        </w:tc>
        <w:tc>
          <w:tcPr>
            <w:tcW w:type="dxa" w:w="2154"/>
          </w:tcPr>
          <w:p>
            <w:pPr>
              <w:keepNext/>
            </w:pPr>
            <w:r/>
            <w:r>
              <w:rPr>
                <w:b w:val="0"/>
                <w:sz w:val="19"/>
              </w:rPr>
              <w:t>S022 + assumption</w:t>
            </w:r>
          </w:p>
        </w:tc>
      </w:tr>
      <w:tr>
        <w:trPr>
          <w:cantSplit/>
        </w:trPr>
        <w:tc>
          <w:tcPr>
            <w:tcW w:type="dxa" w:w="680"/>
          </w:tcPr>
          <w:p>
            <w:pPr>
              <w:keepNext/>
            </w:pPr>
            <w:r/>
            <w:r>
              <w:rPr>
                <w:b w:val="0"/>
                <w:sz w:val="19"/>
              </w:rPr>
              <w:t>A040</w:t>
            </w:r>
          </w:p>
        </w:tc>
        <w:tc>
          <w:tcPr>
            <w:tcW w:type="dxa" w:w="2041"/>
          </w:tcPr>
          <w:p>
            <w:pPr>
              <w:keepNext/>
            </w:pPr>
            <w:r/>
            <w:r>
              <w:rPr>
                <w:b w:val="0"/>
                <w:sz w:val="19"/>
              </w:rPr>
              <w:t>Upkeep</w:t>
            </w:r>
          </w:p>
        </w:tc>
        <w:tc>
          <w:tcPr>
            <w:tcW w:type="dxa" w:w="4195"/>
          </w:tcPr>
          <w:p>
            <w:pPr>
              <w:keepNext/>
            </w:pPr>
            <w:r/>
            <w:r>
              <w:rPr>
                <w:b w:val="0"/>
                <w:sz w:val="19"/>
              </w:rPr>
              <w:t>rack inspection + repairs EUR 2,500/yr; IT support 15% of IT CAPEX/yr</w:t>
            </w:r>
          </w:p>
        </w:tc>
        <w:tc>
          <w:tcPr>
            <w:tcW w:type="dxa" w:w="2154"/>
          </w:tcPr>
          <w:p>
            <w:pPr>
              <w:keepNext/>
            </w:pPr>
            <w:r/>
            <w:r>
              <w:rPr>
                <w:b w:val="0"/>
                <w:sz w:val="19"/>
              </w:rPr>
              <w:t>S015 + assumption</w:t>
            </w:r>
          </w:p>
        </w:tc>
      </w:tr>
      <w:tr>
        <w:trPr>
          <w:cantSplit/>
        </w:trPr>
        <w:tc>
          <w:tcPr>
            <w:tcW w:type="dxa" w:w="680"/>
          </w:tcPr>
          <w:p>
            <w:r/>
            <w:r>
              <w:rPr>
                <w:b w:val="0"/>
                <w:sz w:val="19"/>
              </w:rPr>
              <w:t>A041</w:t>
            </w:r>
          </w:p>
        </w:tc>
        <w:tc>
          <w:tcPr>
            <w:tcW w:type="dxa" w:w="2041"/>
          </w:tcPr>
          <w:p>
            <w:r/>
            <w:r>
              <w:rPr>
                <w:b w:val="0"/>
                <w:sz w:val="19"/>
              </w:rPr>
              <w:t>Depreciation</w:t>
            </w:r>
          </w:p>
        </w:tc>
        <w:tc>
          <w:tcPr>
            <w:tcW w:type="dxa" w:w="4195"/>
          </w:tcPr>
          <w:p>
            <w:r/>
            <w:r>
              <w:rPr>
                <w:b w:val="0"/>
                <w:sz w:val="19"/>
              </w:rPr>
              <w:t>racking 15 yrs, equipment 7 yrs, IT 5 yrs, straight-line</w:t>
            </w:r>
          </w:p>
        </w:tc>
        <w:tc>
          <w:tcPr>
            <w:tcW w:type="dxa" w:w="2154"/>
          </w:tcPr>
          <w:p>
            <w:r/>
            <w:r>
              <w:rPr>
                <w:b w:val="0"/>
                <w:sz w:val="19"/>
              </w:rPr>
              <w:t>Assumption</w:t>
            </w:r>
          </w:p>
        </w:tc>
      </w:tr>
    </w:tbl>
    <w:p>
      <w:pPr>
        <w:spacing w:after="40"/>
      </w:pPr>
    </w:p>
    <w:p>
      <w:pPr>
        <w:keepNext/>
        <w:spacing w:after="80"/>
      </w:pPr>
      <w:r>
        <w:rPr>
          <w:b w:val="0"/>
          <w:i w:val="0"/>
          <w:color w:val="222222"/>
          <w:sz w:val="21"/>
        </w:rPr>
        <w:t>Sources for prices and benchmarks:</w:t>
      </w:r>
    </w:p>
    <w:tbl>
      <w:tblPr>
        <w:tblStyle w:val="LightGrid-Accent1"/>
        <w:tblW w:type="auto" w:w="0"/>
        <w:jc w:val="center"/>
        <w:tblLayout w:type="fixed"/>
        <w:tblLook w:firstColumn="1" w:firstRow="1" w:lastColumn="0" w:lastRow="0" w:noHBand="0" w:noVBand="1" w:val="04A0"/>
      </w:tblPr>
      <w:tblGrid>
        <w:gridCol w:w="794"/>
        <w:gridCol w:w="8277"/>
      </w:tblGrid>
      <w:tr>
        <w:trPr>
          <w:cantSplit/>
        </w:trPr>
        <w:tc>
          <w:tcPr>
            <w:tcW w:type="dxa" w:w="794"/>
          </w:tcPr>
          <w:p>
            <w:pPr>
              <w:keepNext/>
            </w:pPr>
            <w:r/>
            <w:r>
              <w:rPr>
                <w:b/>
                <w:sz w:val="19"/>
              </w:rPr>
              <w:t>ID</w:t>
            </w:r>
          </w:p>
        </w:tc>
        <w:tc>
          <w:tcPr>
            <w:tcW w:type="dxa" w:w="8277"/>
          </w:tcPr>
          <w:p>
            <w:pPr>
              <w:keepNext/>
            </w:pPr>
            <w:r/>
            <w:r>
              <w:rPr>
                <w:b/>
                <w:sz w:val="19"/>
              </w:rPr>
              <w:t>Source</w:t>
            </w:r>
          </w:p>
        </w:tc>
      </w:tr>
      <w:tr>
        <w:trPr>
          <w:cantSplit/>
        </w:trPr>
        <w:tc>
          <w:tcPr>
            <w:tcW w:type="dxa" w:w="794"/>
          </w:tcPr>
          <w:p>
            <w:pPr>
              <w:keepNext/>
            </w:pPr>
            <w:r/>
            <w:r>
              <w:rPr>
                <w:b w:val="0"/>
                <w:sz w:val="19"/>
              </w:rPr>
              <w:t>S018</w:t>
            </w:r>
          </w:p>
        </w:tc>
        <w:tc>
          <w:tcPr>
            <w:tcW w:type="dxa" w:w="8277"/>
          </w:tcPr>
          <w:p>
            <w:pPr>
              <w:keepNext/>
            </w:pPr>
            <w:r/>
            <w:r>
              <w:rPr>
                <w:b w:val="0"/>
                <w:sz w:val="19"/>
              </w:rPr>
              <w:t>CBS — labour cost per worked hour 2024 (transport &amp; storage)</w:t>
            </w:r>
          </w:p>
        </w:tc>
      </w:tr>
      <w:tr>
        <w:trPr>
          <w:cantSplit/>
        </w:trPr>
        <w:tc>
          <w:tcPr>
            <w:tcW w:type="dxa" w:w="794"/>
          </w:tcPr>
          <w:p>
            <w:pPr>
              <w:keepNext/>
            </w:pPr>
            <w:r/>
            <w:r>
              <w:rPr>
                <w:b w:val="0"/>
                <w:sz w:val="19"/>
              </w:rPr>
              <w:t>S019</w:t>
            </w:r>
          </w:p>
        </w:tc>
        <w:tc>
          <w:tcPr>
            <w:tcW w:type="dxa" w:w="8277"/>
          </w:tcPr>
          <w:p>
            <w:pPr>
              <w:keepNext/>
            </w:pPr>
            <w:r/>
            <w:r>
              <w:rPr>
                <w:b w:val="0"/>
                <w:sz w:val="19"/>
              </w:rPr>
              <w:t>Cao Beroepsgoederenvervoer — wage scales 2025</w:t>
            </w:r>
          </w:p>
        </w:tc>
      </w:tr>
      <w:tr>
        <w:trPr>
          <w:cantSplit/>
        </w:trPr>
        <w:tc>
          <w:tcPr>
            <w:tcW w:type="dxa" w:w="794"/>
          </w:tcPr>
          <w:p>
            <w:pPr>
              <w:keepNext/>
            </w:pPr>
            <w:r/>
            <w:r>
              <w:rPr>
                <w:b w:val="0"/>
                <w:sz w:val="19"/>
              </w:rPr>
              <w:t>S020</w:t>
            </w:r>
          </w:p>
        </w:tc>
        <w:tc>
          <w:tcPr>
            <w:tcW w:type="dxa" w:w="8277"/>
          </w:tcPr>
          <w:p>
            <w:pPr>
              <w:keepNext/>
            </w:pPr>
            <w:r/>
            <w:r>
              <w:rPr>
                <w:b w:val="0"/>
                <w:sz w:val="19"/>
              </w:rPr>
              <w:t>IndexBox / T-Racking — pallet racking price per position</w:t>
            </w:r>
          </w:p>
        </w:tc>
      </w:tr>
      <w:tr>
        <w:trPr>
          <w:cantSplit/>
        </w:trPr>
        <w:tc>
          <w:tcPr>
            <w:tcW w:type="dxa" w:w="794"/>
          </w:tcPr>
          <w:p>
            <w:pPr>
              <w:keepNext/>
            </w:pPr>
            <w:r/>
            <w:r>
              <w:rPr>
                <w:b w:val="0"/>
                <w:sz w:val="19"/>
              </w:rPr>
              <w:t>S021</w:t>
            </w:r>
          </w:p>
        </w:tc>
        <w:tc>
          <w:tcPr>
            <w:tcW w:type="dxa" w:w="8277"/>
          </w:tcPr>
          <w:p>
            <w:pPr>
              <w:keepNext/>
            </w:pPr>
            <w:r/>
            <w:r>
              <w:rPr>
                <w:b w:val="0"/>
                <w:sz w:val="19"/>
              </w:rPr>
              <w:t>Dutch reach-truck lease and rental offers (Liftlease, Beekmans, Itolang, Solid Lift)</w:t>
            </w:r>
          </w:p>
        </w:tc>
      </w:tr>
      <w:tr>
        <w:trPr>
          <w:cantSplit/>
        </w:trPr>
        <w:tc>
          <w:tcPr>
            <w:tcW w:type="dxa" w:w="794"/>
          </w:tcPr>
          <w:p>
            <w:pPr>
              <w:keepNext/>
            </w:pPr>
            <w:r/>
            <w:r>
              <w:rPr>
                <w:b w:val="0"/>
                <w:sz w:val="19"/>
              </w:rPr>
              <w:t>S022</w:t>
            </w:r>
          </w:p>
        </w:tc>
        <w:tc>
          <w:tcPr>
            <w:tcW w:type="dxa" w:w="8277"/>
          </w:tcPr>
          <w:p>
            <w:pPr>
              <w:keepNext/>
            </w:pPr>
            <w:r/>
            <w:r>
              <w:rPr>
                <w:b w:val="0"/>
                <w:sz w:val="19"/>
              </w:rPr>
              <w:t>Eurostat nrg_pc_205 — NL non-household electricity price H1 2025</w:t>
            </w:r>
          </w:p>
        </w:tc>
      </w:tr>
      <w:tr>
        <w:trPr>
          <w:cantSplit/>
        </w:trPr>
        <w:tc>
          <w:tcPr>
            <w:tcW w:type="dxa" w:w="794"/>
          </w:tcPr>
          <w:p>
            <w:pPr>
              <w:keepNext/>
            </w:pPr>
            <w:r/>
            <w:r>
              <w:rPr>
                <w:b w:val="0"/>
                <w:sz w:val="19"/>
              </w:rPr>
              <w:t>S023</w:t>
            </w:r>
          </w:p>
        </w:tc>
        <w:tc>
          <w:tcPr>
            <w:tcW w:type="dxa" w:w="8277"/>
          </w:tcPr>
          <w:p>
            <w:pPr>
              <w:keepNext/>
            </w:pPr>
            <w:r/>
            <w:r>
              <w:rPr>
                <w:b w:val="0"/>
                <w:sz w:val="19"/>
              </w:rPr>
              <w:t>WERC DC Measures 2024/2025 — pick accuracy and dock-to-stock benchmarks</w:t>
            </w:r>
          </w:p>
        </w:tc>
      </w:tr>
      <w:tr>
        <w:trPr>
          <w:cantSplit/>
        </w:trPr>
        <w:tc>
          <w:tcPr>
            <w:tcW w:type="dxa" w:w="794"/>
          </w:tcPr>
          <w:p>
            <w:pPr>
              <w:keepNext/>
            </w:pPr>
            <w:r/>
            <w:r>
              <w:rPr>
                <w:b w:val="0"/>
                <w:sz w:val="19"/>
              </w:rPr>
              <w:t>S024</w:t>
            </w:r>
          </w:p>
        </w:tc>
        <w:tc>
          <w:tcPr>
            <w:tcW w:type="dxa" w:w="8277"/>
          </w:tcPr>
          <w:p>
            <w:pPr>
              <w:keepNext/>
            </w:pPr>
            <w:r/>
            <w:r>
              <w:rPr>
                <w:b w:val="0"/>
                <w:sz w:val="19"/>
              </w:rPr>
              <w:t>Prestatie — loose-load container unloading (2–4 h, fixed price per container)</w:t>
            </w:r>
          </w:p>
        </w:tc>
      </w:tr>
      <w:tr>
        <w:trPr>
          <w:cantSplit/>
        </w:trPr>
        <w:tc>
          <w:tcPr>
            <w:tcW w:type="dxa" w:w="794"/>
          </w:tcPr>
          <w:p>
            <w:r/>
            <w:r>
              <w:rPr>
                <w:b w:val="0"/>
                <w:sz w:val="19"/>
              </w:rPr>
              <w:t>S025</w:t>
            </w:r>
          </w:p>
        </w:tc>
        <w:tc>
          <w:tcPr>
            <w:tcW w:type="dxa" w:w="8277"/>
          </w:tcPr>
          <w:p>
            <w:r/>
            <w:r>
              <w:rPr>
                <w:b w:val="0"/>
                <w:sz w:val="19"/>
              </w:rPr>
              <w:t>Public equipment listings (trolley, tote, wrapper, conveyor, carton flow, put-to-light, RF terminal)</w:t>
            </w:r>
          </w:p>
        </w:tc>
      </w:tr>
    </w:tbl>
    <w:p>
      <w:pPr>
        <w:spacing w:after="40"/>
      </w:pPr>
    </w:p>
    <w:p>
      <w:pPr>
        <w:pStyle w:val="ListBullet"/>
      </w:pPr>
      <w:r>
        <w:rPr>
          <w:b w:val="0"/>
          <w:sz w:val="21"/>
        </w:rPr>
      </w:r>
      <w:r>
        <w:rPr>
          <w:b/>
          <w:sz w:val="21"/>
        </w:rPr>
        <w:t>To get from DHL:</w:t>
      </w:r>
      <w:r>
        <w:rPr>
          <w:b w:val="0"/>
          <w:sz w:val="21"/>
        </w:rPr>
        <w:t xml:space="preserve"> real hourly labour cost and pick/pack times (A006, A025, A030); type and condition of today's racking (re-use); container numbers per week (A019).</w:t>
      </w:r>
    </w:p>
    <w:p>
      <w:pPr>
        <w:pStyle w:val="ListBullet"/>
      </w:pPr>
      <w:r>
        <w:rPr>
          <w:b w:val="0"/>
          <w:sz w:val="21"/>
        </w:rPr>
      </w:r>
      <w:r>
        <w:rPr>
          <w:b/>
          <w:sz w:val="21"/>
        </w:rPr>
        <w:t>To get from suppliers:</w:t>
      </w:r>
      <w:r>
        <w:rPr>
          <w:b w:val="0"/>
          <w:sz w:val="21"/>
        </w:rPr>
        <w:t xml:space="preserve"> Jungheinrich lease quote for 2 ETV 216i, 3 EJE 120i, 2 ERE 225 (A038); racking quote for 9,504 single-deep positions (A033); contractor price per loose container (A026).</w:t>
      </w:r>
    </w:p>
    <w:p>
      <w:pPr>
        <w:pStyle w:val="ListBullet"/>
      </w:pPr>
      <w:r>
        <w:rPr>
          <w:b w:val="0"/>
          <w:sz w:val="21"/>
        </w:rPr>
      </w:r>
      <w:r>
        <w:rPr>
          <w:b/>
          <w:sz w:val="21"/>
        </w:rPr>
        <w:t>To get from Assa Abloy:</w:t>
      </w:r>
      <w:r>
        <w:rPr>
          <w:b w:val="0"/>
          <w:sz w:val="21"/>
        </w:rPr>
        <w:t xml:space="preserve"> the hazard class of the 138 flagged SKUs — it decides the hazmat section, which is not in this budget (A028).</w:t>
      </w:r>
    </w:p>
    <w:sectPr w:rsidR="00FC693F" w:rsidRPr="0006063C" w:rsidSect="00034616">
      <w:footerReference w:type="default" r:id="rId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3 (Performance overview)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