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по учебной вычислительной (ознакомительной) практике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  <w:t xml:space="preserve">Петрачкова Глеба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Александровича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670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sz w:val="28"/>
          <w:szCs w:val="28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студента 1 курса</w:t>
      </w:r>
      <w:r w:rsidDel="00000000" w:rsidR="00000000" w:rsidRPr="00000000">
        <w:rPr>
          <w:rtl w:val="0"/>
        </w:rPr>
        <w:t xml:space="preserve">, 7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670"/>
        <w:jc w:val="left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специальность </w:t>
      </w:r>
      <w:r w:rsidDel="00000000" w:rsidR="00000000" w:rsidRPr="00000000">
        <w:rPr>
          <w:rtl w:val="0"/>
        </w:rPr>
        <w:t xml:space="preserve">«Прикладная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670"/>
        <w:jc w:val="left"/>
        <w:rPr/>
      </w:pPr>
      <w:r w:rsidDel="00000000" w:rsidR="00000000" w:rsidRPr="00000000">
        <w:rPr>
          <w:rtl w:val="0"/>
        </w:rPr>
        <w:t xml:space="preserve">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5670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670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6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Руководитель практики:</w:t>
      </w:r>
    </w:p>
    <w:p w:rsidR="00000000" w:rsidDel="00000000" w:rsidP="00000000" w:rsidRDefault="00000000" w:rsidRPr="00000000" w14:paraId="00000027">
      <w:pPr>
        <w:ind w:firstLine="5670"/>
        <w:rPr/>
      </w:pPr>
      <w:r w:rsidDel="00000000" w:rsidR="00000000" w:rsidRPr="00000000">
        <w:rPr>
          <w:rtl w:val="0"/>
        </w:rPr>
        <w:t xml:space="preserve">старший преподаватель</w:t>
      </w:r>
    </w:p>
    <w:p w:rsidR="00000000" w:rsidDel="00000000" w:rsidP="00000000" w:rsidRDefault="00000000" w:rsidRPr="00000000" w14:paraId="00000028">
      <w:pPr>
        <w:ind w:firstLine="5670"/>
        <w:rPr/>
      </w:pPr>
      <w:r w:rsidDel="00000000" w:rsidR="00000000" w:rsidRPr="00000000">
        <w:rPr>
          <w:rtl w:val="0"/>
        </w:rPr>
        <w:t xml:space="preserve">О.О.Колб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                                                         Минск,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 Теоретические основы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Общая характеристика курса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Модули курса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Выводы к главе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 Практическая часть курса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Решение задач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Дополнительный материал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Выводы к главе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 Индивидуальный проект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Функциональное назначение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Структура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Интерфейс приложения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Описание проекта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Выводы к главе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Введение обычно имеет объем 1-2 страницы. В данном отчете введение должно включать: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практики, задачи практики;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выбранные направления работы, их актуальность;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представление (наличие) Индивидуального проекта.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правильно данный документ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Не изменяйте его форматирование, используйте как шаблон! Данный документ соответствует «Положению об организации подготовки и защиты курсовой работы, итоговой аттестации при освоении содержания образовательных программ высшего образования I ступени в Белорусском государственном университете».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Заголовки, которые «пишутся» большими буквами, вводятся обычным способом «Первая буква прописная, остальные – строчные». А затем из списка Регистр (группа Шрифт вкладки Главная) выбрать опцию «ВСЕ ПРОПИСНЫЕ».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«Формат по образцу».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При добавлении новых глав, разделов и так далее копируйте части документа, которые уже имеют корректный формат.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 следует обновлять автоматически (права кнопка мыши на оглавлении и button «Обновить таблицу»)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Фрагмент введения: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Целью учебной вычислительной (ознакомительной) практики является закрепление полученных знаний за первый год обучения посредством выполнения специальных учебных заданий, участия в работе над командным проектом.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Задачи практики: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инструментов для совместной разработки проектов и контроля версий.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и настройка программных сред и средств тестирования для прохождения тренинга по выбранному направлению.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стандартных заданий.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заданий повышенного уровня.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приложение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«НАЗВАНИЕ ВАШЕГО ИНДИВИДУАЛЬНОГО ПРОЕКТА» - если есть.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отчета.</w:t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Глава 1 Теоретические основы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 Лекция компании SoftClub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SoftClub — группа компаний, которая специализируется на разработке решений для банков, финансовых компаний, электронной торговли, биржевой отрасли и цифровой экономики в Восточной Европе и странах СНГ.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рамках лекции, проведенной представителями компании, были рассмотрены вопросы, связанные с разработкой программного обеспечения для предоставления банковских услуг, а также проведен краткий экскурс в работу компании, принципы работы банковской сферы, основы финансовой грамотности.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1.2 Знакомство с системой контроля версий Git. Тренинг на платформе EPAM.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рамках выполнения первого этапа подготовительной части учебной практики рассматривался курс, подготовленный компанией EPAM, направленный на ознакомление с системой управления версиями Git.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рамках вступительной части данного курса были рассмотрены преимущества использования системы версионного контроля, произведены установка Git на локальный компьютер (с конфигурацией имени пользователя и электронной почты) и создание собственного репозитория с открытым доступом посредством регистрации на платформе GitHub.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 рамках основной части курса был рассмотрен ряд вопросов, связанных с работой с файлами посредством системы версионного контроля Git с помощью инструкций командной строки в приложении Git Bash, а также элементов графического интерфейса (git gui и gitk). В частности, были изучены вопросы создания и изменения коммитов; просмотра истории коммитов;  контроля изменений версий файлов как посредством их правки на локальном устройстве, так и при изменении версии на GitHub; работа с ветками; слияние изменений и разрешение конфликтов.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Изучения теоретического материала курса сопровождалось прохождением тестов и работой с собственным репозиторием с реализацией на практике представленных в курсе команд.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 заключительной части курса были рассмотрены  и реализованы конкретные практические задания, направленные на закрепление полученных в рамках курса умений и навыков по работе с системой версионного контроля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1.2.1 Модули курса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Основы системы контроля версий: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Что такое система контроля версий и почему она необходима для разработки программного обеспечения.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Преимущества использования системы контроля версий Git.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Настройка Git: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Установка Git на локальную машину.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Конфигурация имени пользователя и электронной почты в Git с помощью команд git config --global user.name "Your Name" и git config --global user.email "your.email@example.com".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Базовые операции: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Создание и коммит изменений с использованием команд git add &lt;file&gt; для добавления файлов в индекс и git commit -m "Commit message" для фиксации изменений.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Просмотр истории коммитов с помощью команды git log.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Работа с ветками: создание новой ветки с помощью команды git branch &lt;branchname&gt;, переключение на другую ветку с помощью команды git checkout &lt;branchname&gt;.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Восстановление предыдущих версий файлов с использованием команды git checkout &lt;commit&gt; -- &lt;file&gt;.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Слияние изменений (Merge):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Понимание процесса слияния веток.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Создание слияний (merge) веток в Git с помощью команды git merge &lt;branchname&gt;.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Разрешение конфликтов при слиянии путем ручного редактирования файлов.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Разрешение конфликтов: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Понимание возможных конфликтов при слиянии.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Ручное разрешение конфликтов в Git путем редактирования конфликтных файлов.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Использование инструментов для автоматического разрешения конфликтов.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e3gnt0yjqcsc" w:id="4"/>
      <w:bookmarkEnd w:id="4"/>
      <w:r w:rsidDel="00000000" w:rsidR="00000000" w:rsidRPr="00000000">
        <w:rPr>
          <w:rtl w:val="0"/>
        </w:rPr>
        <w:t xml:space="preserve">1.2.2 Выполнение тестовых заданий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В рамках прохождения курса были выполнены шесть тестов по следующим темам:</w:t>
      </w:r>
    </w:p>
    <w:p w:rsidR="00000000" w:rsidDel="00000000" w:rsidP="00000000" w:rsidRDefault="00000000" w:rsidRPr="00000000" w14:paraId="0000008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- Настройка Git</w:t>
      </w:r>
    </w:p>
    <w:p w:rsidR="00000000" w:rsidDel="00000000" w:rsidP="00000000" w:rsidRDefault="00000000" w:rsidRPr="00000000" w14:paraId="0000008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- Базовые операции</w:t>
      </w:r>
    </w:p>
    <w:p w:rsidR="00000000" w:rsidDel="00000000" w:rsidP="00000000" w:rsidRDefault="00000000" w:rsidRPr="00000000" w14:paraId="0000008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- Внутреннее устройство Git</w:t>
      </w:r>
    </w:p>
    <w:p w:rsidR="00000000" w:rsidDel="00000000" w:rsidP="00000000" w:rsidRDefault="00000000" w:rsidRPr="00000000" w14:paraId="0000008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- Отмена действий</w:t>
      </w:r>
    </w:p>
    <w:p w:rsidR="00000000" w:rsidDel="00000000" w:rsidP="00000000" w:rsidRDefault="00000000" w:rsidRPr="00000000" w14:paraId="0000008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- Ветки и merge</w:t>
      </w:r>
    </w:p>
    <w:p w:rsidR="00000000" w:rsidDel="00000000" w:rsidP="00000000" w:rsidRDefault="00000000" w:rsidRPr="00000000" w14:paraId="0000008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- Stash, tags, remotes</w:t>
      </w:r>
    </w:p>
    <w:p w:rsidR="00000000" w:rsidDel="00000000" w:rsidP="00000000" w:rsidRDefault="00000000" w:rsidRPr="00000000" w14:paraId="0000008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Итоговый результат прохождения курса:</w:t>
      </w:r>
    </w:p>
    <w:p w:rsidR="00000000" w:rsidDel="00000000" w:rsidP="00000000" w:rsidRDefault="00000000" w:rsidRPr="00000000" w14:paraId="0000008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259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  <w:t xml:space="preserve">1.3 Выводы к главе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Практически каждый современный проект использует системы версионного контроля. Git - самый популярный инструмент для контроля версий. Курс от компании EPAM помог научиться использовать git для решения ежедневных задач. Прохождение курса также улучшило понимание различных стратегий организации ветвления в проекте и выбора оптимальной стратегии.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Основная цель прохождения курса - подготовить фундамент для изучения программирования, эффективного использования современных инструментов разработчика.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Глава 2 Практическая часть курса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 Решение задач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2.1.1 Unit-тестирование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u w:val="single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дополнение ранее разработанных классов системой Unit-тестов (для консольных приложений).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u w:val="single"/>
          <w:rtl w:val="0"/>
        </w:rPr>
        <w:t xml:space="preserve">Реализация:</w:t>
      </w:r>
      <w:r w:rsidDel="00000000" w:rsidR="00000000" w:rsidRPr="00000000">
        <w:rPr>
          <w:rtl w:val="0"/>
        </w:rPr>
        <w:t xml:space="preserve"> Для приобретения навыков работы с модульным тестированием на практике были реализовано создание юнит-тестов для примитивных классов (в частности, класса Calculator, реализующего основные арифметические операции), с помощью использования среды для модульного тестирования Qt Test.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Реализация юнит-тестов для описанного класса осуществлялась как посредством ручного сравнения результатов каждого теста с различными входными значениями, так и посредством тестирования на основе данных с созданием функций данных. Реализация осуществлялась с использованием основных макросов (QVERIFY, QVERIFY2, QCOMPARE и т.д.)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Класс Калькулятор (исходный класс):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class Calculator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Calculator(int a = 0, int b = 0) : mA(a), mB(b) {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 GetA() const { return mA;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void SetA(int a) { mA = a;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GetB() const { return mB;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void SetB(int b) { mB = b;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bool isNull() { return mB == 0;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Sum() const { return mA + mB;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Diff() const { return mA - mB;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 Mult() const { return mA * mB;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 Div() const { return mA / mB;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mA;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mB;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Класс тестирования (заголовочный файл):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&lt;QtTest&gt;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class TestCalculating : public QObject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Q_OBJECT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public: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  TestCalculating();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 ~TestCalculating();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private slots: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void init();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void testSum();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void testSum_data();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void testDiv();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Calculator mCalc;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const int A0 =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const int B0 =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Класс тестирования (исполняемый файл с реализацией конструктора):</w:t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 "tst_testcalculator.h"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TestCalculator::init()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mCalc.SetA(A0);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mCalc.SetB(B0);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TestCalculator::testConstructor()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Calculator c1;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QVERIFY(c1.GetA() == 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QVERIFY(c1.GetB() == 0);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const int A = 10;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const int B = 2;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Calculator c2(A, B);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QVERIFY2(c2.GetA() == A, "first operand doesn't match");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QVERIFY2(c2.GetB() == B, "second operand doesn't match");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TestCalculator::testSum()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QCOMPARE(mCalc.Sum(), A0 + B0);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const int A = 10;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const int B = 2;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mCalc.SetA(A);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mCalc.SetB(B);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QCOMPARE(mCalc.Sum(), A + B);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QTEST_APPLESS_MAIN(TestCalculator)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Класс тестирования (исполняемый файл с реализацией через функции данных):</w:t>
      </w:r>
    </w:p>
    <w:p w:rsidR="00000000" w:rsidDel="00000000" w:rsidP="00000000" w:rsidRDefault="00000000" w:rsidRPr="00000000" w14:paraId="000000F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#include &lt;QtTest&gt;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#include "tst_testcalculating.h"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TestCalculating::init()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mCalc.SetA(A0);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mCalc.SetB(B0);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void TestCalculating::testSum_data()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QTest::addColumn&lt;int&gt;("a");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QTest::addColumn&lt;int&gt;("b");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QTest::addColumn&lt;int&gt;("result");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QTest::newRow("all 0") &lt;&lt; 0 &lt;&lt; 0 &lt;&lt; 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QTest::newRow("10 and 10") &lt;&lt; 10 &lt;&lt; 10 &lt;&lt; 20;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QTest::newRow("20 and 4") &lt;&lt; 20 &lt;&lt; 4 &lt;&lt; 24;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void TestCalculating::testSum()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QFETCH(int, a);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QFETCH(int, b);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QFETCH(int, result);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mCalc.SetA(a);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mCalc.SetB(b);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QCOMPARE(mCalc.Sum(), result);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TestCalculating::testDiv()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const int A = 20;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const int B = 10;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mCalc.SetA(A);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mCalc.SetB(B);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QCOMPARE(mCalc.Div(), A / B);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// QSKIP("Are you sure we need continue?");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QEXPECT_FAIL("", "we must avoid dividing on 0", Abort);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QVERIFY(mCalc.isNull());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QCOMPARE(mCalc.Div(), A0 / B0);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QTEST_APPLESS_MAIN(TestCalculating)</w:t>
      </w:r>
    </w:p>
    <w:p w:rsidR="00000000" w:rsidDel="00000000" w:rsidP="00000000" w:rsidRDefault="00000000" w:rsidRPr="00000000" w14:paraId="000001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 приложения:</w:t>
      </w:r>
    </w:p>
    <w:p w:rsidR="00000000" w:rsidDel="00000000" w:rsidP="00000000" w:rsidRDefault="00000000" w:rsidRPr="00000000" w14:paraId="000001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818823" cy="2219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823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2.1.2 Разработка простейшего GUI-приложения в QT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u w:val="single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Диалоговое окно с виджетами, обеспечивающими ввод информации, вызов расчетной части приложения и вывод результатов.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Реализация: </w:t>
      </w:r>
    </w:p>
    <w:p w:rsidR="00000000" w:rsidDel="00000000" w:rsidP="00000000" w:rsidRDefault="00000000" w:rsidRPr="00000000" w14:paraId="0000012B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44528" cy="479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528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 Дополнительный материал</w:t>
      </w:r>
    </w:p>
    <w:p w:rsidR="00000000" w:rsidDel="00000000" w:rsidP="00000000" w:rsidRDefault="00000000" w:rsidRPr="00000000" w14:paraId="0000012E">
      <w:pPr>
        <w:ind w:left="709" w:firstLine="0"/>
        <w:rPr/>
      </w:pPr>
      <w:r w:rsidDel="00000000" w:rsidR="00000000" w:rsidRPr="00000000">
        <w:rPr>
          <w:rtl w:val="0"/>
        </w:rPr>
        <w:t xml:space="preserve">Перечислить выполненные дополнительные работы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2.3 Выводы к главе 2</w:t>
      </w:r>
    </w:p>
    <w:p w:rsidR="00000000" w:rsidDel="00000000" w:rsidP="00000000" w:rsidRDefault="00000000" w:rsidRPr="00000000" w14:paraId="00000130">
      <w:pPr>
        <w:ind w:left="709" w:firstLine="0"/>
        <w:rPr/>
      </w:pPr>
      <w:r w:rsidDel="00000000" w:rsidR="00000000" w:rsidRPr="00000000">
        <w:rPr>
          <w:rtl w:val="0"/>
        </w:rPr>
        <w:t xml:space="preserve">Текст выводов.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:rsidR="00000000" w:rsidDel="00000000" w:rsidP="00000000" w:rsidRDefault="00000000" w:rsidRPr="00000000" w14:paraId="00000132">
      <w:pPr>
        <w:ind w:left="709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Глава 3 Индивидуальный проект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В данной главе представлен разработанный проект (при наличии).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Описать самостоятельно реализованный проект (проекты): назначение, фрагменты кода с комментариями, копии экранов.</w:t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3.1 Функциональное назначение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Каждый структурный элемент (введение, заключение, главы, список использованных источников, приложения) начинать с новой страницы!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Недопустим в главе только один раздел, в разделе – только один подраздел.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3.2 Структура проекта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При описании структуры проекта, возможно, понадобится оформить рисунки и таблицы.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i w:val="1"/>
          <w:rtl w:val="0"/>
        </w:rPr>
        <w:t xml:space="preserve">Пример оформления рисунка, подписи к нему и ссылки на рисунок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spacing w:after="240" w:lineRule="auto"/>
        <w:rPr/>
      </w:pPr>
      <w:r w:rsidDel="00000000" w:rsidR="00000000" w:rsidRPr="00000000">
        <w:rPr>
          <w:rtl w:val="0"/>
        </w:rPr>
        <w:t xml:space="preserve">На рисунке 3.1 представлена структура блока в блокчейне. Блок содержит в себе заголовок и информацию о транзакциях.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907102" cy="3320144"/>
            <wp:effectExtent b="0" l="0" r="0" t="0"/>
            <wp:docPr descr="Blockchain block structure | Download Scientific Diagram" id="1" name="image4.png"/>
            <a:graphic>
              <a:graphicData uri="http://schemas.openxmlformats.org/drawingml/2006/picture">
                <pic:pic>
                  <pic:nvPicPr>
                    <pic:cNvPr descr="Blockchain block structure | Download Scientific Diagram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332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Рисунок 3.1 – Структура блока в блокчейне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i w:val="1"/>
          <w:rtl w:val="0"/>
        </w:rPr>
        <w:t xml:space="preserve">Пример оформления таблицы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 таблице 1 приведена сравнительная характеристика разных типов блокчейн-сетей. Выбор того или иного типа блокчейна зависит от выдвинутых для сети требований и потребностей заказчика.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20" w:lineRule="auto"/>
        <w:ind w:firstLine="0"/>
        <w:rPr/>
      </w:pPr>
      <w:r w:rsidDel="00000000" w:rsidR="00000000" w:rsidRPr="00000000">
        <w:rPr>
          <w:rtl w:val="0"/>
        </w:rPr>
        <w:t xml:space="preserve">Таблица 1 – Сравнение различных типов блокчейн-сетей</w:t>
      </w:r>
    </w:p>
    <w:tbl>
      <w:tblPr>
        <w:tblStyle w:val="Table1"/>
        <w:tblW w:w="96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4"/>
        <w:gridCol w:w="2344"/>
        <w:gridCol w:w="2369"/>
        <w:gridCol w:w="2041"/>
        <w:tblGridChange w:id="0">
          <w:tblGrid>
            <w:gridCol w:w="2874"/>
            <w:gridCol w:w="2344"/>
            <w:gridCol w:w="2369"/>
            <w:gridCol w:w="20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Публичный блокчейн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Блокчейн консорциума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Частный блокчейн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Участники в процессе консенсуса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Чтение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Уровень обеспечения неизменяемости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Эффективность использования ресурсов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Централизация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Право на участие в процессе консенсуса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Как видно из таблицы … </w:t>
      </w:r>
    </w:p>
    <w:p w:rsidR="00000000" w:rsidDel="00000000" w:rsidP="00000000" w:rsidRDefault="00000000" w:rsidRPr="00000000" w14:paraId="000001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Рисунок, таблица или код, не должны быть последним содержимым параграфа, после них обязательно должно быть текстовое содержимое.</w:t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3.3 Интерфейс приложения</w:t>
      </w:r>
    </w:p>
    <w:p w:rsidR="00000000" w:rsidDel="00000000" w:rsidP="00000000" w:rsidRDefault="00000000" w:rsidRPr="00000000" w14:paraId="00000162">
      <w:pPr>
        <w:ind w:left="709" w:firstLine="0"/>
        <w:rPr/>
      </w:pPr>
      <w:r w:rsidDel="00000000" w:rsidR="00000000" w:rsidRPr="00000000">
        <w:rPr>
          <w:rtl w:val="0"/>
        </w:rPr>
        <w:t xml:space="preserve">В этом разделе приводят копии экранов, которые оформляются как рисунки </w:t>
      </w:r>
      <w:r w:rsidDel="00000000" w:rsidR="00000000" w:rsidRPr="00000000">
        <w:rPr>
          <w:color w:val="ff0000"/>
          <w:rtl w:val="0"/>
        </w:rPr>
        <w:t xml:space="preserve">и сопровождаются пояснительным текстом</w:t>
      </w:r>
      <w:r w:rsidDel="00000000" w:rsidR="00000000" w:rsidRPr="00000000">
        <w:rPr>
          <w:rtl w:val="0"/>
        </w:rPr>
        <w:t xml:space="preserve">. В тексте должны быть ссылки на все рисунки.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3.4 Описание проекта</w:t>
      </w:r>
    </w:p>
    <w:p w:rsidR="00000000" w:rsidDel="00000000" w:rsidP="00000000" w:rsidRDefault="00000000" w:rsidRPr="00000000" w14:paraId="00000164">
      <w:pPr>
        <w:ind w:left="709" w:firstLine="0"/>
        <w:rPr/>
      </w:pPr>
      <w:r w:rsidDel="00000000" w:rsidR="00000000" w:rsidRPr="00000000">
        <w:rPr>
          <w:rtl w:val="0"/>
        </w:rPr>
        <w:t xml:space="preserve">Текст описания.</w:t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3.5 Выводы к главе 3</w:t>
      </w:r>
    </w:p>
    <w:p w:rsidR="00000000" w:rsidDel="00000000" w:rsidP="00000000" w:rsidRDefault="00000000" w:rsidRPr="00000000" w14:paraId="00000166">
      <w:pPr>
        <w:ind w:left="709" w:firstLine="0"/>
        <w:rPr/>
      </w:pPr>
      <w:r w:rsidDel="00000000" w:rsidR="00000000" w:rsidRPr="00000000">
        <w:rPr>
          <w:rtl w:val="0"/>
        </w:rPr>
        <w:t xml:space="preserve">Текст выводов.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общем случае заключение должно содержать: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выводы по результатам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индивидуальной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оценку количества и полноты решений, поставленных задач по каждому модулю (уровню сложности и т.п.).</w:t>
      </w:r>
    </w:p>
    <w:p w:rsidR="00000000" w:rsidDel="00000000" w:rsidP="00000000" w:rsidRDefault="00000000" w:rsidRPr="00000000" w14:paraId="000001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Недопустимо искажение результатов или умолчание отрицательных результатов.</w:t>
      </w:r>
    </w:p>
    <w:p w:rsidR="00000000" w:rsidDel="00000000" w:rsidP="00000000" w:rsidRDefault="00000000" w:rsidRPr="00000000" w14:paraId="000001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Помимо оценки результатов работы, заключение по работе может содержать информацию о пути и целях дальнейшей работы.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Усов, В. Swift. Разработка приложений под iOS на основе фреймворка UIKit // В. Усов. – Москва, 2021. – 492 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(Книга с одним автором)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Дробышевский, Н. П. Ревизия и аудит : учеб.-метод. пособие / Н. П. Дробышевский. – Минск : Амалфея : Мисанта, 2013. – 415 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(Книга с одним автором)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Дьяченко, Л. С. Методические рекомендации по подготовке и сдаче государственного экзамена по педагогике / Л. С. Дьяченко, Н. К. Зинькова, Р. В. Загорулько. – Витебск : Витеб. гос. ун-т, 2013. – 53 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(Книга с тремя авторами)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статистический комитет Республики Беларусь [Электронный ресурс]. – Режим доступа: http://belstat.gov.by/. – Дата доступа: 24.06.2016.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(Сайт целиком, т.е. url заканчивается доменом первого уровня)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Полоник,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Полоник, Э. В. Хоробрых, А. А. Литвинчук // Вестн. Полоц. гос. ун-та. Сер. D, Экон. и юрид. науки. – 2013. – № 5. – С. 7–16.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(Статья из журнала)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Жданухин, Д. Ю. Коллекторские агентства: основные черты деятельности, история появления и зарубежный опыт [Электронный ресурс] / Д. Ю. Жданухин // Юридическая Россия : Федер. правовой портал. – Режим доступа: http://law.edu.ru/doc/document.asp?docID=1233648. – Дата доступа: 22.06.2016.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(Статья с сайта с указанием автора)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демографической ситуации в январе – июне 2016 года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(Статья с сайта без автора)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360" w:lineRule="auto"/>
      <w:ind w:firstLine="0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360" w:before="36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60" w:lineRule="auto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