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5A1EA" w14:textId="77777777" w:rsidR="00B52950" w:rsidRPr="00B52950" w:rsidRDefault="00B52950" w:rsidP="00B52950">
      <w:pPr>
        <w:jc w:val="center"/>
      </w:pPr>
      <w:r w:rsidRPr="00B52950">
        <w:t>Lecture 6</w:t>
      </w:r>
    </w:p>
    <w:p w14:paraId="0881641B" w14:textId="77777777" w:rsidR="00B52950" w:rsidRPr="00B52950" w:rsidRDefault="00B52950" w:rsidP="00B52950">
      <w:pPr>
        <w:jc w:val="center"/>
      </w:pPr>
    </w:p>
    <w:p w14:paraId="66EA07F8" w14:textId="77777777" w:rsidR="00B52950" w:rsidRPr="00B52950" w:rsidRDefault="00B52950" w:rsidP="00B52950">
      <w:pPr>
        <w:ind w:firstLine="720"/>
      </w:pPr>
      <w:r w:rsidRPr="00B52950">
        <w:t xml:space="preserve">Konorski’s accounts of preparatory responses turned out to be a bit simplistic.  We can also add Compensatory responses to our list of how the US influences the CR.  Drug tolerance effects can be explained partly by Pavlovian conditioning if we consider compensatory CRs.  The injection of a particular drug could </w:t>
      </w:r>
      <w:proofErr w:type="gramStart"/>
      <w:r w:rsidRPr="00B52950">
        <w:t>be considered to be</w:t>
      </w:r>
      <w:proofErr w:type="gramEnd"/>
      <w:r w:rsidRPr="00B52950">
        <w:t xml:space="preserve"> the CS.  The US is the drug itself.  The UR is the effect the drug has on the body.  The CR opposes the effect of the drug.  Shep Siegel demonstrated the effectiveness of this analysis of drug tolerance by injecting two groups of rats with morphine.  Both showed tolerance to the drug after a few injections.  In stage 2 of the experiment one group, M-P-M, were given 12 injections of saline.  The other group, M-Rest-M received no injections.  When both groups were injected with morphine in the third stage the drug had a much greater effect on M-P-M rats – their tolerance to the drug was diminished when compared with the M-Rest-M rats.  The effect was not because of the time elapsed between the last injection of morphine in Stage 1 and the first of Stage 3, because we would expect both groups to perform similarly.  Instead, the CS-US pairing of injection-drug is broken for the M-P-M rats, and the compensatory CR goes into extinction.  We can consider the same psychological analysis of drug tolerance in humans.  Instead of the injection as the CS consider the CS to be the context or location in which the drug is usually taken.  The CR compensates for the effect of the drug when the body feels the stimulation of the injection in a familiar context (CS).  The drug abuser </w:t>
      </w:r>
      <w:proofErr w:type="gramStart"/>
      <w:r w:rsidRPr="00B52950">
        <w:t>has to</w:t>
      </w:r>
      <w:proofErr w:type="gramEnd"/>
      <w:r w:rsidRPr="00B52950">
        <w:t xml:space="preserve"> take more of the drug for it to have an effect.  When the drug is taken in a new context there is a lower compensatory CR, because the CS is different to usual.  The effect of the drug is much greater in a new context.  </w:t>
      </w:r>
    </w:p>
    <w:p w14:paraId="3B409CB8" w14:textId="7C92E633" w:rsidR="00B52950" w:rsidRPr="00B52950" w:rsidRDefault="00B52950" w:rsidP="007351AB">
      <w:pPr>
        <w:ind w:left="720"/>
      </w:pPr>
      <w:r w:rsidRPr="00B52950">
        <w:t xml:space="preserve">It’s not clear what determines what kind of conditioned response will be performed </w:t>
      </w:r>
      <w:r w:rsidR="007351AB">
        <w:t>-</w:t>
      </w:r>
      <w:r w:rsidRPr="00B52950">
        <w:t xml:space="preserve">sometimes the CR mimics the UR, sometimes the response is preparatory, sometimes compensatory.  We can probably conclude that whatever the response performed it is usually in the best interests of the animal.  Often the signal for food is </w:t>
      </w:r>
      <w:proofErr w:type="gramStart"/>
      <w:r w:rsidRPr="00B52950">
        <w:t>in close proximity to</w:t>
      </w:r>
      <w:proofErr w:type="gramEnd"/>
      <w:r w:rsidRPr="00B52950">
        <w:t xml:space="preserve"> the food itself, so a preparatory response, or a response that mimics the UR will be appropriate.  </w:t>
      </w:r>
      <w:proofErr w:type="gramStart"/>
      <w:r w:rsidRPr="00B52950">
        <w:t>Similarly</w:t>
      </w:r>
      <w:proofErr w:type="gramEnd"/>
      <w:r w:rsidRPr="00B52950">
        <w:t xml:space="preserve"> an animal that runs away from a signal for an aversive event will often be running away from the event itself.</w:t>
      </w:r>
    </w:p>
    <w:p w14:paraId="38C920B3" w14:textId="77777777" w:rsidR="00B52950" w:rsidRPr="00B52950" w:rsidRDefault="00B52950" w:rsidP="00B52950">
      <w:pPr>
        <w:ind w:firstLine="720"/>
      </w:pPr>
      <w:r w:rsidRPr="00B52950">
        <w:t xml:space="preserve">Our task now is to identify the circumstances that are responsible for this learning.  One obvious condition for learning to occur is contiguity.  This is the idea that events that occur close together in time or space will become readily associated.  Eye-blink conditioning only seems to be successful if there is a contiguous relationship between the CS and the US.  Contiguity between events is important, but there are some important caveats to the Principle of Contiguity that show it is not the only important factor in whether learning will occur.  </w:t>
      </w:r>
    </w:p>
    <w:p w14:paraId="16F85569" w14:textId="77777777" w:rsidR="00B52950" w:rsidRPr="00B52950" w:rsidRDefault="00B52950" w:rsidP="00B52950">
      <w:pPr>
        <w:ind w:firstLine="720"/>
      </w:pPr>
      <w:r w:rsidRPr="00B52950">
        <w:t xml:space="preserve">First is the finding of Smith &amp; Roll (1967) that rats can learn the relationship between the flavour of a food (CS) and illness (US), even when the two events take place six hours apart, i.e. when the CS and US are not particularly contiguous.  This taste-aversion conditioning was not the result of the flavour remaining in the mouth of the rat because a different, but familiar, flavour presented between the CS and the US did not affect conditioning.  A second finding to question the Principle of Contiguity is Garcia &amp; </w:t>
      </w:r>
      <w:proofErr w:type="spellStart"/>
      <w:r w:rsidRPr="00B52950">
        <w:t>Koellings</w:t>
      </w:r>
      <w:proofErr w:type="spellEnd"/>
      <w:r w:rsidRPr="00B52950">
        <w:t xml:space="preserve">’ (1966) finding that rats will readily learn that a light and clicker signal a </w:t>
      </w:r>
      <w:proofErr w:type="spellStart"/>
      <w:r w:rsidRPr="00B52950">
        <w:t>footshock</w:t>
      </w:r>
      <w:proofErr w:type="spellEnd"/>
      <w:r w:rsidRPr="00B52950">
        <w:t xml:space="preserve">, but not that they signal the onset of illness.  Similarly, the flavour of saline can be associated with illness, but not a </w:t>
      </w:r>
      <w:proofErr w:type="spellStart"/>
      <w:r w:rsidRPr="00B52950">
        <w:t>footshock</w:t>
      </w:r>
      <w:proofErr w:type="spellEnd"/>
      <w:r w:rsidRPr="00B52950">
        <w:t xml:space="preserve">.  This biologically relevant finding was </w:t>
      </w:r>
      <w:proofErr w:type="gramStart"/>
      <w:r w:rsidRPr="00B52950">
        <w:t>despite the fact that</w:t>
      </w:r>
      <w:proofErr w:type="gramEnd"/>
      <w:r w:rsidRPr="00B52950">
        <w:t xml:space="preserve"> </w:t>
      </w:r>
      <w:proofErr w:type="gramStart"/>
      <w:r w:rsidRPr="00B52950">
        <w:t>all of</w:t>
      </w:r>
      <w:proofErr w:type="gramEnd"/>
      <w:r w:rsidRPr="00B52950">
        <w:t xml:space="preserve"> the CS-US pairings in Garcia &amp; </w:t>
      </w:r>
      <w:proofErr w:type="spellStart"/>
      <w:r w:rsidRPr="00B52950">
        <w:t>Koellings</w:t>
      </w:r>
      <w:proofErr w:type="spellEnd"/>
      <w:r w:rsidRPr="00B52950">
        <w:t xml:space="preserve">’ experiment were contiguous.  The third experiment </w:t>
      </w:r>
      <w:r w:rsidRPr="00B52950">
        <w:lastRenderedPageBreak/>
        <w:t>to question the importance of contiguity was Bob Rescorla’s (1967) truly random control.  He showed that unless there was a clear predictive relationship between the CS and US (a contingency) then even though there is contiguity between them (i.e. they occur close together in time) no learning will occur.</w:t>
      </w:r>
    </w:p>
    <w:p w14:paraId="4FF16394" w14:textId="77777777" w:rsidR="00B52950" w:rsidRPr="00B52950" w:rsidRDefault="00B52950" w:rsidP="00B52950">
      <w:pPr>
        <w:ind w:firstLine="720"/>
      </w:pPr>
      <w:r w:rsidRPr="00B52950">
        <w:t xml:space="preserve">Leon Kamin showed that for conditioning to be successful the US </w:t>
      </w:r>
      <w:proofErr w:type="gramStart"/>
      <w:r w:rsidRPr="00B52950">
        <w:t>has to</w:t>
      </w:r>
      <w:proofErr w:type="gramEnd"/>
      <w:r w:rsidRPr="00B52950">
        <w:t xml:space="preserve"> be surprising, and not just contiguous with, or contingent on, the CS.  The discovery of blocking was the evidence for Kamin’s (1969) belief that the US should be unexpected for learning to occur.  In Kamin’s experiment, in stage 1 a group of rats (blocking group) learned that a noise (CS) signalled a mild </w:t>
      </w:r>
      <w:proofErr w:type="spellStart"/>
      <w:r w:rsidRPr="00B52950">
        <w:t>footshock</w:t>
      </w:r>
      <w:proofErr w:type="spellEnd"/>
      <w:r w:rsidRPr="00B52950">
        <w:t xml:space="preserve"> (US).  In stage 2 a light and the noise were presented in compound, and training continued.  When the rats were tested for the presence of a CR (freezing behaviour) when the light was presented alone, they showed a much lower response than a group that were always trained with the compound CS of a light and a noise (control group).  Learning about the significance of the light was said to have been blocked by the previously learned relationship between the noise and the </w:t>
      </w:r>
      <w:proofErr w:type="spellStart"/>
      <w:r w:rsidRPr="00B52950">
        <w:t>footshock</w:t>
      </w:r>
      <w:proofErr w:type="spellEnd"/>
      <w:r w:rsidRPr="00B52950">
        <w:t xml:space="preserve">. Blocking did not occur in a third group of rats (group surprise) that had the same training as the blocking group but in which the </w:t>
      </w:r>
      <w:proofErr w:type="spellStart"/>
      <w:r w:rsidRPr="00B52950">
        <w:t>footshock</w:t>
      </w:r>
      <w:proofErr w:type="spellEnd"/>
      <w:r w:rsidRPr="00B52950">
        <w:t xml:space="preserve"> was more intense in stage 2 of training.  The results show that for the blocking group, blocking occurred because the US was not unexpected by the rats in stage 2.  This was because of their prior training in stage 1.  For group surprise the more intense </w:t>
      </w:r>
      <w:proofErr w:type="spellStart"/>
      <w:r w:rsidRPr="00B52950">
        <w:t>footshock</w:t>
      </w:r>
      <w:proofErr w:type="spellEnd"/>
      <w:r w:rsidRPr="00B52950">
        <w:t xml:space="preserve"> in stage 2 was unexpected so new learning about the significance of the light occurred.  For the control group, whose learning began in stage 2, both the light and the noise signalled an unexpected US, so both were learned about.  The influential Rescorla-Wagner (1972) model of associative learning was built upon Kamin’s blocking data.</w:t>
      </w:r>
    </w:p>
    <w:p w14:paraId="7A85F4B6" w14:textId="77777777" w:rsidR="00B52950" w:rsidRPr="00B52950" w:rsidRDefault="00B52950" w:rsidP="007351AB">
      <w:pPr>
        <w:ind w:firstLine="720"/>
      </w:pPr>
      <w:r w:rsidRPr="00B52950">
        <w:t xml:space="preserve">Cognitive psychologists have long known the importance of selective attention in information processing in humans.  We are exposed to many more sources of information than we can deal with at once so some sort of selection is necessary so we can attend to one source of information while another is being ignored.  If some cues are less attended to then learning about them won’t progress as quickly as those that are receiving the animal’s full attention.  This seems to be the case in a procedure known as Latent Inhibition (LI).  For one group, the experimental group, a light is presented in stage 1 that does not signal an outcome for the animal.  In stage 2 the light suddenly becomes a signal for the imminent delivery of food.  When compared with a control group that only begin training in stage 2, and always learn that light signals food, the experimental group are slower to learn about the relationship between the light and the food in stage 2.  The explanation for this result is that during stage 1 the experimental group learn that the light doesn’t signal anything and come to ignore it.  In stage 2 they fail to notice its significance as quickly as the control group, because they’re not paying it any attention, and therefore learn more slowly.  </w:t>
      </w:r>
    </w:p>
    <w:p w14:paraId="0009E30E" w14:textId="77777777" w:rsidR="00B52950" w:rsidRPr="00B52950" w:rsidRDefault="00B52950" w:rsidP="00B52950">
      <w:r w:rsidRPr="00B52950">
        <w:t xml:space="preserve">What determines whether animals will attend to stimuli?  Three theories of learning based on attention have been proposed.  Wagner says that attention will be high to novel stimuli, but low to familiar stimuli.  In the LI procedure the light is familiar to the experimental group in stage </w:t>
      </w:r>
      <w:proofErr w:type="gramStart"/>
      <w:r w:rsidRPr="00B52950">
        <w:t>2, but</w:t>
      </w:r>
      <w:proofErr w:type="gramEnd"/>
      <w:r w:rsidRPr="00B52950">
        <w:t xml:space="preserve"> is novel to the control group.  This accounts for the different rates of learning in the two groups.  Mackintosh also says that attention will be high to novel stimuli, but also that attention is high to signals for important events, and low to irrelevant stimuli.  In LI, for the experimental group the light is novel at </w:t>
      </w:r>
      <w:proofErr w:type="gramStart"/>
      <w:r w:rsidRPr="00B52950">
        <w:t>first</w:t>
      </w:r>
      <w:proofErr w:type="gramEnd"/>
      <w:r w:rsidRPr="00B52950">
        <w:t xml:space="preserve"> so attention is high, but it is irrelevant in stage 1, so attention to it drops off.  In stage 2 the light signals an important </w:t>
      </w:r>
      <w:proofErr w:type="gramStart"/>
      <w:r w:rsidRPr="00B52950">
        <w:t>event</w:t>
      </w:r>
      <w:proofErr w:type="gramEnd"/>
      <w:r w:rsidRPr="00B52950">
        <w:t xml:space="preserve"> so attention is gradually paid to it, accounting for the fact that the rats do eventually learn the relationship between light and food.  However, for the control group the light is both novel and important from the beginning of training, so learning is faster than in the experimental </w:t>
      </w:r>
      <w:r w:rsidRPr="00B52950">
        <w:lastRenderedPageBreak/>
        <w:t>group.  Pearce-Hall made use of some principles of attention in human cognitive psychology and predicted that attention would be high whilst learning about a stimulus is ongoing, but low once learning is complete.  This was because, they said, there is a distinction between controlled and automatic processing.  In controlled processing deliberate attention must be paid to the task at hand, but once the task is learned the processing becomes automatic, and attention paid to the task is low.  In terms of LI, Pearce-Hall say that attention is high to the light in stage 1 for the experimental group, but that this attention drops off as the rats learn that it signals no outcome.  In stage 2 attention is low to the light at first, but when the rats realise that food is delivered attention becomes high again.  For the control group attention is high to the light, but once learning about the relationship between light and food is complete attention to the light is low.</w:t>
      </w:r>
    </w:p>
    <w:p w14:paraId="16584A29" w14:textId="77777777" w:rsidR="00B52950" w:rsidRPr="00B52950" w:rsidRDefault="00B52950" w:rsidP="00B00783">
      <w:pPr>
        <w:ind w:firstLine="720"/>
      </w:pPr>
      <w:r w:rsidRPr="00B52950">
        <w:t xml:space="preserve">To determine which of the theories is correct in explaining LI Kaye &amp; Pearce (1984) conducted an experiment with three groups.  For Group None a light signalled no outcome.  For Group Continuous a light always signalled the delivery of food.  For Group Partial the light signalled food on half of the trials, and nothing on the other trials.  Kaye &amp; Pearce measured the Orienting Response (OR) of the rats – how often they looked at the light when it was on.  The vigour of the OR is thought to provide an index of how much attention is being paid to the light.  The results showed that the OR was high for all three groups at first, but that it dropped off for groups None and </w:t>
      </w:r>
      <w:proofErr w:type="gramStart"/>
      <w:r w:rsidRPr="00B52950">
        <w:t>Continuous, but</w:t>
      </w:r>
      <w:proofErr w:type="gramEnd"/>
      <w:r w:rsidRPr="00B52950">
        <w:t xml:space="preserve"> always remained high for Group Partial.  Since Mackintosh says that attention should remain high for important events, the finding that attention decreased for Group Continuous is a bad result for his theory.  Wagner says that attention should be low to familiar stimuli, but attention to the light remained high for Group Partial, which is a bad result for him.  The only theory that is consistent with the results is Pearce-Hall: once learning is complete for Groups None and Continuous attention is low, and since animals can’t learn what the light signals for Group Partial attention remains high.</w:t>
      </w:r>
    </w:p>
    <w:p w14:paraId="5421B19B" w14:textId="77777777" w:rsidR="00B52950" w:rsidRPr="00B52950" w:rsidRDefault="00B52950" w:rsidP="00B52950"/>
    <w:p w14:paraId="2BA75CF9" w14:textId="77777777" w:rsidR="00B52950" w:rsidRPr="00B52950" w:rsidRDefault="00B52950" w:rsidP="00B52950">
      <w:pPr>
        <w:jc w:val="center"/>
      </w:pPr>
    </w:p>
    <w:p w14:paraId="4EA67FAB" w14:textId="77777777" w:rsidR="00B52950" w:rsidRPr="00B52950" w:rsidRDefault="00B52950" w:rsidP="00B52950">
      <w:pPr>
        <w:jc w:val="center"/>
      </w:pPr>
    </w:p>
    <w:p w14:paraId="116F3023" w14:textId="77777777" w:rsidR="002E4903" w:rsidRDefault="002E4903"/>
    <w:sectPr w:rsidR="002E4903" w:rsidSect="005A3BA6">
      <w:pgSz w:w="11900" w:h="16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858"/>
    <w:rsid w:val="00001B5A"/>
    <w:rsid w:val="0001021A"/>
    <w:rsid w:val="00071821"/>
    <w:rsid w:val="00086C7F"/>
    <w:rsid w:val="00091BF7"/>
    <w:rsid w:val="000A3A1B"/>
    <w:rsid w:val="00104988"/>
    <w:rsid w:val="0011462D"/>
    <w:rsid w:val="00114858"/>
    <w:rsid w:val="00116F1B"/>
    <w:rsid w:val="001351C1"/>
    <w:rsid w:val="00135A89"/>
    <w:rsid w:val="00146258"/>
    <w:rsid w:val="001610B1"/>
    <w:rsid w:val="00167BEF"/>
    <w:rsid w:val="00177898"/>
    <w:rsid w:val="00180DD6"/>
    <w:rsid w:val="001B6863"/>
    <w:rsid w:val="001E2756"/>
    <w:rsid w:val="00221353"/>
    <w:rsid w:val="002228E5"/>
    <w:rsid w:val="00231EE9"/>
    <w:rsid w:val="00290942"/>
    <w:rsid w:val="002B3C34"/>
    <w:rsid w:val="002E2250"/>
    <w:rsid w:val="002E4903"/>
    <w:rsid w:val="00313541"/>
    <w:rsid w:val="00326A7B"/>
    <w:rsid w:val="00344E64"/>
    <w:rsid w:val="00387921"/>
    <w:rsid w:val="003A01EB"/>
    <w:rsid w:val="003B5A80"/>
    <w:rsid w:val="003D39E4"/>
    <w:rsid w:val="003D7E86"/>
    <w:rsid w:val="00412DBF"/>
    <w:rsid w:val="00426CEE"/>
    <w:rsid w:val="00440381"/>
    <w:rsid w:val="004954F9"/>
    <w:rsid w:val="004C4272"/>
    <w:rsid w:val="004C590B"/>
    <w:rsid w:val="004E3D54"/>
    <w:rsid w:val="004F03DB"/>
    <w:rsid w:val="00557550"/>
    <w:rsid w:val="005A3BA6"/>
    <w:rsid w:val="005E1119"/>
    <w:rsid w:val="00611D3D"/>
    <w:rsid w:val="00630AAB"/>
    <w:rsid w:val="006934CE"/>
    <w:rsid w:val="006A00DD"/>
    <w:rsid w:val="006F6920"/>
    <w:rsid w:val="00730115"/>
    <w:rsid w:val="007351AB"/>
    <w:rsid w:val="007628BB"/>
    <w:rsid w:val="0076476A"/>
    <w:rsid w:val="007A4226"/>
    <w:rsid w:val="007E7A82"/>
    <w:rsid w:val="00814F6C"/>
    <w:rsid w:val="00821663"/>
    <w:rsid w:val="008267C3"/>
    <w:rsid w:val="00866019"/>
    <w:rsid w:val="008907DF"/>
    <w:rsid w:val="008C1F20"/>
    <w:rsid w:val="008F5F9C"/>
    <w:rsid w:val="00912B9C"/>
    <w:rsid w:val="00941488"/>
    <w:rsid w:val="009452D2"/>
    <w:rsid w:val="00951AEC"/>
    <w:rsid w:val="00973D49"/>
    <w:rsid w:val="009B04E5"/>
    <w:rsid w:val="009D73D3"/>
    <w:rsid w:val="009E4047"/>
    <w:rsid w:val="009F7166"/>
    <w:rsid w:val="00A87044"/>
    <w:rsid w:val="00A96E88"/>
    <w:rsid w:val="00AA469A"/>
    <w:rsid w:val="00AB38F3"/>
    <w:rsid w:val="00AC1152"/>
    <w:rsid w:val="00AC4864"/>
    <w:rsid w:val="00AE50E0"/>
    <w:rsid w:val="00AE7E09"/>
    <w:rsid w:val="00B00783"/>
    <w:rsid w:val="00B2657E"/>
    <w:rsid w:val="00B27004"/>
    <w:rsid w:val="00B342EC"/>
    <w:rsid w:val="00B52950"/>
    <w:rsid w:val="00B877D7"/>
    <w:rsid w:val="00BC1A54"/>
    <w:rsid w:val="00BC31E6"/>
    <w:rsid w:val="00BD548A"/>
    <w:rsid w:val="00BF1126"/>
    <w:rsid w:val="00BF388C"/>
    <w:rsid w:val="00C072DA"/>
    <w:rsid w:val="00C47020"/>
    <w:rsid w:val="00C9584B"/>
    <w:rsid w:val="00CA7DC4"/>
    <w:rsid w:val="00CC0802"/>
    <w:rsid w:val="00CC4BE5"/>
    <w:rsid w:val="00CF5059"/>
    <w:rsid w:val="00D85C87"/>
    <w:rsid w:val="00D92637"/>
    <w:rsid w:val="00D96EAC"/>
    <w:rsid w:val="00DA2205"/>
    <w:rsid w:val="00DA4C6A"/>
    <w:rsid w:val="00DC5605"/>
    <w:rsid w:val="00DC6F57"/>
    <w:rsid w:val="00E13C8D"/>
    <w:rsid w:val="00E33EB9"/>
    <w:rsid w:val="00E506EA"/>
    <w:rsid w:val="00E6366A"/>
    <w:rsid w:val="00E96094"/>
    <w:rsid w:val="00EB368D"/>
    <w:rsid w:val="00ED4C8A"/>
    <w:rsid w:val="00F20B26"/>
    <w:rsid w:val="00F21240"/>
    <w:rsid w:val="00F2688E"/>
    <w:rsid w:val="00F325FC"/>
    <w:rsid w:val="00F37EF4"/>
    <w:rsid w:val="00F9235E"/>
    <w:rsid w:val="00FA545C"/>
    <w:rsid w:val="00FC05BB"/>
    <w:rsid w:val="00FE68EA"/>
    <w:rsid w:val="00FE6E10"/>
    <w:rsid w:val="00FF24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3610B08"/>
  <w15:chartTrackingRefBased/>
  <w15:docId w15:val="{73AEEEF3-EE37-9143-9DCA-164615915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1795</Words>
  <Characters>8619</Characters>
  <Application>Microsoft Office Word</Application>
  <DocSecurity>0</DocSecurity>
  <Lines>114</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MCGREGOR, ANTHONY</dc:creator>
  <cp:keywords/>
  <dc:description/>
  <cp:lastModifiedBy>MCGREGOR, ANTHONY</cp:lastModifiedBy>
  <cp:revision>4</cp:revision>
  <dcterms:created xsi:type="dcterms:W3CDTF">2026-01-30T18:11:00Z</dcterms:created>
  <dcterms:modified xsi:type="dcterms:W3CDTF">2026-01-30T18:13:00Z</dcterms:modified>
</cp:coreProperties>
</file>