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C9410" w14:textId="77777777" w:rsidR="004B355D" w:rsidRPr="00EA0CFF" w:rsidRDefault="004B355D" w:rsidP="004B355D">
      <w:pPr>
        <w:jc w:val="center"/>
        <w:rPr>
          <w:rFonts w:ascii="Calibri" w:hAnsi="Calibri" w:cs="Calibri"/>
        </w:rPr>
      </w:pPr>
      <w:r w:rsidRPr="00EA0CFF">
        <w:rPr>
          <w:rFonts w:ascii="Calibri" w:hAnsi="Calibri" w:cs="Calibri"/>
        </w:rPr>
        <w:t xml:space="preserve">Lecture </w:t>
      </w:r>
      <w:r>
        <w:rPr>
          <w:rFonts w:ascii="Calibri" w:hAnsi="Calibri" w:cs="Calibri"/>
        </w:rPr>
        <w:t>7</w:t>
      </w:r>
    </w:p>
    <w:p w14:paraId="5EA90107" w14:textId="77777777" w:rsidR="004B355D" w:rsidRPr="00EA0CFF" w:rsidRDefault="004B355D" w:rsidP="004B355D">
      <w:pPr>
        <w:jc w:val="center"/>
        <w:rPr>
          <w:rFonts w:ascii="Calibri" w:hAnsi="Calibri" w:cs="Calibri"/>
        </w:rPr>
      </w:pPr>
    </w:p>
    <w:p w14:paraId="149953DF" w14:textId="77777777" w:rsidR="004B355D" w:rsidRDefault="004B355D" w:rsidP="004B355D">
      <w:pPr>
        <w:ind w:firstLine="720"/>
        <w:rPr>
          <w:rFonts w:ascii="Calibri" w:hAnsi="Calibri" w:cs="Calibri"/>
        </w:rPr>
      </w:pPr>
      <w:r>
        <w:rPr>
          <w:rFonts w:ascii="Calibri" w:hAnsi="Calibri" w:cs="Calibri"/>
        </w:rPr>
        <w:t>W</w:t>
      </w:r>
      <w:r w:rsidRPr="00EA0CFF">
        <w:rPr>
          <w:rFonts w:ascii="Calibri" w:hAnsi="Calibri" w:cs="Calibri"/>
        </w:rPr>
        <w:t xml:space="preserve">e revisited some </w:t>
      </w:r>
      <w:r>
        <w:rPr>
          <w:rFonts w:ascii="Calibri" w:hAnsi="Calibri" w:cs="Calibri"/>
        </w:rPr>
        <w:t xml:space="preserve">examples of Pavlovian </w:t>
      </w:r>
      <w:r w:rsidRPr="00EA0CFF">
        <w:rPr>
          <w:rFonts w:ascii="Calibri" w:hAnsi="Calibri" w:cs="Calibri"/>
        </w:rPr>
        <w:t xml:space="preserve">conditioning </w:t>
      </w:r>
      <w:r>
        <w:rPr>
          <w:rFonts w:ascii="Calibri" w:hAnsi="Calibri" w:cs="Calibri"/>
        </w:rPr>
        <w:t xml:space="preserve">in </w:t>
      </w:r>
      <w:r w:rsidRPr="00EA0CFF">
        <w:rPr>
          <w:rFonts w:ascii="Calibri" w:hAnsi="Calibri" w:cs="Calibri"/>
        </w:rPr>
        <w:t>human behaviour</w:t>
      </w:r>
      <w:r>
        <w:rPr>
          <w:rFonts w:ascii="Calibri" w:hAnsi="Calibri" w:cs="Calibri"/>
        </w:rPr>
        <w:t xml:space="preserve"> and considered that in some examples participants might have been consciously aware of the contingencies between events, but not in others. In fact there is evidence for both conscious and unconscious processes in human conditioning, so some theorists have suggested a 2-system theory. </w:t>
      </w:r>
      <w:r w:rsidRPr="00EA0CFF">
        <w:rPr>
          <w:rFonts w:ascii="Calibri" w:hAnsi="Calibri" w:cs="Calibri"/>
        </w:rPr>
        <w:t xml:space="preserve">We looked again </w:t>
      </w:r>
      <w:r>
        <w:rPr>
          <w:rFonts w:ascii="Calibri" w:hAnsi="Calibri" w:cs="Calibri"/>
        </w:rPr>
        <w:t xml:space="preserve">at </w:t>
      </w:r>
      <w:r w:rsidRPr="00EA0CFF">
        <w:rPr>
          <w:rFonts w:ascii="Calibri" w:hAnsi="Calibri" w:cs="Calibri"/>
        </w:rPr>
        <w:t>evidence that cravings for drugs (e.g., alcohol</w:t>
      </w:r>
      <w:r>
        <w:rPr>
          <w:rFonts w:ascii="Calibri" w:hAnsi="Calibri" w:cs="Calibri"/>
        </w:rPr>
        <w:t xml:space="preserve">, cigarettes, </w:t>
      </w:r>
      <w:r w:rsidRPr="00EA0CFF">
        <w:rPr>
          <w:rFonts w:ascii="Calibri" w:hAnsi="Calibri" w:cs="Calibri"/>
        </w:rPr>
        <w:t xml:space="preserve">and narcotic drugs) can be the result of conditioning. If this is the case then how can the principles of conditioning be used in treatment of drug use? We used smoking as an example. The CS can be thought of as the taste of the cigarette, and the US is the absorption of nicotine into the bloodstream. This absorption evokes a pleasurable US for the smoker. Following sufficient pairings, the CR also evokes pleasure. To encourage the smoker to quit smoking we want to prevent the CR from </w:t>
      </w:r>
      <w:proofErr w:type="spellStart"/>
      <w:r w:rsidRPr="00EA0CFF">
        <w:rPr>
          <w:rFonts w:ascii="Calibri" w:hAnsi="Calibri" w:cs="Calibri"/>
        </w:rPr>
        <w:t>occuring</w:t>
      </w:r>
      <w:proofErr w:type="spellEnd"/>
      <w:r w:rsidRPr="00EA0CFF">
        <w:rPr>
          <w:rFonts w:ascii="Calibri" w:hAnsi="Calibri" w:cs="Calibri"/>
        </w:rPr>
        <w:t xml:space="preserve">. </w:t>
      </w:r>
      <w:r>
        <w:rPr>
          <w:rFonts w:ascii="Calibri" w:hAnsi="Calibri" w:cs="Calibri"/>
        </w:rPr>
        <w:t xml:space="preserve">Abstinence (will-power) is unlikely to work because the CS-US pairing is not broken by abstinence, and it only takes one or two experiences to relapse. Another </w:t>
      </w:r>
      <w:r w:rsidRPr="00EA0CFF">
        <w:rPr>
          <w:rFonts w:ascii="Calibri" w:hAnsi="Calibri" w:cs="Calibri"/>
        </w:rPr>
        <w:t xml:space="preserve">possibility to </w:t>
      </w:r>
      <w:r>
        <w:rPr>
          <w:rFonts w:ascii="Calibri" w:hAnsi="Calibri" w:cs="Calibri"/>
        </w:rPr>
        <w:t xml:space="preserve">prevent the CR from </w:t>
      </w:r>
      <w:proofErr w:type="spellStart"/>
      <w:r>
        <w:rPr>
          <w:rFonts w:ascii="Calibri" w:hAnsi="Calibri" w:cs="Calibri"/>
        </w:rPr>
        <w:t>occuring</w:t>
      </w:r>
      <w:proofErr w:type="spellEnd"/>
      <w:r w:rsidRPr="00EA0CFF">
        <w:rPr>
          <w:rFonts w:ascii="Calibri" w:hAnsi="Calibri" w:cs="Calibri"/>
        </w:rPr>
        <w:t xml:space="preserve"> is extinction. We could arrange it so that the cigarette tasted the same but contained no nicotine. This would prevent the US from occurring and the CR would go into extinction. This treatment is likely to be unsuccessful, however, because it is likely that the smoker will be exposed to nicotine in the future, and the CR will recover. An alternative to extinction is counterconditioning.</w:t>
      </w:r>
      <w:r>
        <w:rPr>
          <w:rFonts w:ascii="Calibri" w:hAnsi="Calibri" w:cs="Calibri"/>
        </w:rPr>
        <w:t xml:space="preserve"> This is the basis of aversion therapy in humans.</w:t>
      </w:r>
      <w:r w:rsidRPr="00EA0CFF">
        <w:rPr>
          <w:rFonts w:ascii="Calibri" w:hAnsi="Calibri" w:cs="Calibri"/>
        </w:rPr>
        <w:t xml:space="preserve"> In counterconditioning the CR is not extinguished, but is instead replaced with another CR. This is achieved by </w:t>
      </w:r>
      <w:r>
        <w:rPr>
          <w:rFonts w:ascii="Calibri" w:hAnsi="Calibri" w:cs="Calibri"/>
        </w:rPr>
        <w:t>establishing a new CR to</w:t>
      </w:r>
      <w:r w:rsidRPr="00EA0CFF">
        <w:rPr>
          <w:rFonts w:ascii="Calibri" w:hAnsi="Calibri" w:cs="Calibri"/>
        </w:rPr>
        <w:t xml:space="preserve"> a second US. In treating drug abuse the presentation of a US that causes nausea, instead of pleasure, has been reported. Over time the CS evokes an aversive, rather than an appetitive, CR. It has been argued that this counterconditioning is again not particularly helpful for treating maladaptive Pavlovian conditioning that involves relatively simple CSs. This is because it is likely the CS will be experienced in the absence of the aversive US at some time in the future. </w:t>
      </w:r>
    </w:p>
    <w:p w14:paraId="59333BD2" w14:textId="77777777" w:rsidR="004B355D" w:rsidRPr="00EA0CFF" w:rsidRDefault="004B355D" w:rsidP="004B355D">
      <w:pPr>
        <w:ind w:firstLine="720"/>
        <w:rPr>
          <w:rFonts w:ascii="Calibri" w:hAnsi="Calibri" w:cs="Calibri"/>
        </w:rPr>
      </w:pPr>
      <w:r>
        <w:rPr>
          <w:rFonts w:ascii="Calibri" w:hAnsi="Calibri" w:cs="Calibri"/>
        </w:rPr>
        <w:t>We considered another maladaptive behaviour in humans – phobia – and how this could be the result of conditioning. Sometimes the direct CS (e.g., a dentist’s drill) is not the main phobic stimulus, but other things associated with the drill, such as the dentist’s chair or waiting room. We looked at second-order and higher-order conditioning effects to account for these associations. Even without direct experience of a traumatic US or pain-causing CS, humans could form an association via vicarious conditioning, even if the UR is evoked via story-telling. We considered how</w:t>
      </w:r>
      <w:r w:rsidRPr="00EA0CFF">
        <w:rPr>
          <w:rFonts w:ascii="Calibri" w:hAnsi="Calibri" w:cs="Calibri"/>
        </w:rPr>
        <w:t xml:space="preserve"> counterconditioning has been</w:t>
      </w:r>
      <w:r>
        <w:rPr>
          <w:rFonts w:ascii="Calibri" w:hAnsi="Calibri" w:cs="Calibri"/>
        </w:rPr>
        <w:t xml:space="preserve"> </w:t>
      </w:r>
      <w:r w:rsidRPr="00EA0CFF">
        <w:rPr>
          <w:rFonts w:ascii="Calibri" w:hAnsi="Calibri" w:cs="Calibri"/>
        </w:rPr>
        <w:t>successfully</w:t>
      </w:r>
      <w:r>
        <w:rPr>
          <w:rFonts w:ascii="Calibri" w:hAnsi="Calibri" w:cs="Calibri"/>
        </w:rPr>
        <w:t xml:space="preserve"> applied</w:t>
      </w:r>
      <w:r w:rsidRPr="00EA0CFF">
        <w:rPr>
          <w:rFonts w:ascii="Calibri" w:hAnsi="Calibri" w:cs="Calibri"/>
        </w:rPr>
        <w:t xml:space="preserve"> in a type of cognitive behavioural therapy known as systematic desensitisation. Joseph Wolpe is most associated with this technique, though one of John Watson’s students, Mary Cover Jones, used it first in the 1920s (Google is your friend for finding out more about some of these names). In systematic desensitisation the therapist performs structured interviews with the patient to identify the sources of their anxiety, or other disordered behaviour. The therapist can then list these sources, or cues, in order of their likelihood to evoke anxiety. For example, the patient may be afraid of enclosed spaces. Imagining being locked in a small space could evoke a great deal of anxiety in the patient, while imagining walking into a building from outdoors evokes less anxiety. The therapist asks the patient to imagine these anxiety-related situations in order of their effectiveness, and on each occasion asks the patient to perform relaxation exercises. If at any point the patient feels anxious during the session, it is terminated. In the next session the therapist again moves through the list of cues asking the patient to imagine each situation, but on </w:t>
      </w:r>
      <w:r w:rsidRPr="00EA0CFF">
        <w:rPr>
          <w:rFonts w:ascii="Calibri" w:hAnsi="Calibri" w:cs="Calibri"/>
        </w:rPr>
        <w:lastRenderedPageBreak/>
        <w:t>each occasion relaxation replaces anxiety. This goes on until the patient is able to imagine the worst situation without feeling anxious.</w:t>
      </w:r>
      <w:r>
        <w:rPr>
          <w:rFonts w:ascii="Calibri" w:hAnsi="Calibri" w:cs="Calibri"/>
        </w:rPr>
        <w:t xml:space="preserve"> This therapy depends on imagined interactions with the US, so other therapists have used exposure therapy to try to replace the learned fear/anxiety with more calm responses. There are ethical issues to consider with this approach, particularly for some versions of exposure therapy such as flooding, so more recently, therapists have turned to VR to try to set up an immersive and realistic experience without any real danger to the patient. </w:t>
      </w:r>
    </w:p>
    <w:p w14:paraId="1D8ACEC4" w14:textId="77777777" w:rsidR="004B355D" w:rsidRPr="00EA0CFF" w:rsidRDefault="004B355D" w:rsidP="004B355D">
      <w:pPr>
        <w:ind w:firstLine="720"/>
        <w:rPr>
          <w:rFonts w:ascii="Calibri" w:hAnsi="Calibri" w:cs="Calibri"/>
        </w:rPr>
      </w:pPr>
      <w:r>
        <w:rPr>
          <w:rFonts w:ascii="Calibri" w:hAnsi="Calibri" w:cs="Calibri"/>
        </w:rPr>
        <w:t>For the rest of the lecture, we turned to instrumental conditioning in humans</w:t>
      </w:r>
      <w:r w:rsidRPr="00EA0CFF">
        <w:rPr>
          <w:rFonts w:ascii="Calibri" w:hAnsi="Calibri" w:cs="Calibri"/>
        </w:rPr>
        <w:t>. A reinforcer is an event that strengthens the association between a stimulus and a response</w:t>
      </w:r>
      <w:r>
        <w:rPr>
          <w:rFonts w:ascii="Calibri" w:hAnsi="Calibri" w:cs="Calibri"/>
        </w:rPr>
        <w:t>, and makes is more likely that the response will occur again in the future</w:t>
      </w:r>
      <w:r w:rsidRPr="00EA0CFF">
        <w:rPr>
          <w:rFonts w:ascii="Calibri" w:hAnsi="Calibri" w:cs="Calibri"/>
        </w:rPr>
        <w:t>. We identified different kinds of reinforcer. Primary reinforcers are those that need no experience to be effective. Early psychologists realised the importance of these reinforcers for changing an animal’s behaviour. Access to food, water, and sex have all been used as primary reinforcers. Perhaps not as obvious is the importance of access to sensory stimulation. This was shown by giving monkeys access to a view of their holding room if they pushed a particular door. Similar effect</w:t>
      </w:r>
      <w:r>
        <w:rPr>
          <w:rFonts w:ascii="Calibri" w:hAnsi="Calibri" w:cs="Calibri"/>
        </w:rPr>
        <w:t>s</w:t>
      </w:r>
      <w:r w:rsidRPr="00EA0CFF">
        <w:rPr>
          <w:rFonts w:ascii="Calibri" w:hAnsi="Calibri" w:cs="Calibri"/>
        </w:rPr>
        <w:t xml:space="preserve"> have been shown with rats exploring complex mazes, and humans being given access to fairy lights in a darkened room.</w:t>
      </w:r>
    </w:p>
    <w:p w14:paraId="712B091F" w14:textId="77777777" w:rsidR="004B355D" w:rsidRPr="00EA0CFF" w:rsidRDefault="004B355D" w:rsidP="004B355D">
      <w:pPr>
        <w:rPr>
          <w:rFonts w:ascii="Calibri" w:hAnsi="Calibri" w:cs="Calibri"/>
        </w:rPr>
      </w:pPr>
      <w:r w:rsidRPr="00EA0CFF">
        <w:rPr>
          <w:rFonts w:ascii="Calibri" w:hAnsi="Calibri" w:cs="Calibri"/>
        </w:rPr>
        <w:tab/>
        <w:t>What determines if a primary reinforcer will be effective? Premack argued that this could be determined by observing the likelihood of a subject engaging in a particular behaviour. He said any behaviour that was less preferred could be reinforced by being given the opportunity to engage in a behaviour that was more preferred. An obvious example is a rat pressing a lever for food, or in humans, eating a less preferred food with the promise of being given a more preferred food. Homme and colleagues (1963) used the Premack principle to reinforce good behaviour in nursery children using creative activities that the children preferred to engage in.</w:t>
      </w:r>
    </w:p>
    <w:p w14:paraId="1B09D4E3" w14:textId="77777777" w:rsidR="004B355D" w:rsidRPr="00EA0CFF" w:rsidRDefault="004B355D" w:rsidP="004B355D">
      <w:pPr>
        <w:rPr>
          <w:rFonts w:ascii="Calibri" w:hAnsi="Calibri" w:cs="Calibri"/>
        </w:rPr>
      </w:pPr>
      <w:r w:rsidRPr="00EA0CFF">
        <w:rPr>
          <w:rFonts w:ascii="Calibri" w:hAnsi="Calibri" w:cs="Calibri"/>
        </w:rPr>
        <w:tab/>
        <w:t xml:space="preserve">Some reinforcers aren’t effective from birth. Their value has to be learned, and for this reason they are called secondary or conditioned reinforcers. The obvious example of this in humans is money. </w:t>
      </w:r>
      <w:r>
        <w:rPr>
          <w:rFonts w:ascii="Calibri" w:hAnsi="Calibri" w:cs="Calibri"/>
        </w:rPr>
        <w:t>Babies</w:t>
      </w:r>
      <w:r w:rsidRPr="00EA0CFF">
        <w:rPr>
          <w:rFonts w:ascii="Calibri" w:hAnsi="Calibri" w:cs="Calibri"/>
        </w:rPr>
        <w:t xml:space="preserve"> would not value money, but as </w:t>
      </w:r>
      <w:r>
        <w:rPr>
          <w:rFonts w:ascii="Calibri" w:hAnsi="Calibri" w:cs="Calibri"/>
        </w:rPr>
        <w:t>they</w:t>
      </w:r>
      <w:r w:rsidRPr="00EA0CFF">
        <w:rPr>
          <w:rFonts w:ascii="Calibri" w:hAnsi="Calibri" w:cs="Calibri"/>
        </w:rPr>
        <w:t xml:space="preserve"> learn that it can buy </w:t>
      </w:r>
      <w:r>
        <w:rPr>
          <w:rFonts w:ascii="Calibri" w:hAnsi="Calibri" w:cs="Calibri"/>
        </w:rPr>
        <w:t>them</w:t>
      </w:r>
      <w:r w:rsidRPr="00EA0CFF">
        <w:rPr>
          <w:rFonts w:ascii="Calibri" w:hAnsi="Calibri" w:cs="Calibri"/>
        </w:rPr>
        <w:t xml:space="preserve"> other items, </w:t>
      </w:r>
      <w:r>
        <w:rPr>
          <w:rFonts w:ascii="Calibri" w:hAnsi="Calibri" w:cs="Calibri"/>
        </w:rPr>
        <w:t>they</w:t>
      </w:r>
      <w:r w:rsidRPr="00EA0CFF">
        <w:rPr>
          <w:rFonts w:ascii="Calibri" w:hAnsi="Calibri" w:cs="Calibri"/>
        </w:rPr>
        <w:t xml:space="preserve"> begins to want it. It ends up having a value of its own to people, even though it’s worthless if not exchanged for something else of value. What other </w:t>
      </w:r>
      <w:r>
        <w:rPr>
          <w:rFonts w:ascii="Calibri" w:hAnsi="Calibri" w:cs="Calibri"/>
        </w:rPr>
        <w:t>conditioned</w:t>
      </w:r>
      <w:r w:rsidRPr="00EA0CFF">
        <w:rPr>
          <w:rFonts w:ascii="Calibri" w:hAnsi="Calibri" w:cs="Calibri"/>
        </w:rPr>
        <w:t xml:space="preserve"> reinforcers can you think of? </w:t>
      </w:r>
    </w:p>
    <w:p w14:paraId="6338CE39" w14:textId="77777777" w:rsidR="004B355D" w:rsidRDefault="004B355D" w:rsidP="004B355D">
      <w:pPr>
        <w:rPr>
          <w:rFonts w:ascii="Calibri" w:hAnsi="Calibri" w:cs="Calibri"/>
        </w:rPr>
      </w:pPr>
      <w:r w:rsidRPr="00EA0CFF">
        <w:rPr>
          <w:rFonts w:ascii="Calibri" w:hAnsi="Calibri" w:cs="Calibri"/>
        </w:rPr>
        <w:tab/>
        <w:t>Social reinforcement could be thought of as a category of both primary and secondary reinforcement. Smiling reinforces behaviour in three month-old infants, so may be thought of as a primary reinforcer. On the other hand, using the word ‘good’ is a secondary social reinforcer because it has been paired with primary reinforcers such as cuddles or sweets in the past. One example of the use of social reinforcement to change someone’s behaviour is that of Ann, studied by Allen et al. (1964). She was a nursery school child who engaged in a number of odd behaviours, such as talking very quietly, poking and pinching her skin, and talking only to adults. One may conclude Ann was an unhappy and insecure child, but Allen et al. realised such behaviour led to social contact with adults. Instead of reinforcing her strange behaviours with attention Allen et al. instructed teachers only to give Ann attention when she was playing with other children. Within a day her contact with children went from 10 to 60%.</w:t>
      </w:r>
    </w:p>
    <w:p w14:paraId="154C3EAC" w14:textId="35A6CC98" w:rsidR="004B355D" w:rsidRPr="00933DDD" w:rsidRDefault="004B355D" w:rsidP="004B355D">
      <w:pPr>
        <w:ind w:firstLine="720"/>
        <w:rPr>
          <w:rFonts w:ascii="Calibri" w:hAnsi="Calibri" w:cs="Calibri"/>
        </w:rPr>
      </w:pPr>
      <w:r w:rsidRPr="00933DDD">
        <w:rPr>
          <w:rFonts w:ascii="Calibri" w:hAnsi="Calibri" w:cs="Calibri"/>
        </w:rPr>
        <w:t xml:space="preserve">When should a reinforcer be presented? </w:t>
      </w:r>
      <w:r>
        <w:rPr>
          <w:rFonts w:ascii="Calibri" w:hAnsi="Calibri" w:cs="Calibri"/>
        </w:rPr>
        <w:t xml:space="preserve">We reminded ourselves that we’ve considered this to some extent before, by noting the </w:t>
      </w:r>
      <w:r w:rsidRPr="00933DDD">
        <w:rPr>
          <w:rFonts w:ascii="Calibri" w:hAnsi="Calibri" w:cs="Calibri"/>
        </w:rPr>
        <w:t xml:space="preserve">different patterns of responding different schedules of reinforcement produce. </w:t>
      </w:r>
      <w:r>
        <w:rPr>
          <w:rFonts w:ascii="Calibri" w:hAnsi="Calibri" w:cs="Calibri"/>
        </w:rPr>
        <w:t xml:space="preserve">We also looked at what happens if there is a delay before reinforcement. </w:t>
      </w:r>
      <w:r w:rsidRPr="00933DDD">
        <w:rPr>
          <w:rFonts w:ascii="Calibri" w:hAnsi="Calibri" w:cs="Calibri"/>
        </w:rPr>
        <w:t xml:space="preserve">It may seem obvious that reinforcing a behaviour is best as </w:t>
      </w:r>
      <w:r w:rsidRPr="00933DDD">
        <w:rPr>
          <w:rFonts w:ascii="Calibri" w:hAnsi="Calibri" w:cs="Calibri"/>
        </w:rPr>
        <w:lastRenderedPageBreak/>
        <w:t xml:space="preserve">soon as possible after the response has been made, but this is not necessarily the case. For humans our behaviour can be reinforced many weeks after a response has been made, but this is likely because of language, which seems to ‘bridge’ the gap between a behaviour and reinforcement. Dickinson et al. (1992) showed that a rat’s likelihood of responding on a lever in a conditioning chamber decreased as a function of the delay of reinforcement. One possibility for this effect could be forgetting. However, it seems likely, given the rat performs many different behaviours, that it has difficulty remembering </w:t>
      </w:r>
      <w:r w:rsidRPr="00933DDD">
        <w:rPr>
          <w:rFonts w:ascii="Calibri" w:hAnsi="Calibri" w:cs="Calibri"/>
          <w:i/>
        </w:rPr>
        <w:t>which</w:t>
      </w:r>
      <w:r w:rsidRPr="00933DDD">
        <w:rPr>
          <w:rFonts w:ascii="Calibri" w:hAnsi="Calibri" w:cs="Calibri"/>
        </w:rPr>
        <w:t xml:space="preserve"> response led to the reinforcement. When Shanks et al. (1989) reinforced humans in a similar manner to Dickinson et al., they also found it difficult to learn to make the response that had led to reward. Also, delay of reinforcement seems to reduce the incentive value of the reinforcer. Humans prefer to take a lower-value reward sooner than a high-value reward later, and pigeons similarly choose to take a short period of access to food if it is offered frequently than a long period of access after a longer delay. In Rachlin and Green’s (1972) experiment, pigeons could choose one response to give </w:t>
      </w:r>
      <w:r>
        <w:rPr>
          <w:rFonts w:ascii="Calibri" w:hAnsi="Calibri" w:cs="Calibri"/>
        </w:rPr>
        <w:t xml:space="preserve">immediate </w:t>
      </w:r>
      <w:r w:rsidRPr="00933DDD">
        <w:rPr>
          <w:rFonts w:ascii="Calibri" w:hAnsi="Calibri" w:cs="Calibri"/>
        </w:rPr>
        <w:t>access to grain for</w:t>
      </w:r>
      <w:r>
        <w:rPr>
          <w:rFonts w:ascii="Calibri" w:hAnsi="Calibri" w:cs="Calibri"/>
        </w:rPr>
        <w:t xml:space="preserve"> a short time, </w:t>
      </w:r>
      <w:r w:rsidRPr="00933DDD">
        <w:rPr>
          <w:rFonts w:ascii="Calibri" w:hAnsi="Calibri" w:cs="Calibri"/>
        </w:rPr>
        <w:t xml:space="preserve">a different response for </w:t>
      </w:r>
      <w:r>
        <w:rPr>
          <w:rFonts w:ascii="Calibri" w:hAnsi="Calibri" w:cs="Calibri"/>
        </w:rPr>
        <w:t>longer access,</w:t>
      </w:r>
      <w:r w:rsidRPr="00933DDD">
        <w:rPr>
          <w:rFonts w:ascii="Calibri" w:hAnsi="Calibri" w:cs="Calibri"/>
        </w:rPr>
        <w:t xml:space="preserve"> but only after a delay.</w:t>
      </w:r>
      <w:r>
        <w:rPr>
          <w:rFonts w:ascii="Calibri" w:hAnsi="Calibri" w:cs="Calibri"/>
        </w:rPr>
        <w:t xml:space="preserve"> Choosing the response that led to a delay would result in getting access to food for twice as long as the immediate reinforcer. </w:t>
      </w:r>
      <w:r w:rsidRPr="00933DDD">
        <w:rPr>
          <w:rFonts w:ascii="Calibri" w:hAnsi="Calibri" w:cs="Calibri"/>
        </w:rPr>
        <w:t xml:space="preserve"> Despite this, the pigeons chose the response associated with the smaller reward on 95% of occasions. </w:t>
      </w:r>
    </w:p>
    <w:p w14:paraId="290CF76C" w14:textId="77777777" w:rsidR="004B355D" w:rsidRPr="00933DDD" w:rsidRDefault="004B355D" w:rsidP="004B355D">
      <w:pPr>
        <w:ind w:firstLine="720"/>
        <w:rPr>
          <w:rFonts w:ascii="Calibri" w:hAnsi="Calibri" w:cs="Calibri"/>
        </w:rPr>
      </w:pPr>
      <w:r>
        <w:rPr>
          <w:rFonts w:ascii="Calibri" w:hAnsi="Calibri" w:cs="Calibri"/>
        </w:rPr>
        <w:t>We examined</w:t>
      </w:r>
      <w:r w:rsidRPr="00933DDD">
        <w:rPr>
          <w:rFonts w:ascii="Calibri" w:hAnsi="Calibri" w:cs="Calibri"/>
        </w:rPr>
        <w:t xml:space="preserve"> </w:t>
      </w:r>
      <w:r>
        <w:rPr>
          <w:rFonts w:ascii="Calibri" w:hAnsi="Calibri" w:cs="Calibri"/>
        </w:rPr>
        <w:t>some</w:t>
      </w:r>
      <w:r w:rsidRPr="00933DDD">
        <w:rPr>
          <w:rFonts w:ascii="Calibri" w:hAnsi="Calibri" w:cs="Calibri"/>
        </w:rPr>
        <w:t xml:space="preserve"> other applications of </w:t>
      </w:r>
      <w:r>
        <w:rPr>
          <w:rFonts w:ascii="Calibri" w:hAnsi="Calibri" w:cs="Calibri"/>
        </w:rPr>
        <w:t>instrumental conditioning</w:t>
      </w:r>
      <w:r w:rsidRPr="00933DDD">
        <w:rPr>
          <w:rFonts w:ascii="Calibri" w:hAnsi="Calibri" w:cs="Calibri"/>
        </w:rPr>
        <w:t xml:space="preserve">. These included social reinforcement in the classroom, </w:t>
      </w:r>
      <w:r>
        <w:rPr>
          <w:rFonts w:ascii="Calibri" w:hAnsi="Calibri" w:cs="Calibri"/>
        </w:rPr>
        <w:t xml:space="preserve">and </w:t>
      </w:r>
      <w:r w:rsidRPr="00933DDD">
        <w:rPr>
          <w:rFonts w:ascii="Calibri" w:hAnsi="Calibri" w:cs="Calibri"/>
        </w:rPr>
        <w:t>the use of conditioned reinforcers (tokens) in schools and in the workplace</w:t>
      </w:r>
      <w:r>
        <w:rPr>
          <w:rFonts w:ascii="Calibri" w:hAnsi="Calibri" w:cs="Calibri"/>
        </w:rPr>
        <w:t>.</w:t>
      </w:r>
    </w:p>
    <w:p w14:paraId="5421B19B" w14:textId="77777777" w:rsidR="00B52950" w:rsidRPr="00B52950" w:rsidRDefault="00B52950" w:rsidP="00B52950"/>
    <w:p w14:paraId="2BA75CF9" w14:textId="77777777" w:rsidR="00B52950" w:rsidRPr="00B52950" w:rsidRDefault="00B52950" w:rsidP="00B52950">
      <w:pPr>
        <w:jc w:val="center"/>
      </w:pPr>
    </w:p>
    <w:p w14:paraId="4EA67FAB" w14:textId="77777777" w:rsidR="00B52950" w:rsidRPr="00B52950" w:rsidRDefault="00B52950" w:rsidP="00B52950">
      <w:pPr>
        <w:jc w:val="center"/>
      </w:pPr>
    </w:p>
    <w:p w14:paraId="116F3023" w14:textId="77777777" w:rsidR="002E4903" w:rsidRDefault="002E4903"/>
    <w:sectPr w:rsidR="002E4903" w:rsidSect="005A3BA6">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58"/>
    <w:rsid w:val="00001B5A"/>
    <w:rsid w:val="0001021A"/>
    <w:rsid w:val="00071821"/>
    <w:rsid w:val="00086C7F"/>
    <w:rsid w:val="00091BF7"/>
    <w:rsid w:val="000A3A1B"/>
    <w:rsid w:val="00104988"/>
    <w:rsid w:val="0011462D"/>
    <w:rsid w:val="00114858"/>
    <w:rsid w:val="00116F1B"/>
    <w:rsid w:val="001351C1"/>
    <w:rsid w:val="00135A89"/>
    <w:rsid w:val="00146258"/>
    <w:rsid w:val="001610B1"/>
    <w:rsid w:val="00167BEF"/>
    <w:rsid w:val="00177898"/>
    <w:rsid w:val="00180DD6"/>
    <w:rsid w:val="001B6863"/>
    <w:rsid w:val="001E2756"/>
    <w:rsid w:val="00221353"/>
    <w:rsid w:val="002228E5"/>
    <w:rsid w:val="00231EE9"/>
    <w:rsid w:val="00290942"/>
    <w:rsid w:val="002B3C34"/>
    <w:rsid w:val="002E0FF8"/>
    <w:rsid w:val="002E2250"/>
    <w:rsid w:val="002E4903"/>
    <w:rsid w:val="00313541"/>
    <w:rsid w:val="00326A7B"/>
    <w:rsid w:val="00344E64"/>
    <w:rsid w:val="00387921"/>
    <w:rsid w:val="0039587F"/>
    <w:rsid w:val="003A01EB"/>
    <w:rsid w:val="003B5A80"/>
    <w:rsid w:val="003D39E4"/>
    <w:rsid w:val="003D7E86"/>
    <w:rsid w:val="00412DBF"/>
    <w:rsid w:val="00426CEE"/>
    <w:rsid w:val="00440381"/>
    <w:rsid w:val="004954F9"/>
    <w:rsid w:val="004B355D"/>
    <w:rsid w:val="004C4272"/>
    <w:rsid w:val="004C590B"/>
    <w:rsid w:val="004E3D54"/>
    <w:rsid w:val="004F03DB"/>
    <w:rsid w:val="00557550"/>
    <w:rsid w:val="005A3BA6"/>
    <w:rsid w:val="005E1119"/>
    <w:rsid w:val="00611D3D"/>
    <w:rsid w:val="00630AAB"/>
    <w:rsid w:val="006934CE"/>
    <w:rsid w:val="006A00DD"/>
    <w:rsid w:val="006F6920"/>
    <w:rsid w:val="00730115"/>
    <w:rsid w:val="007351AB"/>
    <w:rsid w:val="007628BB"/>
    <w:rsid w:val="0076476A"/>
    <w:rsid w:val="007A4226"/>
    <w:rsid w:val="007E7A82"/>
    <w:rsid w:val="00814F6C"/>
    <w:rsid w:val="00821663"/>
    <w:rsid w:val="008267C3"/>
    <w:rsid w:val="00866019"/>
    <w:rsid w:val="008907DF"/>
    <w:rsid w:val="008C1F20"/>
    <w:rsid w:val="008F5F9C"/>
    <w:rsid w:val="00912B9C"/>
    <w:rsid w:val="00941488"/>
    <w:rsid w:val="009452D2"/>
    <w:rsid w:val="00951AEC"/>
    <w:rsid w:val="00973D49"/>
    <w:rsid w:val="009B04E5"/>
    <w:rsid w:val="009D73D3"/>
    <w:rsid w:val="009E4047"/>
    <w:rsid w:val="009F7166"/>
    <w:rsid w:val="00A87044"/>
    <w:rsid w:val="00A96E88"/>
    <w:rsid w:val="00AA469A"/>
    <w:rsid w:val="00AB38F3"/>
    <w:rsid w:val="00AC1152"/>
    <w:rsid w:val="00AC4864"/>
    <w:rsid w:val="00AE50E0"/>
    <w:rsid w:val="00AE7E09"/>
    <w:rsid w:val="00B00783"/>
    <w:rsid w:val="00B2657E"/>
    <w:rsid w:val="00B27004"/>
    <w:rsid w:val="00B342EC"/>
    <w:rsid w:val="00B52950"/>
    <w:rsid w:val="00B877D7"/>
    <w:rsid w:val="00BC1A54"/>
    <w:rsid w:val="00BC31E6"/>
    <w:rsid w:val="00BD548A"/>
    <w:rsid w:val="00BF1126"/>
    <w:rsid w:val="00BF388C"/>
    <w:rsid w:val="00C072DA"/>
    <w:rsid w:val="00C47020"/>
    <w:rsid w:val="00C9584B"/>
    <w:rsid w:val="00CA7DC4"/>
    <w:rsid w:val="00CC0802"/>
    <w:rsid w:val="00CC4BE5"/>
    <w:rsid w:val="00CF5059"/>
    <w:rsid w:val="00D85C87"/>
    <w:rsid w:val="00D92637"/>
    <w:rsid w:val="00D96EAC"/>
    <w:rsid w:val="00DA2205"/>
    <w:rsid w:val="00DA4C6A"/>
    <w:rsid w:val="00DC5605"/>
    <w:rsid w:val="00DC6F57"/>
    <w:rsid w:val="00E13C8D"/>
    <w:rsid w:val="00E33EB9"/>
    <w:rsid w:val="00E506EA"/>
    <w:rsid w:val="00E6366A"/>
    <w:rsid w:val="00E96094"/>
    <w:rsid w:val="00EB368D"/>
    <w:rsid w:val="00ED4C8A"/>
    <w:rsid w:val="00F20B26"/>
    <w:rsid w:val="00F21240"/>
    <w:rsid w:val="00F2688E"/>
    <w:rsid w:val="00F325FC"/>
    <w:rsid w:val="00F37EF4"/>
    <w:rsid w:val="00F9235E"/>
    <w:rsid w:val="00FA545C"/>
    <w:rsid w:val="00FC05BB"/>
    <w:rsid w:val="00FE68EA"/>
    <w:rsid w:val="00FE6E10"/>
    <w:rsid w:val="00FF24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610B08"/>
  <w15:chartTrackingRefBased/>
  <w15:docId w15:val="{73AEEEF3-EE37-9143-9DCA-16461591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1581</Words>
  <Characters>8077</Characters>
  <Application>Microsoft Office Word</Application>
  <DocSecurity>0</DocSecurity>
  <Lines>118</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MCGREGOR, ANTHONY</dc:creator>
  <cp:keywords/>
  <dc:description/>
  <cp:lastModifiedBy>Anthony McGregor</cp:lastModifiedBy>
  <cp:revision>3</cp:revision>
  <dcterms:created xsi:type="dcterms:W3CDTF">2026-02-03T16:44:00Z</dcterms:created>
  <dcterms:modified xsi:type="dcterms:W3CDTF">2026-02-03T16:53:00Z</dcterms:modified>
</cp:coreProperties>
</file>