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1.3 – Behavioural Requirements Status</w:t>
      </w:r>
    </w:p>
    <w:p>
      <w:r>
        <w:rPr>
          <w:sz w:val="22"/>
        </w:rPr>
        <w:t>The table below presents the status of each behavioural requirement from our Requirements Document. We defined 29 scenarios across 8 features. Of those, 27 are fully met and 2 are not implemented. All 19 MUST-have scenarios (BR1 through BR5) are fully working. Of the 10 SHOULD-have scenarios (BR6 through BR8), 8 are fully met and 2 are not. Where a requirement has been modified from the original specification, we have noted the change and our reasoning.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37"/>
            <w:shd w:fill="4472C4" w:val="clear"/>
          </w:tcPr>
          <w:p>
            <w:pPr>
              <w:jc w:val="center"/>
            </w:pPr>
            <w:r>
              <w:rPr>
                <w:rFonts w:ascii="Calibri" w:hAnsi="Calibri"/>
                <w:b/>
                <w:color w:val="FFFFFF"/>
                <w:sz w:val="18"/>
              </w:rPr>
              <w:t>Code</w:t>
            </w:r>
          </w:p>
        </w:tc>
        <w:tc>
          <w:tcPr>
            <w:tcW w:type="dxa" w:w="1814"/>
            <w:shd w:fill="4472C4" w:val="clear"/>
          </w:tcPr>
          <w:p>
            <w:pPr>
              <w:jc w:val="center"/>
            </w:pPr>
            <w:r>
              <w:rPr>
                <w:rFonts w:ascii="Calibri" w:hAnsi="Calibri"/>
                <w:b/>
                <w:color w:val="FFFFFF"/>
                <w:sz w:val="18"/>
              </w:rPr>
              <w:t>Description</w:t>
            </w:r>
          </w:p>
        </w:tc>
        <w:tc>
          <w:tcPr>
            <w:tcW w:type="dxa" w:w="737"/>
            <w:shd w:fill="4472C4" w:val="clear"/>
          </w:tcPr>
          <w:p>
            <w:pPr>
              <w:jc w:val="center"/>
            </w:pPr>
            <w:r>
              <w:rPr>
                <w:rFonts w:ascii="Calibri" w:hAnsi="Calibri"/>
                <w:b/>
                <w:color w:val="FFFFFF"/>
                <w:sz w:val="18"/>
              </w:rPr>
              <w:t>Priority</w:t>
            </w:r>
          </w:p>
        </w:tc>
        <w:tc>
          <w:tcPr>
            <w:tcW w:type="dxa" w:w="850"/>
            <w:shd w:fill="4472C4" w:val="clear"/>
          </w:tcPr>
          <w:p>
            <w:pPr>
              <w:jc w:val="center"/>
            </w:pPr>
            <w:r>
              <w:rPr>
                <w:rFonts w:ascii="Calibri" w:hAnsi="Calibri"/>
                <w:b/>
                <w:color w:val="FFFFFF"/>
                <w:sz w:val="18"/>
              </w:rPr>
              <w:t>Status</w:t>
            </w:r>
          </w:p>
        </w:tc>
        <w:tc>
          <w:tcPr>
            <w:tcW w:type="dxa" w:w="964"/>
            <w:shd w:fill="4472C4" w:val="clear"/>
          </w:tcPr>
          <w:p>
            <w:pPr>
              <w:jc w:val="center"/>
            </w:pPr>
            <w:r>
              <w:rPr>
                <w:rFonts w:ascii="Calibri" w:hAnsi="Calibri"/>
                <w:b/>
                <w:color w:val="FFFFFF"/>
                <w:sz w:val="18"/>
              </w:rPr>
              <w:t>Changed?</w:t>
            </w:r>
          </w:p>
        </w:tc>
        <w:tc>
          <w:tcPr>
            <w:tcW w:type="dxa" w:w="4535"/>
            <w:shd w:fill="4472C4" w:val="clear"/>
          </w:tcPr>
          <w:p>
            <w:pPr>
              <w:jc w:val="center"/>
            </w:pPr>
            <w:r>
              <w:rPr>
                <w:rFonts w:ascii="Calibri" w:hAnsi="Calibri"/>
                <w:b/>
                <w:color w:val="FFFFFF"/>
                <w:sz w:val="18"/>
              </w:rPr>
              <w:t>Justification</w:t>
            </w:r>
          </w:p>
        </w:tc>
      </w:tr>
      <w:tr>
        <w:tc>
          <w:tcPr>
            <w:tcW w:type="dxa" w:w="4535"/>
            <w:gridSpan w:val="6"/>
            <w:shd w:fill="D6E4F0" w:val="clear"/>
          </w:tcPr>
          <w:p>
            <w:r/>
            <w:r>
              <w:rPr>
                <w:rFonts w:ascii="Calibri" w:hAnsi="Calibri"/>
                <w:b/>
                <w:sz w:val="18"/>
              </w:rPr>
              <w:t>BR1 – Account Management</w:t>
            </w:r>
          </w:p>
          <w:p>
            <w:r/>
          </w:p>
          <w:p>
            <w:r/>
          </w:p>
          <w:p>
            <w:r/>
          </w:p>
          <w:p>
            <w:r/>
          </w:p>
          <w:p>
            <w:r/>
          </w:p>
        </w:tc>
      </w:tr>
      <w:tr>
        <w:tc>
          <w:tcPr>
            <w:tcW w:type="dxa" w:w="737"/>
          </w:tcPr>
          <w:p>
            <w:pPr>
              <w:jc w:val="center"/>
            </w:pPr>
            <w:r>
              <w:rPr>
                <w:rFonts w:ascii="Calibri" w:hAnsi="Calibri"/>
                <w:sz w:val="18"/>
              </w:rPr>
              <w:t>BR1.1</w:t>
            </w:r>
          </w:p>
        </w:tc>
        <w:tc>
          <w:tcPr>
            <w:tcW w:type="dxa" w:w="1814"/>
          </w:tcPr>
          <w:p>
            <w:r>
              <w:rPr>
                <w:rFonts w:ascii="Calibri" w:hAnsi="Calibri"/>
                <w:sz w:val="18"/>
              </w:rPr>
              <w:t>User creates an account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Implemented with input validation, bcrypt password hashing (12 rounds), and rate limiting (3 registrations per hour).</w:t>
            </w:r>
          </w:p>
        </w:tc>
      </w:tr>
      <w:tr>
        <w:tc>
          <w:tcPr>
            <w:tcW w:type="dxa" w:w="737"/>
          </w:tcPr>
          <w:p>
            <w:pPr>
              <w:jc w:val="center"/>
            </w:pPr>
            <w:r>
              <w:rPr>
                <w:rFonts w:ascii="Calibri" w:hAnsi="Calibri"/>
                <w:sz w:val="18"/>
              </w:rPr>
              <w:t>BR1.2</w:t>
            </w:r>
          </w:p>
        </w:tc>
        <w:tc>
          <w:tcPr>
            <w:tcW w:type="dxa" w:w="1814"/>
          </w:tcPr>
          <w:p>
            <w:r>
              <w:rPr>
                <w:rFonts w:ascii="Calibri" w:hAnsi="Calibri"/>
                <w:sz w:val="18"/>
              </w:rPr>
              <w:t>User logs in to their account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Verifies credentials, generates a secure session token, and enforces rate limiting (5 attempts per 5 minutes).</w:t>
            </w:r>
          </w:p>
        </w:tc>
      </w:tr>
      <w:tr>
        <w:tc>
          <w:tcPr>
            <w:tcW w:type="dxa" w:w="737"/>
          </w:tcPr>
          <w:p>
            <w:pPr>
              <w:jc w:val="center"/>
            </w:pPr>
            <w:r>
              <w:rPr>
                <w:rFonts w:ascii="Calibri" w:hAnsi="Calibri"/>
                <w:sz w:val="18"/>
              </w:rPr>
              <w:t>BR1.3</w:t>
            </w:r>
          </w:p>
        </w:tc>
        <w:tc>
          <w:tcPr>
            <w:tcW w:type="dxa" w:w="1814"/>
          </w:tcPr>
          <w:p>
            <w:r>
              <w:rPr>
                <w:rFonts w:ascii="Calibri" w:hAnsi="Calibri"/>
                <w:sz w:val="18"/>
              </w:rPr>
              <w:t>User logs out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Invalidates the session token and redirects to the login screen.</w:t>
            </w:r>
          </w:p>
        </w:tc>
      </w:tr>
      <w:tr>
        <w:tc>
          <w:tcPr>
            <w:tcW w:type="dxa" w:w="737"/>
          </w:tcPr>
          <w:p>
            <w:pPr>
              <w:jc w:val="center"/>
            </w:pPr>
            <w:r>
              <w:rPr>
                <w:rFonts w:ascii="Calibri" w:hAnsi="Calibri"/>
                <w:sz w:val="18"/>
              </w:rPr>
              <w:t>BR1.4</w:t>
            </w:r>
          </w:p>
        </w:tc>
        <w:tc>
          <w:tcPr>
            <w:tcW w:type="dxa" w:w="1814"/>
          </w:tcPr>
          <w:p>
            <w:r>
              <w:rPr>
                <w:rFonts w:ascii="Calibri" w:hAnsi="Calibri"/>
                <w:sz w:val="18"/>
              </w:rPr>
              <w:t>User deletes their account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Requires password confirmation. Cascade-deletes all associated chats and messages.</w:t>
            </w:r>
          </w:p>
        </w:tc>
      </w:tr>
      <w:tr>
        <w:tc>
          <w:tcPr>
            <w:tcW w:type="dxa" w:w="4535"/>
            <w:gridSpan w:val="6"/>
            <w:shd w:fill="D6E4F0" w:val="clear"/>
          </w:tcPr>
          <w:p>
            <w:r/>
            <w:r>
              <w:rPr>
                <w:rFonts w:ascii="Calibri" w:hAnsi="Calibri"/>
                <w:b/>
                <w:sz w:val="18"/>
              </w:rPr>
              <w:t>BR2 – New Chat with Log Upload</w:t>
            </w:r>
          </w:p>
          <w:p>
            <w:r/>
          </w:p>
          <w:p>
            <w:r/>
          </w:p>
          <w:p>
            <w:r/>
          </w:p>
          <w:p>
            <w:r/>
          </w:p>
          <w:p>
            <w:r/>
          </w:p>
        </w:tc>
      </w:tr>
      <w:tr>
        <w:tc>
          <w:tcPr>
            <w:tcW w:type="dxa" w:w="737"/>
          </w:tcPr>
          <w:p>
            <w:pPr>
              <w:jc w:val="center"/>
            </w:pPr>
            <w:r>
              <w:rPr>
                <w:rFonts w:ascii="Calibri" w:hAnsi="Calibri"/>
                <w:sz w:val="18"/>
              </w:rPr>
              <w:t>BR2.1</w:t>
            </w:r>
          </w:p>
        </w:tc>
        <w:tc>
          <w:tcPr>
            <w:tcW w:type="dxa" w:w="1814"/>
          </w:tcPr>
          <w:p>
            <w:r>
              <w:rPr>
                <w:rFonts w:ascii="Calibri" w:hAnsi="Calibri"/>
                <w:sz w:val="18"/>
              </w:rPr>
              <w:t>Upload a valid OBD-II CSV log</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OBDParser validates and parses the CSV, extracting 10+ metric types and identifying fault codes from a 185+ code database.</w:t>
            </w:r>
          </w:p>
        </w:tc>
      </w:tr>
      <w:tr>
        <w:tc>
          <w:tcPr>
            <w:tcW w:type="dxa" w:w="737"/>
          </w:tcPr>
          <w:p>
            <w:pPr>
              <w:jc w:val="center"/>
            </w:pPr>
            <w:r>
              <w:rPr>
                <w:rFonts w:ascii="Calibri" w:hAnsi="Calibri"/>
                <w:sz w:val="18"/>
              </w:rPr>
              <w:t>BR2.2</w:t>
            </w:r>
          </w:p>
        </w:tc>
        <w:tc>
          <w:tcPr>
            <w:tcW w:type="dxa" w:w="1814"/>
          </w:tcPr>
          <w:p>
            <w:r>
              <w:rPr>
                <w:rFonts w:ascii="Calibri" w:hAnsi="Calibri"/>
                <w:sz w:val="18"/>
              </w:rPr>
              <w:t>Reject invalid file types</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File extension is validated before parsing. Non-CSV files receive a clear error message.</w:t>
            </w:r>
          </w:p>
        </w:tc>
      </w:tr>
      <w:tr>
        <w:tc>
          <w:tcPr>
            <w:tcW w:type="dxa" w:w="737"/>
          </w:tcPr>
          <w:p>
            <w:pPr>
              <w:jc w:val="center"/>
            </w:pPr>
            <w:r>
              <w:rPr>
                <w:rFonts w:ascii="Calibri" w:hAnsi="Calibri"/>
                <w:sz w:val="18"/>
              </w:rPr>
              <w:t>BR2.3</w:t>
            </w:r>
          </w:p>
        </w:tc>
        <w:tc>
          <w:tcPr>
            <w:tcW w:type="dxa" w:w="1814"/>
          </w:tcPr>
          <w:p>
            <w:r>
              <w:rPr>
                <w:rFonts w:ascii="Calibri" w:hAnsi="Calibri"/>
                <w:sz w:val="18"/>
              </w:rPr>
              <w:t>Handle valid file type with bad data</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The parser detects missing OBD-II columns and corrupt data, returning descriptive errors for each case.</w:t>
            </w:r>
          </w:p>
        </w:tc>
      </w:tr>
      <w:tr>
        <w:tc>
          <w:tcPr>
            <w:tcW w:type="dxa" w:w="737"/>
          </w:tcPr>
          <w:p>
            <w:pPr>
              <w:jc w:val="center"/>
            </w:pPr>
            <w:r>
              <w:rPr>
                <w:rFonts w:ascii="Calibri" w:hAnsi="Calibri"/>
                <w:sz w:val="18"/>
              </w:rPr>
              <w:t>BR2.4</w:t>
            </w:r>
          </w:p>
        </w:tc>
        <w:tc>
          <w:tcPr>
            <w:tcW w:type="dxa" w:w="1814"/>
          </w:tcPr>
          <w:p>
            <w:r>
              <w:rPr>
                <w:rFonts w:ascii="Calibri" w:hAnsi="Calibri"/>
                <w:sz w:val="18"/>
              </w:rPr>
              <w:t>Unauthenticated user cannot start a chat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Enforced architecturally. MainWindow only shows the chat screen after successful login via QStackedWidget.</w:t>
            </w:r>
          </w:p>
        </w:tc>
      </w:tr>
      <w:tr>
        <w:tc>
          <w:tcPr>
            <w:tcW w:type="dxa" w:w="4535"/>
            <w:gridSpan w:val="6"/>
            <w:shd w:fill="D6E4F0" w:val="clear"/>
          </w:tcPr>
          <w:p>
            <w:r/>
            <w:r>
              <w:rPr>
                <w:rFonts w:ascii="Calibri" w:hAnsi="Calibri"/>
                <w:b/>
                <w:sz w:val="18"/>
              </w:rPr>
              <w:t>BR3 – Chat History Management</w:t>
            </w:r>
          </w:p>
          <w:p>
            <w:r/>
          </w:p>
          <w:p>
            <w:r/>
          </w:p>
          <w:p>
            <w:r/>
          </w:p>
          <w:p>
            <w:r/>
          </w:p>
          <w:p>
            <w:r/>
          </w:p>
        </w:tc>
      </w:tr>
      <w:tr>
        <w:tc>
          <w:tcPr>
            <w:tcW w:type="dxa" w:w="737"/>
          </w:tcPr>
          <w:p>
            <w:pPr>
              <w:jc w:val="center"/>
            </w:pPr>
            <w:r>
              <w:rPr>
                <w:rFonts w:ascii="Calibri" w:hAnsi="Calibri"/>
                <w:sz w:val="18"/>
              </w:rPr>
              <w:t>BR3.1</w:t>
            </w:r>
          </w:p>
        </w:tc>
        <w:tc>
          <w:tcPr>
            <w:tcW w:type="dxa" w:w="1814"/>
          </w:tcPr>
          <w:p>
            <w:r>
              <w:rPr>
                <w:rFonts w:ascii="Calibri" w:hAnsi="Calibri"/>
                <w:sz w:val="18"/>
              </w:rPr>
              <w:t>View chat history</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Retrieves all chats ordered by most recent, displayed in a sidebar list.</w:t>
            </w:r>
          </w:p>
        </w:tc>
      </w:tr>
      <w:tr>
        <w:tc>
          <w:tcPr>
            <w:tcW w:type="dxa" w:w="737"/>
          </w:tcPr>
          <w:p>
            <w:pPr>
              <w:jc w:val="center"/>
            </w:pPr>
            <w:r>
              <w:rPr>
                <w:rFonts w:ascii="Calibri" w:hAnsi="Calibri"/>
                <w:sz w:val="18"/>
              </w:rPr>
              <w:t>BR3.2</w:t>
            </w:r>
          </w:p>
        </w:tc>
        <w:tc>
          <w:tcPr>
            <w:tcW w:type="dxa" w:w="1814"/>
          </w:tcPr>
          <w:p>
            <w:r>
              <w:rPr>
                <w:rFonts w:ascii="Calibri" w:hAnsi="Calibri"/>
                <w:sz w:val="18"/>
              </w:rPr>
              <w:t>Delete chat history</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Supports single and batch deletion with a confirmation dialog.</w:t>
            </w:r>
          </w:p>
        </w:tc>
      </w:tr>
      <w:tr>
        <w:tc>
          <w:tcPr>
            <w:tcW w:type="dxa" w:w="737"/>
          </w:tcPr>
          <w:p>
            <w:pPr>
              <w:jc w:val="center"/>
            </w:pPr>
            <w:r>
              <w:rPr>
                <w:rFonts w:ascii="Calibri" w:hAnsi="Calibri"/>
                <w:sz w:val="18"/>
              </w:rPr>
              <w:t>BR3.3</w:t>
            </w:r>
          </w:p>
        </w:tc>
        <w:tc>
          <w:tcPr>
            <w:tcW w:type="dxa" w:w="1814"/>
          </w:tcPr>
          <w:p>
            <w:r>
              <w:rPr>
                <w:rFonts w:ascii="Calibri" w:hAnsi="Calibri"/>
                <w:sz w:val="18"/>
              </w:rPr>
              <w:t>Rename a chat</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Context menu with QInputDialog for inline renaming.</w:t>
            </w:r>
          </w:p>
        </w:tc>
      </w:tr>
      <w:tr>
        <w:tc>
          <w:tcPr>
            <w:tcW w:type="dxa" w:w="737"/>
          </w:tcPr>
          <w:p>
            <w:pPr>
              <w:jc w:val="center"/>
            </w:pPr>
            <w:r>
              <w:rPr>
                <w:rFonts w:ascii="Calibri" w:hAnsi="Calibri"/>
                <w:sz w:val="18"/>
              </w:rPr>
              <w:t>BR3.4</w:t>
            </w:r>
          </w:p>
        </w:tc>
        <w:tc>
          <w:tcPr>
            <w:tcW w:type="dxa" w:w="1814"/>
          </w:tcPr>
          <w:p>
            <w:r>
              <w:rPr>
                <w:rFonts w:ascii="Calibri" w:hAnsi="Calibri"/>
                <w:sz w:val="18"/>
              </w:rPr>
              <w:t>Export a chat log</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Modified</w:t>
            </w:r>
          </w:p>
        </w:tc>
        <w:tc>
          <w:tcPr>
            <w:tcW w:type="dxa" w:w="4535"/>
          </w:tcPr>
          <w:p>
            <w:r>
              <w:rPr>
                <w:rFonts w:ascii="Calibri" w:hAnsi="Calibri"/>
                <w:sz w:val="18"/>
              </w:rPr>
              <w:t>Now supports three export formats (plain text, JSON, Markdown). The original spec did not define specific formats, so we expanded on it.</w:t>
            </w:r>
          </w:p>
        </w:tc>
      </w:tr>
      <w:tr>
        <w:tc>
          <w:tcPr>
            <w:tcW w:type="dxa" w:w="4535"/>
            <w:gridSpan w:val="6"/>
            <w:shd w:fill="D6E4F0" w:val="clear"/>
          </w:tcPr>
          <w:p>
            <w:r/>
            <w:r>
              <w:rPr>
                <w:rFonts w:ascii="Calibri" w:hAnsi="Calibri"/>
                <w:b/>
                <w:sz w:val="18"/>
              </w:rPr>
              <w:t>BR4 – General Vehicle Status Queries</w:t>
            </w:r>
          </w:p>
          <w:p>
            <w:r/>
          </w:p>
          <w:p>
            <w:r/>
          </w:p>
          <w:p>
            <w:r/>
          </w:p>
          <w:p>
            <w:r/>
          </w:p>
          <w:p>
            <w:r/>
          </w:p>
        </w:tc>
      </w:tr>
      <w:tr>
        <w:tc>
          <w:tcPr>
            <w:tcW w:type="dxa" w:w="737"/>
          </w:tcPr>
          <w:p>
            <w:pPr>
              <w:jc w:val="center"/>
            </w:pPr>
            <w:r>
              <w:rPr>
                <w:rFonts w:ascii="Calibri" w:hAnsi="Calibri"/>
                <w:sz w:val="18"/>
              </w:rPr>
              <w:t>BR4.1</w:t>
            </w:r>
          </w:p>
        </w:tc>
        <w:tc>
          <w:tcPr>
            <w:tcW w:type="dxa" w:w="1814"/>
          </w:tcPr>
          <w:p>
            <w:r>
              <w:rPr>
                <w:rFonts w:ascii="Calibri" w:hAnsi="Calibri"/>
                <w:sz w:val="18"/>
              </w:rPr>
              <w:t>Summary when all metrics normal</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RAG pipeline generates a health summary confirming normal status with specific metric readings.</w:t>
            </w:r>
          </w:p>
        </w:tc>
      </w:tr>
      <w:tr>
        <w:tc>
          <w:tcPr>
            <w:tcW w:type="dxa" w:w="737"/>
          </w:tcPr>
          <w:p>
            <w:pPr>
              <w:jc w:val="center"/>
            </w:pPr>
            <w:r>
              <w:rPr>
                <w:rFonts w:ascii="Calibri" w:hAnsi="Calibri"/>
                <w:sz w:val="18"/>
              </w:rPr>
              <w:t>BR4.2</w:t>
            </w:r>
          </w:p>
        </w:tc>
        <w:tc>
          <w:tcPr>
            <w:tcW w:type="dxa" w:w="1814"/>
          </w:tcPr>
          <w:p>
            <w:r>
              <w:rPr>
                <w:rFonts w:ascii="Calibri" w:hAnsi="Calibri"/>
                <w:sz w:val="18"/>
              </w:rPr>
              <w:t>Summary when metrics abnormal</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Abnormal metrics are flagged with severity classification. The response highlights issues and provides recommendations.</w:t>
            </w:r>
          </w:p>
        </w:tc>
      </w:tr>
      <w:tr>
        <w:tc>
          <w:tcPr>
            <w:tcW w:type="dxa" w:w="737"/>
          </w:tcPr>
          <w:p>
            <w:pPr>
              <w:jc w:val="center"/>
            </w:pPr>
            <w:r>
              <w:rPr>
                <w:rFonts w:ascii="Calibri" w:hAnsi="Calibri"/>
                <w:sz w:val="18"/>
              </w:rPr>
              <w:t>BR4.3</w:t>
            </w:r>
          </w:p>
        </w:tc>
        <w:tc>
          <w:tcPr>
            <w:tcW w:type="dxa" w:w="1814"/>
          </w:tcPr>
          <w:p>
            <w:r>
              <w:rPr>
                <w:rFonts w:ascii="Calibri" w:hAnsi="Calibri"/>
                <w:sz w:val="18"/>
              </w:rPr>
              <w:t>Query about unavailable data</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The system states when requested data is not present in the uploaded log.</w:t>
            </w:r>
          </w:p>
        </w:tc>
      </w:tr>
      <w:tr>
        <w:tc>
          <w:tcPr>
            <w:tcW w:type="dxa" w:w="4535"/>
            <w:gridSpan w:val="6"/>
            <w:shd w:fill="D6E4F0" w:val="clear"/>
          </w:tcPr>
          <w:p>
            <w:r/>
            <w:r>
              <w:rPr>
                <w:rFonts w:ascii="Calibri" w:hAnsi="Calibri"/>
                <w:b/>
                <w:sz w:val="18"/>
              </w:rPr>
              <w:t>BR5 – Fault Code Explanation</w:t>
            </w:r>
          </w:p>
          <w:p>
            <w:r/>
          </w:p>
          <w:p>
            <w:r/>
          </w:p>
          <w:p>
            <w:r/>
          </w:p>
          <w:p>
            <w:r/>
          </w:p>
          <w:p>
            <w:r/>
          </w:p>
        </w:tc>
      </w:tr>
      <w:tr>
        <w:tc>
          <w:tcPr>
            <w:tcW w:type="dxa" w:w="737"/>
          </w:tcPr>
          <w:p>
            <w:pPr>
              <w:jc w:val="center"/>
            </w:pPr>
            <w:r>
              <w:rPr>
                <w:rFonts w:ascii="Calibri" w:hAnsi="Calibri"/>
                <w:sz w:val="18"/>
              </w:rPr>
              <w:t>BR5.1</w:t>
            </w:r>
          </w:p>
        </w:tc>
        <w:tc>
          <w:tcPr>
            <w:tcW w:type="dxa" w:w="1814"/>
          </w:tcPr>
          <w:p>
            <w:r>
              <w:rPr>
                <w:rFonts w:ascii="Calibri" w:hAnsi="Calibri"/>
                <w:sz w:val="18"/>
              </w:rPr>
              <w:t>Explain a specific generic fault code</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Codes are looked up in our 185+ code database and explained via the RAG pipeline with descriptions, severity, and possible causes.</w:t>
            </w:r>
          </w:p>
        </w:tc>
      </w:tr>
      <w:tr>
        <w:tc>
          <w:tcPr>
            <w:tcW w:type="dxa" w:w="737"/>
          </w:tcPr>
          <w:p>
            <w:pPr>
              <w:jc w:val="center"/>
            </w:pPr>
            <w:r>
              <w:rPr>
                <w:rFonts w:ascii="Calibri" w:hAnsi="Calibri"/>
                <w:sz w:val="18"/>
              </w:rPr>
              <w:t>BR5.2</w:t>
            </w:r>
          </w:p>
        </w:tc>
        <w:tc>
          <w:tcPr>
            <w:tcW w:type="dxa" w:w="1814"/>
          </w:tcPr>
          <w:p>
            <w:r>
              <w:rPr>
                <w:rFonts w:ascii="Calibri" w:hAnsi="Calibri"/>
                <w:sz w:val="18"/>
              </w:rPr>
              <w:t>Summary of all fault codes in log</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All detected fault codes are listed with their severity and descriptions.</w:t>
            </w:r>
          </w:p>
        </w:tc>
      </w:tr>
      <w:tr>
        <w:tc>
          <w:tcPr>
            <w:tcW w:type="dxa" w:w="737"/>
          </w:tcPr>
          <w:p>
            <w:pPr>
              <w:jc w:val="center"/>
            </w:pPr>
            <w:r>
              <w:rPr>
                <w:rFonts w:ascii="Calibri" w:hAnsi="Calibri"/>
                <w:sz w:val="18"/>
              </w:rPr>
              <w:t>BR5.3</w:t>
            </w:r>
          </w:p>
        </w:tc>
        <w:tc>
          <w:tcPr>
            <w:tcW w:type="dxa" w:w="1814"/>
          </w:tcPr>
          <w:p>
            <w:r>
              <w:rPr>
                <w:rFonts w:ascii="Calibri" w:hAnsi="Calibri"/>
                <w:sz w:val="18"/>
              </w:rPr>
              <w:t>Handle manufacturer-specific fault codes</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Manufacturer-specific codes are identified. The system explains that only generic OBD-II codes are supported.</w:t>
            </w:r>
          </w:p>
        </w:tc>
      </w:tr>
      <w:tr>
        <w:tc>
          <w:tcPr>
            <w:tcW w:type="dxa" w:w="737"/>
          </w:tcPr>
          <w:p>
            <w:pPr>
              <w:jc w:val="center"/>
            </w:pPr>
            <w:r>
              <w:rPr>
                <w:rFonts w:ascii="Calibri" w:hAnsi="Calibri"/>
                <w:sz w:val="18"/>
              </w:rPr>
              <w:t>BR5.4</w:t>
            </w:r>
          </w:p>
        </w:tc>
        <w:tc>
          <w:tcPr>
            <w:tcW w:type="dxa" w:w="1814"/>
          </w:tcPr>
          <w:p>
            <w:r>
              <w:rPr>
                <w:rFonts w:ascii="Calibri" w:hAnsi="Calibri"/>
                <w:sz w:val="18"/>
              </w:rPr>
              <w:t>No fault codes present in log</w:t>
            </w:r>
          </w:p>
        </w:tc>
        <w:tc>
          <w:tcPr>
            <w:tcW w:type="dxa" w:w="737"/>
          </w:tcPr>
          <w:p>
            <w:pPr>
              <w:jc w:val="center"/>
            </w:pPr>
            <w:r>
              <w:rPr>
                <w:rFonts w:ascii="Calibri" w:hAnsi="Calibri"/>
                <w:sz w:val="18"/>
              </w:rPr>
              <w:t>MUST</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Provides positive reassurance and recommends continued regular maintenance.</w:t>
            </w:r>
          </w:p>
        </w:tc>
      </w:tr>
      <w:tr>
        <w:tc>
          <w:tcPr>
            <w:tcW w:type="dxa" w:w="4535"/>
            <w:gridSpan w:val="6"/>
            <w:shd w:fill="D6E4F0" w:val="clear"/>
          </w:tcPr>
          <w:p>
            <w:r/>
            <w:r>
              <w:rPr>
                <w:rFonts w:ascii="Calibri" w:hAnsi="Calibri"/>
                <w:b/>
                <w:sz w:val="18"/>
              </w:rPr>
              <w:t>BR6 – Speech-to-Text Dictation</w:t>
            </w:r>
          </w:p>
          <w:p>
            <w:r/>
          </w:p>
          <w:p>
            <w:r/>
          </w:p>
          <w:p>
            <w:r/>
          </w:p>
          <w:p>
            <w:r/>
          </w:p>
          <w:p>
            <w:r/>
          </w:p>
        </w:tc>
      </w:tr>
      <w:tr>
        <w:tc>
          <w:tcPr>
            <w:tcW w:type="dxa" w:w="737"/>
          </w:tcPr>
          <w:p>
            <w:pPr>
              <w:jc w:val="center"/>
            </w:pPr>
            <w:r>
              <w:rPr>
                <w:rFonts w:ascii="Calibri" w:hAnsi="Calibri"/>
                <w:sz w:val="18"/>
              </w:rPr>
              <w:t>BR6.1</w:t>
            </w:r>
          </w:p>
        </w:tc>
        <w:tc>
          <w:tcPr>
            <w:tcW w:type="dxa" w:w="1814"/>
          </w:tcPr>
          <w:p>
            <w:r>
              <w:rPr>
                <w:rFonts w:ascii="Calibri" w:hAnsi="Calibri"/>
                <w:sz w:val="18"/>
              </w:rPr>
              <w:t>Basic voice dictation</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Modified</w:t>
            </w:r>
          </w:p>
        </w:tc>
        <w:tc>
          <w:tcPr>
            <w:tcW w:type="dxa" w:w="4535"/>
          </w:tcPr>
          <w:p>
            <w:r>
              <w:rPr>
                <w:rFonts w:ascii="Calibri" w:hAnsi="Calibri"/>
                <w:sz w:val="18"/>
              </w:rPr>
              <w:t>Uses faster-whisper (local Whisper) instead of IBM Granite STT. We made this switch so everything runs offline and no voice data leaves the user's machine.</w:t>
            </w:r>
          </w:p>
        </w:tc>
      </w:tr>
      <w:tr>
        <w:tc>
          <w:tcPr>
            <w:tcW w:type="dxa" w:w="737"/>
          </w:tcPr>
          <w:p>
            <w:pPr>
              <w:jc w:val="center"/>
            </w:pPr>
            <w:r>
              <w:rPr>
                <w:rFonts w:ascii="Calibri" w:hAnsi="Calibri"/>
                <w:sz w:val="18"/>
              </w:rPr>
              <w:t>BR6.2</w:t>
            </w:r>
          </w:p>
        </w:tc>
        <w:tc>
          <w:tcPr>
            <w:tcW w:type="dxa" w:w="1814"/>
          </w:tcPr>
          <w:p>
            <w:r>
              <w:rPr>
                <w:rFonts w:ascii="Calibri" w:hAnsi="Calibri"/>
                <w:sz w:val="18"/>
              </w:rPr>
              <w:t>Continue dictation from caret position</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C00000"/>
                <w:sz w:val="18"/>
              </w:rPr>
              <w:t>Not Met</w:t>
            </w:r>
          </w:p>
        </w:tc>
        <w:tc>
          <w:tcPr>
            <w:tcW w:type="dxa" w:w="964"/>
          </w:tcPr>
          <w:p>
            <w:pPr>
              <w:jc w:val="center"/>
            </w:pPr>
            <w:r>
              <w:rPr>
                <w:rFonts w:ascii="Calibri" w:hAnsi="Calibri"/>
                <w:sz w:val="18"/>
              </w:rPr>
              <w:t>—</w:t>
            </w:r>
          </w:p>
        </w:tc>
        <w:tc>
          <w:tcPr>
            <w:tcW w:type="dxa" w:w="4535"/>
          </w:tcPr>
          <w:p>
            <w:r>
              <w:rPr>
                <w:rFonts w:ascii="Calibri" w:hAnsi="Calibri"/>
                <w:sz w:val="18"/>
              </w:rPr>
              <w:t>Dictated text is appended to the end of the input box rather than inserted at the cursor. We prioritised getting the core voice pipeline working over this refinement.</w:t>
            </w:r>
          </w:p>
        </w:tc>
      </w:tr>
      <w:tr>
        <w:tc>
          <w:tcPr>
            <w:tcW w:type="dxa" w:w="737"/>
          </w:tcPr>
          <w:p>
            <w:pPr>
              <w:jc w:val="center"/>
            </w:pPr>
            <w:r>
              <w:rPr>
                <w:rFonts w:ascii="Calibri" w:hAnsi="Calibri"/>
                <w:sz w:val="18"/>
              </w:rPr>
              <w:t>BR6.3</w:t>
            </w:r>
          </w:p>
        </w:tc>
        <w:tc>
          <w:tcPr>
            <w:tcW w:type="dxa" w:w="1814"/>
          </w:tcPr>
          <w:p>
            <w:r>
              <w:rPr>
                <w:rFonts w:ascii="Calibri" w:hAnsi="Calibri"/>
                <w:sz w:val="18"/>
              </w:rPr>
              <w:t>Auto-stop recording after silence</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Modified</w:t>
            </w:r>
          </w:p>
        </w:tc>
        <w:tc>
          <w:tcPr>
            <w:tcW w:type="dxa" w:w="4535"/>
          </w:tcPr>
          <w:p>
            <w:r>
              <w:rPr>
                <w:rFonts w:ascii="Calibri" w:hAnsi="Calibri"/>
                <w:sz w:val="18"/>
              </w:rPr>
              <w:t>Auto-stop triggers after 2 seconds of silence instead of 3. We lowered this after testing showed 3 seconds felt unresponsive.</w:t>
            </w:r>
          </w:p>
        </w:tc>
      </w:tr>
      <w:tr>
        <w:tc>
          <w:tcPr>
            <w:tcW w:type="dxa" w:w="737"/>
          </w:tcPr>
          <w:p>
            <w:pPr>
              <w:jc w:val="center"/>
            </w:pPr>
            <w:r>
              <w:rPr>
                <w:rFonts w:ascii="Calibri" w:hAnsi="Calibri"/>
                <w:sz w:val="18"/>
              </w:rPr>
              <w:t>BR6.4</w:t>
            </w:r>
          </w:p>
        </w:tc>
        <w:tc>
          <w:tcPr>
            <w:tcW w:type="dxa" w:w="1814"/>
          </w:tcPr>
          <w:p>
            <w:r>
              <w:rPr>
                <w:rFonts w:ascii="Calibri" w:hAnsi="Calibri"/>
                <w:sz w:val="18"/>
              </w:rPr>
              <w:t>Handle microphone permission denied</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Checks device availability on start and shows an actionable error if mic access is denied.</w:t>
            </w:r>
          </w:p>
        </w:tc>
      </w:tr>
      <w:tr>
        <w:tc>
          <w:tcPr>
            <w:tcW w:type="dxa" w:w="4535"/>
            <w:gridSpan w:val="6"/>
            <w:shd w:fill="D6E4F0" w:val="clear"/>
          </w:tcPr>
          <w:p>
            <w:r/>
            <w:r>
              <w:rPr>
                <w:rFonts w:ascii="Calibri" w:hAnsi="Calibri"/>
                <w:b/>
                <w:sz w:val="18"/>
              </w:rPr>
              <w:t>BR7 – Voice Conversation Mode</w:t>
            </w:r>
          </w:p>
          <w:p>
            <w:r/>
          </w:p>
          <w:p>
            <w:r/>
          </w:p>
          <w:p>
            <w:r/>
          </w:p>
          <w:p>
            <w:r/>
          </w:p>
          <w:p>
            <w:r/>
          </w:p>
        </w:tc>
      </w:tr>
      <w:tr>
        <w:tc>
          <w:tcPr>
            <w:tcW w:type="dxa" w:w="737"/>
          </w:tcPr>
          <w:p>
            <w:pPr>
              <w:jc w:val="center"/>
            </w:pPr>
            <w:r>
              <w:rPr>
                <w:rFonts w:ascii="Calibri" w:hAnsi="Calibri"/>
                <w:sz w:val="18"/>
              </w:rPr>
              <w:t>BR7.1</w:t>
            </w:r>
          </w:p>
        </w:tc>
        <w:tc>
          <w:tcPr>
            <w:tcW w:type="dxa" w:w="1814"/>
          </w:tcPr>
          <w:p>
            <w:r>
              <w:rPr>
                <w:rFonts w:ascii="Calibri" w:hAnsi="Calibri"/>
                <w:sz w:val="18"/>
              </w:rPr>
              <w:t>Voice session with spoken reply</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Full pipeline: mic capture via faster-whisper, AI response via Granite, spoken reply via edge-tts with Microsoft neural voices.</w:t>
            </w:r>
          </w:p>
        </w:tc>
      </w:tr>
      <w:tr>
        <w:tc>
          <w:tcPr>
            <w:tcW w:type="dxa" w:w="737"/>
          </w:tcPr>
          <w:p>
            <w:pPr>
              <w:jc w:val="center"/>
            </w:pPr>
            <w:r>
              <w:rPr>
                <w:rFonts w:ascii="Calibri" w:hAnsi="Calibri"/>
                <w:sz w:val="18"/>
              </w:rPr>
              <w:t>BR7.2</w:t>
            </w:r>
          </w:p>
        </w:tc>
        <w:tc>
          <w:tcPr>
            <w:tcW w:type="dxa" w:w="1814"/>
          </w:tcPr>
          <w:p>
            <w:r>
              <w:rPr>
                <w:rFonts w:ascii="Calibri" w:hAnsi="Calibri"/>
                <w:sz w:val="18"/>
              </w:rPr>
              <w:t>Natural turn-taking with silence detection</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Modified</w:t>
            </w:r>
          </w:p>
        </w:tc>
        <w:tc>
          <w:tcPr>
            <w:tcW w:type="dxa" w:w="4535"/>
          </w:tcPr>
          <w:p>
            <w:r>
              <w:rPr>
                <w:rFonts w:ascii="Calibri" w:hAnsi="Calibri"/>
                <w:sz w:val="18"/>
              </w:rPr>
              <w:t>Same 2-second silence threshold as BR6.3. We added a half-duplex protocol to stop the mic picking up the TTS playback, which would otherwise cause a feedback loop.</w:t>
            </w:r>
          </w:p>
        </w:tc>
      </w:tr>
      <w:tr>
        <w:tc>
          <w:tcPr>
            <w:tcW w:type="dxa" w:w="737"/>
          </w:tcPr>
          <w:p>
            <w:pPr>
              <w:jc w:val="center"/>
            </w:pPr>
            <w:r>
              <w:rPr>
                <w:rFonts w:ascii="Calibri" w:hAnsi="Calibri"/>
                <w:sz w:val="18"/>
              </w:rPr>
              <w:t>BR7.3</w:t>
            </w:r>
          </w:p>
        </w:tc>
        <w:tc>
          <w:tcPr>
            <w:tcW w:type="dxa" w:w="1814"/>
          </w:tcPr>
          <w:p>
            <w:r>
              <w:rPr>
                <w:rFonts w:ascii="Calibri" w:hAnsi="Calibri"/>
                <w:sz w:val="18"/>
              </w:rPr>
              <w:t>Wake word activation</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C00000"/>
                <w:sz w:val="18"/>
              </w:rPr>
              <w:t>Not Met</w:t>
            </w:r>
          </w:p>
        </w:tc>
        <w:tc>
          <w:tcPr>
            <w:tcW w:type="dxa" w:w="964"/>
          </w:tcPr>
          <w:p>
            <w:pPr>
              <w:jc w:val="center"/>
            </w:pPr>
            <w:r>
              <w:rPr>
                <w:rFonts w:ascii="Calibri" w:hAnsi="Calibri"/>
                <w:sz w:val="18"/>
              </w:rPr>
              <w:t>—</w:t>
            </w:r>
          </w:p>
        </w:tc>
        <w:tc>
          <w:tcPr>
            <w:tcW w:type="dxa" w:w="4535"/>
          </w:tcPr>
          <w:p>
            <w:r>
              <w:rPr>
                <w:rFonts w:ascii="Calibri" w:hAnsi="Calibri"/>
                <w:sz w:val="18"/>
              </w:rPr>
              <w:t>Not implemented. We use a button press instead. Wake word detection would require an always-on mic listener, conflicting with our privacy-first approach and increasing background resource usage.</w:t>
            </w:r>
          </w:p>
        </w:tc>
      </w:tr>
      <w:tr>
        <w:tc>
          <w:tcPr>
            <w:tcW w:type="dxa" w:w="4535"/>
            <w:gridSpan w:val="6"/>
            <w:shd w:fill="D6E4F0" w:val="clear"/>
          </w:tcPr>
          <w:p>
            <w:r/>
            <w:r>
              <w:rPr>
                <w:rFonts w:ascii="Calibri" w:hAnsi="Calibri"/>
                <w:b/>
                <w:sz w:val="18"/>
              </w:rPr>
              <w:t>BR8 – Danger Level Categorisation</w:t>
            </w:r>
          </w:p>
          <w:p>
            <w:r/>
          </w:p>
          <w:p>
            <w:r/>
          </w:p>
          <w:p>
            <w:r/>
          </w:p>
          <w:p>
            <w:r/>
          </w:p>
          <w:p>
            <w:r/>
          </w:p>
        </w:tc>
      </w:tr>
      <w:tr>
        <w:tc>
          <w:tcPr>
            <w:tcW w:type="dxa" w:w="737"/>
          </w:tcPr>
          <w:p>
            <w:pPr>
              <w:jc w:val="center"/>
            </w:pPr>
            <w:r>
              <w:rPr>
                <w:rFonts w:ascii="Calibri" w:hAnsi="Calibri"/>
                <w:sz w:val="18"/>
              </w:rPr>
              <w:t>BR8.1</w:t>
            </w:r>
          </w:p>
        </w:tc>
        <w:tc>
          <w:tcPr>
            <w:tcW w:type="dxa" w:w="1814"/>
          </w:tcPr>
          <w:p>
            <w:r>
              <w:rPr>
                <w:rFonts w:ascii="Calibri" w:hAnsi="Calibri"/>
                <w:sz w:val="18"/>
              </w:rPr>
              <w:t>Critical issues shown in red</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SeverityClassifier uses keyword analysis, fault code prefix matching (e.g. P03xx misfire codes), and metric thresholds. Messages display red styling with a "Critical" badge.</w:t>
            </w:r>
          </w:p>
        </w:tc>
      </w:tr>
      <w:tr>
        <w:tc>
          <w:tcPr>
            <w:tcW w:type="dxa" w:w="737"/>
          </w:tcPr>
          <w:p>
            <w:pPr>
              <w:jc w:val="center"/>
            </w:pPr>
            <w:r>
              <w:rPr>
                <w:rFonts w:ascii="Calibri" w:hAnsi="Calibri"/>
                <w:sz w:val="18"/>
              </w:rPr>
              <w:t>BR8.2</w:t>
            </w:r>
          </w:p>
        </w:tc>
        <w:tc>
          <w:tcPr>
            <w:tcW w:type="dxa" w:w="1814"/>
          </w:tcPr>
          <w:p>
            <w:r>
              <w:rPr>
                <w:rFonts w:ascii="Calibri" w:hAnsi="Calibri"/>
                <w:sz w:val="18"/>
              </w:rPr>
              <w:t>Warnings shown in amber</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Detected via keyword and metric analysis. Uses negation-aware detection so phrases like "no critical issue" are not flagged as critical.</w:t>
            </w:r>
          </w:p>
        </w:tc>
      </w:tr>
      <w:tr>
        <w:tc>
          <w:tcPr>
            <w:tcW w:type="dxa" w:w="737"/>
          </w:tcPr>
          <w:p>
            <w:pPr>
              <w:jc w:val="center"/>
            </w:pPr>
            <w:r>
              <w:rPr>
                <w:rFonts w:ascii="Calibri" w:hAnsi="Calibri"/>
                <w:sz w:val="18"/>
              </w:rPr>
              <w:t>BR8.3</w:t>
            </w:r>
          </w:p>
        </w:tc>
        <w:tc>
          <w:tcPr>
            <w:tcW w:type="dxa" w:w="1814"/>
          </w:tcPr>
          <w:p>
            <w:r>
              <w:rPr>
                <w:rFonts w:ascii="Calibri" w:hAnsi="Calibri"/>
                <w:sz w:val="18"/>
              </w:rPr>
              <w:t>Normal information shown in green</w:t>
            </w:r>
          </w:p>
        </w:tc>
        <w:tc>
          <w:tcPr>
            <w:tcW w:type="dxa" w:w="737"/>
          </w:tcPr>
          <w:p>
            <w:pPr>
              <w:jc w:val="center"/>
            </w:pPr>
            <w:r>
              <w:rPr>
                <w:rFonts w:ascii="Calibri" w:hAnsi="Calibri"/>
                <w:sz w:val="18"/>
              </w:rPr>
              <w:t>SHOULD</w:t>
            </w:r>
          </w:p>
        </w:tc>
        <w:tc>
          <w:tcPr>
            <w:tcW w:type="dxa" w:w="850"/>
          </w:tcPr>
          <w:p>
            <w:pPr>
              <w:jc w:val="center"/>
            </w:pPr>
            <w:r>
              <w:rPr>
                <w:rFonts w:ascii="Calibri" w:hAnsi="Calibri"/>
                <w:b/>
                <w:color w:val="008000"/>
                <w:sz w:val="18"/>
              </w:rPr>
              <w:t>Fully Met</w:t>
            </w:r>
          </w:p>
        </w:tc>
        <w:tc>
          <w:tcPr>
            <w:tcW w:type="dxa" w:w="964"/>
          </w:tcPr>
          <w:p>
            <w:pPr>
              <w:jc w:val="center"/>
            </w:pPr>
            <w:r>
              <w:rPr>
                <w:rFonts w:ascii="Calibri" w:hAnsi="Calibri"/>
                <w:sz w:val="18"/>
              </w:rPr>
              <w:t>Unchanged</w:t>
            </w:r>
          </w:p>
        </w:tc>
        <w:tc>
          <w:tcPr>
            <w:tcW w:type="dxa" w:w="4535"/>
          </w:tcPr>
          <w:p>
            <w:r>
              <w:rPr>
                <w:rFonts w:ascii="Calibri" w:hAnsi="Calibri"/>
                <w:sz w:val="18"/>
              </w:rPr>
              <w:t>Green styling for normal responses. A strong normal signal can override minor warning keywords to avoid unnecessary alarm.</w:t>
            </w:r>
          </w:p>
        </w:tc>
      </w:tr>
    </w:tbl>
    <w:p/>
    <w:p>
      <w:r>
        <w:rPr>
          <w:rFonts w:ascii="Calibri" w:hAnsi="Calibri"/>
          <w:sz w:val="22"/>
        </w:rPr>
        <w:t>The two unimplemented scenarios are both SHOULD-haves. BR6.2 (inserting dictated text at the cursor position rather than appending) was deprioritised in favour of getting the core voice pipeline working reliably. BR7.3 (wake word activation) was not implemented because it would require an always-on microphone listener, which conflicts with our local-first, privacy-focused design and would increase background resource consumption.</w:t>
      </w:r>
    </w:p>
    <w:p>
      <w:r>
        <w:rPr>
          <w:rFonts w:ascii="Calibri" w:hAnsi="Calibri"/>
          <w:sz w:val="22"/>
        </w:rPr>
        <w:t>All other modifications were intentional improvements. We switched from IBM Granite STT to faster-whisper for speech recognition (BR6.1) to keep everything running locally without an internet dependency. The silence detection threshold was reduced from 3 seconds to 2 (BR6.3, BR7.2) after user testing showed 3 seconds felt unresponsive. Chat export (BR3.4) was expanded to support JSON and Markdown alongside plain text, which we felt would be useful for developers wanting to work with the data programmatically.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