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4FD65" w14:textId="5894BB9A" w:rsidR="007D0FBD" w:rsidRDefault="007D0FBD" w:rsidP="007D0FBD">
      <w:pPr>
        <w:pStyle w:val="a6"/>
        <w:numPr>
          <w:ilvl w:val="0"/>
          <w:numId w:val="3"/>
        </w:numPr>
        <w:rPr>
          <w:lang w:eastAsia="ja-JP"/>
        </w:rPr>
      </w:pPr>
      <w:r w:rsidRPr="007D0FBD">
        <w:rPr>
          <w:lang w:eastAsia="ja-JP"/>
        </w:rPr>
        <w:t>распространенность (</w:t>
      </w:r>
      <w:proofErr w:type="spellStart"/>
      <w:r w:rsidRPr="007D0FBD">
        <w:rPr>
          <w:lang w:eastAsia="ja-JP"/>
        </w:rPr>
        <w:t>prevalence</w:t>
      </w:r>
      <w:proofErr w:type="spellEnd"/>
      <w:r w:rsidRPr="007D0FBD">
        <w:rPr>
          <w:lang w:eastAsia="ja-JP"/>
        </w:rPr>
        <w:t>)</w:t>
      </w:r>
    </w:p>
    <w:p w14:paraId="12DEBD3B" w14:textId="77777777" w:rsidR="007D0FBD" w:rsidRPr="007D0FBD" w:rsidRDefault="007D0FBD" w:rsidP="007D0FBD">
      <w:pPr>
        <w:rPr>
          <w:lang w:val="en-US"/>
        </w:rPr>
      </w:pPr>
      <w:r w:rsidRPr="007D0FBD">
        <w:rPr>
          <w:lang w:val="en-US" w:eastAsia="ja-JP"/>
        </w:rPr>
        <w:t xml:space="preserve">Melissa D. Conrad, Ph.D., Victor </w:t>
      </w:r>
      <w:proofErr w:type="spellStart"/>
      <w:r w:rsidRPr="007D0FBD">
        <w:rPr>
          <w:lang w:val="en-US" w:eastAsia="ja-JP"/>
        </w:rPr>
        <w:t>Asua</w:t>
      </w:r>
      <w:proofErr w:type="spellEnd"/>
      <w:r>
        <w:rPr>
          <w:lang w:val="en-US" w:eastAsia="ja-JP"/>
        </w:rPr>
        <w:t xml:space="preserve"> et al. </w:t>
      </w:r>
      <w:r w:rsidRPr="007D0FBD">
        <w:rPr>
          <w:lang w:val="en-US" w:eastAsia="ja-JP"/>
        </w:rPr>
        <w:t xml:space="preserve">Evolution of Partial Resistance to </w:t>
      </w:r>
      <w:proofErr w:type="spellStart"/>
      <w:r w:rsidRPr="007D0FBD">
        <w:rPr>
          <w:lang w:val="en-US" w:eastAsia="ja-JP"/>
        </w:rPr>
        <w:t>Artemisinins</w:t>
      </w:r>
      <w:proofErr w:type="spellEnd"/>
      <w:r w:rsidRPr="007D0FBD">
        <w:rPr>
          <w:lang w:val="en-US" w:eastAsia="ja-JP"/>
        </w:rPr>
        <w:t xml:space="preserve"> in Malaria Parasites in Uganda</w:t>
      </w:r>
      <w:r>
        <w:rPr>
          <w:lang w:val="en-US" w:eastAsia="ja-JP"/>
        </w:rPr>
        <w:t xml:space="preserve">, 2023. </w:t>
      </w:r>
      <w:r w:rsidRPr="007D0FBD">
        <w:rPr>
          <w:lang w:val="en-US"/>
        </w:rPr>
        <w:t>https://www.nejm.org/doi/full/10.1056/NEJMoa2211803</w:t>
      </w:r>
    </w:p>
    <w:p w14:paraId="7547249D" w14:textId="77777777" w:rsidR="007D0FBD" w:rsidRPr="007816A7" w:rsidRDefault="007D0FBD" w:rsidP="007D0FBD">
      <w:pPr>
        <w:rPr>
          <w:lang w:val="en-US" w:eastAsia="ja-JP"/>
        </w:rPr>
      </w:pPr>
      <w:r w:rsidRPr="007816A7">
        <w:rPr>
          <w:lang w:val="en-US" w:eastAsia="ja-JP"/>
        </w:rPr>
        <w:t>RESULTS</w:t>
      </w:r>
    </w:p>
    <w:p w14:paraId="45548549" w14:textId="6D797A51" w:rsidR="007D0FBD" w:rsidRDefault="007D0FBD" w:rsidP="007D0FBD">
      <w:pPr>
        <w:rPr>
          <w:color w:val="4D4D4D"/>
          <w:szCs w:val="24"/>
          <w:lang w:val="en-US" w:eastAsia="ja-JP"/>
        </w:rPr>
      </w:pPr>
      <w:r w:rsidRPr="007D0FBD">
        <w:rPr>
          <w:color w:val="4D4D4D"/>
          <w:szCs w:val="24"/>
          <w:lang w:val="en-US" w:eastAsia="ja-JP"/>
        </w:rPr>
        <w:t xml:space="preserve">By 2021–2022, </w:t>
      </w:r>
      <w:r w:rsidRPr="008F4991">
        <w:rPr>
          <w:color w:val="4D4D4D"/>
          <w:szCs w:val="24"/>
          <w:highlight w:val="yellow"/>
          <w:lang w:val="en-US" w:eastAsia="ja-JP"/>
        </w:rPr>
        <w:t>the prevalence of parasites with validated or candidate resistance markers reached more than 20% in 11 of the 16 districts where surveillance was conducted</w:t>
      </w:r>
      <w:r w:rsidRPr="007D0FBD">
        <w:rPr>
          <w:color w:val="4D4D4D"/>
          <w:szCs w:val="24"/>
          <w:lang w:val="en-US" w:eastAsia="ja-JP"/>
        </w:rPr>
        <w:t xml:space="preserve">. The PfK13 469Y and 675V mutations were seen in far northern Uganda in 2016–2017 and increased and spread thereafter, </w:t>
      </w:r>
      <w:r w:rsidRPr="008F4991">
        <w:rPr>
          <w:color w:val="4D4D4D"/>
          <w:szCs w:val="24"/>
          <w:highlight w:val="yellow"/>
          <w:lang w:val="en-US" w:eastAsia="ja-JP"/>
        </w:rPr>
        <w:t>reaching a combined prevalence of 10 to 54%</w:t>
      </w:r>
      <w:r w:rsidRPr="007D0FBD">
        <w:rPr>
          <w:color w:val="4D4D4D"/>
          <w:szCs w:val="24"/>
          <w:lang w:val="en-US" w:eastAsia="ja-JP"/>
        </w:rPr>
        <w:t xml:space="preserve"> across much of northern Uganda, with spread to other regions. The 469F mutation </w:t>
      </w:r>
      <w:r w:rsidRPr="008F4991">
        <w:rPr>
          <w:color w:val="4D4D4D"/>
          <w:szCs w:val="24"/>
          <w:highlight w:val="yellow"/>
          <w:lang w:val="en-US" w:eastAsia="ja-JP"/>
        </w:rPr>
        <w:t>reached a prevalence of 38 to 40%</w:t>
      </w:r>
      <w:r w:rsidRPr="007D0FBD">
        <w:rPr>
          <w:color w:val="4D4D4D"/>
          <w:szCs w:val="24"/>
          <w:lang w:val="en-US" w:eastAsia="ja-JP"/>
        </w:rPr>
        <w:t xml:space="preserve"> in one district in southwestern Uganda in 2021–2022. The 561H mutation, previously described in Rwanda, was first seen in southwestern Uganda in 2021, </w:t>
      </w:r>
      <w:r w:rsidRPr="008F4991">
        <w:rPr>
          <w:color w:val="4D4D4D"/>
          <w:szCs w:val="24"/>
          <w:highlight w:val="yellow"/>
          <w:lang w:val="en-US" w:eastAsia="ja-JP"/>
        </w:rPr>
        <w:t>reaching a prevalence of 23% by 2022</w:t>
      </w:r>
      <w:r w:rsidRPr="007D0FBD">
        <w:rPr>
          <w:color w:val="4D4D4D"/>
          <w:szCs w:val="24"/>
          <w:lang w:val="en-US" w:eastAsia="ja-JP"/>
        </w:rPr>
        <w:t xml:space="preserve">. The 441L mutation </w:t>
      </w:r>
      <w:r w:rsidRPr="008F4991">
        <w:rPr>
          <w:color w:val="4D4D4D"/>
          <w:szCs w:val="24"/>
          <w:highlight w:val="yellow"/>
          <w:lang w:val="en-US" w:eastAsia="ja-JP"/>
        </w:rPr>
        <w:t>reached a prevalence of 12 to 23%</w:t>
      </w:r>
      <w:r w:rsidRPr="007D0FBD">
        <w:rPr>
          <w:color w:val="4D4D4D"/>
          <w:szCs w:val="24"/>
          <w:lang w:val="en-US" w:eastAsia="ja-JP"/>
        </w:rPr>
        <w:t xml:space="preserve"> in three districts in western Uganda in 2022. Genetic analysis indicated local emergence of mutant parasites independent of those in Southeast Asia. The emergence of resistance was observed predominantly in areas where effective malaria control had been discontinued or transmission was unstable.</w:t>
      </w:r>
    </w:p>
    <w:p w14:paraId="68567327" w14:textId="2CCED83D" w:rsidR="007D0FBD" w:rsidRDefault="007D0FBD" w:rsidP="007D0FBD">
      <w:pPr>
        <w:pStyle w:val="a6"/>
        <w:numPr>
          <w:ilvl w:val="0"/>
          <w:numId w:val="3"/>
        </w:numPr>
        <w:rPr>
          <w:color w:val="4D4D4D"/>
          <w:szCs w:val="24"/>
          <w:lang w:val="en-US" w:eastAsia="ja-JP"/>
        </w:rPr>
      </w:pPr>
      <w:proofErr w:type="spellStart"/>
      <w:r w:rsidRPr="007D0FBD">
        <w:rPr>
          <w:color w:val="4D4D4D"/>
          <w:szCs w:val="24"/>
          <w:lang w:val="en-US" w:eastAsia="ja-JP"/>
        </w:rPr>
        <w:t>процентная</w:t>
      </w:r>
      <w:proofErr w:type="spellEnd"/>
      <w:r w:rsidRPr="007D0FBD">
        <w:rPr>
          <w:color w:val="4D4D4D"/>
          <w:szCs w:val="24"/>
          <w:lang w:val="en-US" w:eastAsia="ja-JP"/>
        </w:rPr>
        <w:t xml:space="preserve"> </w:t>
      </w:r>
      <w:proofErr w:type="spellStart"/>
      <w:r w:rsidRPr="007D0FBD">
        <w:rPr>
          <w:color w:val="4D4D4D"/>
          <w:szCs w:val="24"/>
          <w:lang w:val="en-US" w:eastAsia="ja-JP"/>
        </w:rPr>
        <w:t>заболеваемость</w:t>
      </w:r>
      <w:proofErr w:type="spellEnd"/>
      <w:r w:rsidRPr="007D0FBD">
        <w:rPr>
          <w:color w:val="4D4D4D"/>
          <w:szCs w:val="24"/>
          <w:lang w:val="en-US" w:eastAsia="ja-JP"/>
        </w:rPr>
        <w:t xml:space="preserve"> (incidence proportion)</w:t>
      </w:r>
    </w:p>
    <w:p w14:paraId="164A5BA1" w14:textId="5BFF1640" w:rsidR="007D0FBD" w:rsidRDefault="007816A7" w:rsidP="007816A7">
      <w:pPr>
        <w:pStyle w:val="a6"/>
        <w:ind w:left="0"/>
        <w:rPr>
          <w:color w:val="4D4D4D"/>
          <w:szCs w:val="24"/>
          <w:lang w:val="en-US" w:eastAsia="ja-JP"/>
        </w:rPr>
      </w:pPr>
      <w:r w:rsidRPr="007816A7">
        <w:rPr>
          <w:color w:val="4D4D4D"/>
          <w:szCs w:val="24"/>
          <w:lang w:val="en-US" w:eastAsia="ja-JP"/>
        </w:rPr>
        <w:t>Tori L. Cowger</w:t>
      </w:r>
      <w:r>
        <w:rPr>
          <w:color w:val="4D4D4D"/>
          <w:szCs w:val="24"/>
          <w:lang w:val="en-US" w:eastAsia="ja-JP"/>
        </w:rPr>
        <w:t xml:space="preserve"> et al. </w:t>
      </w:r>
      <w:r w:rsidRPr="007816A7">
        <w:rPr>
          <w:color w:val="4D4D4D"/>
          <w:szCs w:val="24"/>
          <w:lang w:val="en-US" w:eastAsia="ja-JP"/>
        </w:rPr>
        <w:t>Lifting Universal Masking in Schools — Covid-19 Incidence among Students and Staff</w:t>
      </w:r>
      <w:r>
        <w:rPr>
          <w:color w:val="4D4D4D"/>
          <w:szCs w:val="24"/>
          <w:lang w:val="en-US" w:eastAsia="ja-JP"/>
        </w:rPr>
        <w:t xml:space="preserve">, 2022. </w:t>
      </w:r>
      <w:hyperlink r:id="rId5" w:history="1">
        <w:r w:rsidRPr="00F87F9D">
          <w:rPr>
            <w:rStyle w:val="a4"/>
            <w:szCs w:val="24"/>
            <w:lang w:val="en-US" w:eastAsia="ja-JP"/>
          </w:rPr>
          <w:t>https://www.nejm.org/doi/full/10.1056/NEJMoa2211029</w:t>
        </w:r>
      </w:hyperlink>
    </w:p>
    <w:p w14:paraId="3473FB37" w14:textId="77777777" w:rsidR="007816A7" w:rsidRPr="007816A7" w:rsidRDefault="007816A7" w:rsidP="007816A7">
      <w:pPr>
        <w:rPr>
          <w:color w:val="4D4D4D"/>
          <w:szCs w:val="24"/>
          <w:lang w:val="en-US" w:eastAsia="ja-JP"/>
        </w:rPr>
      </w:pPr>
      <w:r w:rsidRPr="007816A7">
        <w:rPr>
          <w:color w:val="4D4D4D"/>
          <w:szCs w:val="24"/>
          <w:lang w:val="en-US" w:eastAsia="ja-JP"/>
        </w:rPr>
        <w:t>RESULTS</w:t>
      </w:r>
    </w:p>
    <w:p w14:paraId="2E69331C" w14:textId="60792F5E" w:rsidR="007816A7" w:rsidRPr="007816A7" w:rsidRDefault="007816A7" w:rsidP="007816A7">
      <w:pPr>
        <w:rPr>
          <w:color w:val="4D4D4D"/>
          <w:szCs w:val="24"/>
          <w:lang w:val="en-US" w:eastAsia="ja-JP"/>
        </w:rPr>
      </w:pPr>
      <w:r w:rsidRPr="007816A7">
        <w:rPr>
          <w:color w:val="4D4D4D"/>
          <w:szCs w:val="24"/>
          <w:lang w:val="en-US" w:eastAsia="ja-JP"/>
        </w:rPr>
        <w:t xml:space="preserve">Before the statewide masking policy was rescinded, trends in the incidence of Covid-19 were similar across school districts. During the 15 weeks after the statewide masking policy was rescinded, the lifting of masking requirements was associated with an additional </w:t>
      </w:r>
      <w:r w:rsidRPr="008F4991">
        <w:rPr>
          <w:color w:val="4D4D4D"/>
          <w:szCs w:val="24"/>
          <w:highlight w:val="yellow"/>
          <w:lang w:val="en-US" w:eastAsia="ja-JP"/>
        </w:rPr>
        <w:t>44.9 cases per 1000 students and staff</w:t>
      </w:r>
      <w:r w:rsidRPr="007816A7">
        <w:rPr>
          <w:color w:val="4D4D4D"/>
          <w:szCs w:val="24"/>
          <w:lang w:val="en-US" w:eastAsia="ja-JP"/>
        </w:rPr>
        <w:t xml:space="preserve"> (95% confidence interval, 32.6 to 57.1), which corresponded to an estimated 11,901 cases and to 29.4% of the cases in all districts during that time. Districts that chose to sustain masking requirements longer tended to have school buildings that were older and in worse condition and to have more students per classroom than districts that chose to lift masking requirements earlier. In addition, these districts had higher percentages of low-income students, students with disabilities, and students who were English-language learners, as well as higher percentages of Black and Latinx students and staff. Our results support universal masking as an important strategy for reducing Covid-19 incidence in schools and loss of in-person school days. As such, we believe that universal masking may be especially useful for mitigating effects of structural racism in schools, including potential deepening of educational inequities.</w:t>
      </w:r>
    </w:p>
    <w:p w14:paraId="6FF8A9BE" w14:textId="3DA9DD32" w:rsidR="007D0FBD" w:rsidRDefault="007D0FBD" w:rsidP="007D0FBD">
      <w:pPr>
        <w:pStyle w:val="a6"/>
        <w:numPr>
          <w:ilvl w:val="0"/>
          <w:numId w:val="3"/>
        </w:numPr>
        <w:rPr>
          <w:color w:val="4D4D4D"/>
          <w:szCs w:val="24"/>
          <w:lang w:val="en-US" w:eastAsia="ja-JP"/>
        </w:rPr>
      </w:pPr>
      <w:proofErr w:type="spellStart"/>
      <w:r w:rsidRPr="007D0FBD">
        <w:rPr>
          <w:color w:val="4D4D4D"/>
          <w:szCs w:val="24"/>
          <w:lang w:val="en-US" w:eastAsia="ja-JP"/>
        </w:rPr>
        <w:t>плотность</w:t>
      </w:r>
      <w:proofErr w:type="spellEnd"/>
      <w:r w:rsidRPr="007D0FBD">
        <w:rPr>
          <w:color w:val="4D4D4D"/>
          <w:szCs w:val="24"/>
          <w:lang w:val="en-US" w:eastAsia="ja-JP"/>
        </w:rPr>
        <w:t xml:space="preserve"> </w:t>
      </w:r>
      <w:proofErr w:type="spellStart"/>
      <w:r w:rsidRPr="007D0FBD">
        <w:rPr>
          <w:color w:val="4D4D4D"/>
          <w:szCs w:val="24"/>
          <w:lang w:val="en-US" w:eastAsia="ja-JP"/>
        </w:rPr>
        <w:t>заболеваемости</w:t>
      </w:r>
      <w:proofErr w:type="spellEnd"/>
      <w:r w:rsidRPr="007D0FBD">
        <w:rPr>
          <w:color w:val="4D4D4D"/>
          <w:szCs w:val="24"/>
          <w:lang w:val="en-US" w:eastAsia="ja-JP"/>
        </w:rPr>
        <w:t xml:space="preserve"> (incidence rate)</w:t>
      </w:r>
    </w:p>
    <w:p w14:paraId="2AE3423A" w14:textId="545EA7CF" w:rsidR="007D0FBD" w:rsidRDefault="007816A7" w:rsidP="007816A7">
      <w:pPr>
        <w:pStyle w:val="a6"/>
        <w:ind w:left="0"/>
        <w:rPr>
          <w:color w:val="4D4D4D"/>
          <w:szCs w:val="24"/>
          <w:lang w:val="en-US" w:eastAsia="ja-JP"/>
        </w:rPr>
      </w:pPr>
      <w:r w:rsidRPr="007816A7">
        <w:rPr>
          <w:color w:val="4D4D4D"/>
          <w:szCs w:val="24"/>
          <w:lang w:val="en-US" w:eastAsia="ja-JP"/>
        </w:rPr>
        <w:t xml:space="preserve">Sharon H.X. </w:t>
      </w:r>
      <w:r>
        <w:rPr>
          <w:color w:val="4D4D4D"/>
          <w:szCs w:val="24"/>
          <w:lang w:val="en-US" w:eastAsia="ja-JP"/>
        </w:rPr>
        <w:t xml:space="preserve">et al. </w:t>
      </w:r>
      <w:r w:rsidRPr="007816A7">
        <w:rPr>
          <w:color w:val="4D4D4D"/>
          <w:szCs w:val="24"/>
          <w:lang w:val="en-US" w:eastAsia="ja-JP"/>
        </w:rPr>
        <w:t>Effectiveness of BNT162b2 Vaccine against Omicron in Children 5 to 11 Years of Age</w:t>
      </w:r>
      <w:r>
        <w:rPr>
          <w:color w:val="4D4D4D"/>
          <w:szCs w:val="24"/>
          <w:lang w:val="en-US" w:eastAsia="ja-JP"/>
        </w:rPr>
        <w:t xml:space="preserve">, 2022. </w:t>
      </w:r>
      <w:r w:rsidRPr="007816A7">
        <w:rPr>
          <w:color w:val="4D4D4D"/>
          <w:szCs w:val="24"/>
          <w:lang w:val="en-US" w:eastAsia="ja-JP"/>
        </w:rPr>
        <w:t>https://www.nejm.org/doi/full/10.1056/NEJMoa2203209</w:t>
      </w:r>
    </w:p>
    <w:p w14:paraId="3E7257C4" w14:textId="77777777" w:rsidR="007816A7" w:rsidRPr="007816A7" w:rsidRDefault="007816A7" w:rsidP="007816A7">
      <w:pPr>
        <w:pStyle w:val="a6"/>
        <w:ind w:left="0"/>
        <w:rPr>
          <w:color w:val="4D4D4D"/>
          <w:szCs w:val="24"/>
          <w:lang w:val="en-US" w:eastAsia="ja-JP"/>
        </w:rPr>
      </w:pPr>
      <w:r w:rsidRPr="007816A7">
        <w:rPr>
          <w:color w:val="4D4D4D"/>
          <w:szCs w:val="24"/>
          <w:lang w:val="en-US" w:eastAsia="ja-JP"/>
        </w:rPr>
        <w:t>RESULTS</w:t>
      </w:r>
    </w:p>
    <w:p w14:paraId="4E589102" w14:textId="439DCB33" w:rsidR="007816A7" w:rsidRPr="007D0FBD" w:rsidRDefault="007816A7" w:rsidP="007816A7">
      <w:pPr>
        <w:pStyle w:val="a6"/>
        <w:ind w:left="0"/>
        <w:rPr>
          <w:color w:val="4D4D4D"/>
          <w:szCs w:val="24"/>
          <w:lang w:val="en-US" w:eastAsia="ja-JP"/>
        </w:rPr>
      </w:pPr>
      <w:r w:rsidRPr="007816A7">
        <w:rPr>
          <w:color w:val="4D4D4D"/>
          <w:szCs w:val="24"/>
          <w:lang w:val="en-US" w:eastAsia="ja-JP"/>
        </w:rPr>
        <w:t xml:space="preserve">A total of 255,936 children were included in the analysis. Among unvaccinated children, the crude incidence rates of all reported SARS-CoV-2 infections, PCR-confirmed SARS-CoV-2 infections, and </w:t>
      </w:r>
      <w:r w:rsidRPr="008F4991">
        <w:rPr>
          <w:color w:val="4D4D4D"/>
          <w:szCs w:val="24"/>
          <w:highlight w:val="yellow"/>
          <w:lang w:val="en-US" w:eastAsia="ja-JP"/>
        </w:rPr>
        <w:t>Covid-19–related hospitalizations were 3303.5, 473.8, and 30.0 per 1 million person-days, respectively.</w:t>
      </w:r>
      <w:r w:rsidRPr="007816A7">
        <w:rPr>
          <w:color w:val="4D4D4D"/>
          <w:szCs w:val="24"/>
          <w:lang w:val="en-US" w:eastAsia="ja-JP"/>
        </w:rPr>
        <w:t xml:space="preserve"> Among partially vaccinated children, vaccine effectiveness was 13.6% (95% confidence interval [CI], 11.7 to 15.5) against all SARS-CoV-2 infections, 24.3% (95% CI, 19.5 </w:t>
      </w:r>
      <w:r w:rsidRPr="007816A7">
        <w:rPr>
          <w:color w:val="4D4D4D"/>
          <w:szCs w:val="24"/>
          <w:lang w:val="en-US" w:eastAsia="ja-JP"/>
        </w:rPr>
        <w:lastRenderedPageBreak/>
        <w:t>to 28.9) against PCR-confirmed SARS-CoV-2 infection, and 42.3% (95% CI, 24.9 to 55.7) against Covid-19–related hospitalization; in fully vaccinated children, vaccine effectiveness was 36.8% (95% CI, 35.3 to 38.2), 65.3% (95% CI, 62.0 to 68.3), and 82.7% (95% CI, 74.8 to 88.2), respectively.</w:t>
      </w:r>
    </w:p>
    <w:p w14:paraId="3E453B7A" w14:textId="77777777" w:rsidR="007D0FBD" w:rsidRPr="007D0FBD" w:rsidRDefault="007D0FBD" w:rsidP="007D0FBD">
      <w:pPr>
        <w:pStyle w:val="a6"/>
        <w:numPr>
          <w:ilvl w:val="0"/>
          <w:numId w:val="3"/>
        </w:numPr>
        <w:rPr>
          <w:color w:val="4D4D4D"/>
          <w:szCs w:val="24"/>
          <w:lang w:val="en-US" w:eastAsia="ja-JP"/>
        </w:rPr>
      </w:pPr>
      <w:proofErr w:type="spellStart"/>
      <w:r w:rsidRPr="007D0FBD">
        <w:rPr>
          <w:color w:val="4D4D4D"/>
          <w:szCs w:val="24"/>
          <w:lang w:val="en-US" w:eastAsia="ja-JP"/>
        </w:rPr>
        <w:t>оценка</w:t>
      </w:r>
      <w:proofErr w:type="spellEnd"/>
      <w:r w:rsidRPr="007D0FBD">
        <w:rPr>
          <w:color w:val="4D4D4D"/>
          <w:szCs w:val="24"/>
          <w:lang w:val="en-US" w:eastAsia="ja-JP"/>
        </w:rPr>
        <w:t xml:space="preserve"> </w:t>
      </w:r>
      <w:proofErr w:type="spellStart"/>
      <w:r w:rsidRPr="007D0FBD">
        <w:rPr>
          <w:color w:val="4D4D4D"/>
          <w:szCs w:val="24"/>
          <w:lang w:val="en-US" w:eastAsia="ja-JP"/>
        </w:rPr>
        <w:t>накопленной</w:t>
      </w:r>
      <w:proofErr w:type="spellEnd"/>
      <w:r w:rsidRPr="007D0FBD">
        <w:rPr>
          <w:color w:val="4D4D4D"/>
          <w:szCs w:val="24"/>
          <w:lang w:val="en-US" w:eastAsia="ja-JP"/>
        </w:rPr>
        <w:t xml:space="preserve"> </w:t>
      </w:r>
      <w:proofErr w:type="spellStart"/>
      <w:r w:rsidRPr="007D0FBD">
        <w:rPr>
          <w:color w:val="4D4D4D"/>
          <w:szCs w:val="24"/>
          <w:lang w:val="en-US" w:eastAsia="ja-JP"/>
        </w:rPr>
        <w:t>вероятности</w:t>
      </w:r>
      <w:proofErr w:type="spellEnd"/>
      <w:r w:rsidRPr="007D0FBD">
        <w:rPr>
          <w:color w:val="4D4D4D"/>
          <w:szCs w:val="24"/>
          <w:lang w:val="en-US" w:eastAsia="ja-JP"/>
        </w:rPr>
        <w:t xml:space="preserve"> (cumulative survival probability/mortality probability)</w:t>
      </w:r>
    </w:p>
    <w:p w14:paraId="3897995C" w14:textId="5099F8E2" w:rsidR="007D0FBD" w:rsidRDefault="007D0FBD" w:rsidP="007D0FBD">
      <w:pPr>
        <w:pStyle w:val="a6"/>
        <w:rPr>
          <w:color w:val="4D4D4D"/>
          <w:szCs w:val="24"/>
          <w:lang w:val="en-US" w:eastAsia="ja-JP"/>
        </w:rPr>
      </w:pPr>
      <w:proofErr w:type="spellStart"/>
      <w:r w:rsidRPr="007D0FBD">
        <w:rPr>
          <w:color w:val="4D4D4D"/>
          <w:szCs w:val="24"/>
          <w:lang w:val="en-US" w:eastAsia="ja-JP"/>
        </w:rPr>
        <w:t>Joo</w:t>
      </w:r>
      <w:proofErr w:type="spellEnd"/>
      <w:r w:rsidRPr="007D0FBD">
        <w:rPr>
          <w:color w:val="4D4D4D"/>
          <w:szCs w:val="24"/>
          <w:lang w:val="en-US" w:eastAsia="ja-JP"/>
        </w:rPr>
        <w:t xml:space="preserve"> Myung Lee</w:t>
      </w:r>
      <w:r>
        <w:rPr>
          <w:color w:val="4D4D4D"/>
          <w:szCs w:val="24"/>
          <w:lang w:val="en-US" w:eastAsia="ja-JP"/>
        </w:rPr>
        <w:t xml:space="preserve"> et al. </w:t>
      </w:r>
      <w:r w:rsidRPr="007D0FBD">
        <w:rPr>
          <w:color w:val="4D4D4D"/>
          <w:szCs w:val="24"/>
          <w:lang w:val="en-US" w:eastAsia="ja-JP"/>
        </w:rPr>
        <w:t>Intravascular Imaging–Guided or Angiography-Guided Complex PCI</w:t>
      </w:r>
      <w:r w:rsidR="007816A7">
        <w:rPr>
          <w:color w:val="4D4D4D"/>
          <w:szCs w:val="24"/>
          <w:lang w:val="en-US" w:eastAsia="ja-JP"/>
        </w:rPr>
        <w:t xml:space="preserve">, 2023. </w:t>
      </w:r>
      <w:hyperlink r:id="rId6" w:history="1">
        <w:r w:rsidR="007816A7" w:rsidRPr="00F87F9D">
          <w:rPr>
            <w:rStyle w:val="a4"/>
            <w:szCs w:val="24"/>
            <w:lang w:val="en-US" w:eastAsia="ja-JP"/>
          </w:rPr>
          <w:t>https://www.nejm.org/doi/full/10.1056/NEJMoa2216607</w:t>
        </w:r>
      </w:hyperlink>
      <w:r>
        <w:rPr>
          <w:color w:val="4D4D4D"/>
          <w:szCs w:val="24"/>
          <w:lang w:val="en-US" w:eastAsia="ja-JP"/>
        </w:rPr>
        <w:t xml:space="preserve"> </w:t>
      </w:r>
    </w:p>
    <w:p w14:paraId="26B4811F" w14:textId="77777777" w:rsidR="007816A7" w:rsidRPr="007816A7" w:rsidRDefault="007816A7" w:rsidP="007816A7">
      <w:pPr>
        <w:rPr>
          <w:color w:val="4D4D4D"/>
          <w:szCs w:val="24"/>
          <w:lang w:val="en-US" w:eastAsia="ja-JP"/>
        </w:rPr>
      </w:pPr>
      <w:r w:rsidRPr="007816A7">
        <w:rPr>
          <w:color w:val="4D4D4D"/>
          <w:szCs w:val="24"/>
          <w:lang w:val="en-US" w:eastAsia="ja-JP"/>
        </w:rPr>
        <w:t>RESULTS</w:t>
      </w:r>
    </w:p>
    <w:p w14:paraId="3DEDCEBE" w14:textId="75CA54E8" w:rsidR="007816A7" w:rsidRPr="007816A7" w:rsidRDefault="007816A7" w:rsidP="007816A7">
      <w:pPr>
        <w:rPr>
          <w:color w:val="4D4D4D"/>
          <w:szCs w:val="24"/>
          <w:lang w:val="en-US" w:eastAsia="ja-JP"/>
        </w:rPr>
      </w:pPr>
      <w:r w:rsidRPr="007816A7">
        <w:rPr>
          <w:color w:val="4D4D4D"/>
          <w:szCs w:val="24"/>
          <w:lang w:val="en-US" w:eastAsia="ja-JP"/>
        </w:rPr>
        <w:t>A total of 1639 patients underwent randomization, with 1092 assigned to undergo intravascular imaging–guided PCI and 547 assigned to undergo angiography-guided PCI. At a median follow-up of 2.1 years (interquartile range, 1.4 to 3.0), a primary end-point event had occurred in 76 patients (</w:t>
      </w:r>
      <w:r w:rsidRPr="008F4991">
        <w:rPr>
          <w:color w:val="4D4D4D"/>
          <w:szCs w:val="24"/>
          <w:highlight w:val="yellow"/>
          <w:lang w:val="en-US" w:eastAsia="ja-JP"/>
        </w:rPr>
        <w:t>cumulative incidence, 7.7%</w:t>
      </w:r>
      <w:r w:rsidRPr="007816A7">
        <w:rPr>
          <w:color w:val="4D4D4D"/>
          <w:szCs w:val="24"/>
          <w:lang w:val="en-US" w:eastAsia="ja-JP"/>
        </w:rPr>
        <w:t>) in the intravascular imaging group and in 60 patients (</w:t>
      </w:r>
      <w:r w:rsidRPr="008F4991">
        <w:rPr>
          <w:color w:val="4D4D4D"/>
          <w:szCs w:val="24"/>
          <w:highlight w:val="yellow"/>
          <w:lang w:val="en-US" w:eastAsia="ja-JP"/>
        </w:rPr>
        <w:t>cumulative incidence, 12.3%</w:t>
      </w:r>
      <w:r w:rsidRPr="007816A7">
        <w:rPr>
          <w:color w:val="4D4D4D"/>
          <w:szCs w:val="24"/>
          <w:lang w:val="en-US" w:eastAsia="ja-JP"/>
        </w:rPr>
        <w:t>) in the angiography group (hazard ratio, 0.64; 95% confidence interval, 0.45 to 0.89; P=0.008). Death from cardiac causes occurred in 16 patients (</w:t>
      </w:r>
      <w:r w:rsidRPr="008F4991">
        <w:rPr>
          <w:color w:val="4D4D4D"/>
          <w:szCs w:val="24"/>
          <w:highlight w:val="yellow"/>
          <w:lang w:val="en-US" w:eastAsia="ja-JP"/>
        </w:rPr>
        <w:t>cumulative incidence, 1.7%</w:t>
      </w:r>
      <w:r w:rsidRPr="007816A7">
        <w:rPr>
          <w:color w:val="4D4D4D"/>
          <w:szCs w:val="24"/>
          <w:lang w:val="en-US" w:eastAsia="ja-JP"/>
        </w:rPr>
        <w:t>) in the intravascular imaging group and in 17 patients (</w:t>
      </w:r>
      <w:r w:rsidRPr="008F4991">
        <w:rPr>
          <w:color w:val="4D4D4D"/>
          <w:szCs w:val="24"/>
          <w:highlight w:val="yellow"/>
          <w:lang w:val="en-US" w:eastAsia="ja-JP"/>
        </w:rPr>
        <w:t>cumulative incidence, 3.8%</w:t>
      </w:r>
      <w:r w:rsidRPr="007816A7">
        <w:rPr>
          <w:color w:val="4D4D4D"/>
          <w:szCs w:val="24"/>
          <w:lang w:val="en-US" w:eastAsia="ja-JP"/>
        </w:rPr>
        <w:t>) in the angiography group; target-vessel–related myocardial infarction occurred in 38 (</w:t>
      </w:r>
      <w:r w:rsidRPr="008F4991">
        <w:rPr>
          <w:color w:val="4D4D4D"/>
          <w:szCs w:val="24"/>
          <w:highlight w:val="yellow"/>
          <w:lang w:val="en-US" w:eastAsia="ja-JP"/>
        </w:rPr>
        <w:t>cumulative incidence, 3.7%</w:t>
      </w:r>
      <w:r w:rsidRPr="007816A7">
        <w:rPr>
          <w:color w:val="4D4D4D"/>
          <w:szCs w:val="24"/>
          <w:lang w:val="en-US" w:eastAsia="ja-JP"/>
        </w:rPr>
        <w:t>) and 30 (</w:t>
      </w:r>
      <w:r w:rsidRPr="008F4991">
        <w:rPr>
          <w:color w:val="4D4D4D"/>
          <w:szCs w:val="24"/>
          <w:highlight w:val="yellow"/>
          <w:lang w:val="en-US" w:eastAsia="ja-JP"/>
        </w:rPr>
        <w:t>cumulative incidence, 5.6%</w:t>
      </w:r>
      <w:r w:rsidRPr="007816A7">
        <w:rPr>
          <w:color w:val="4D4D4D"/>
          <w:szCs w:val="24"/>
          <w:lang w:val="en-US" w:eastAsia="ja-JP"/>
        </w:rPr>
        <w:t>), respectively; and clinically driven target-vessel revascularization in 32 (</w:t>
      </w:r>
      <w:r w:rsidRPr="008F4991">
        <w:rPr>
          <w:color w:val="4D4D4D"/>
          <w:szCs w:val="24"/>
          <w:highlight w:val="yellow"/>
          <w:lang w:val="en-US" w:eastAsia="ja-JP"/>
        </w:rPr>
        <w:t>cumulative incidence, 3.4%</w:t>
      </w:r>
      <w:r w:rsidRPr="007816A7">
        <w:rPr>
          <w:color w:val="4D4D4D"/>
          <w:szCs w:val="24"/>
          <w:lang w:val="en-US" w:eastAsia="ja-JP"/>
        </w:rPr>
        <w:t>) and 25 (</w:t>
      </w:r>
      <w:r w:rsidRPr="008F4991">
        <w:rPr>
          <w:color w:val="4D4D4D"/>
          <w:szCs w:val="24"/>
          <w:highlight w:val="yellow"/>
          <w:lang w:val="en-US" w:eastAsia="ja-JP"/>
        </w:rPr>
        <w:t>cumulative incidence, 5.5%</w:t>
      </w:r>
      <w:r w:rsidRPr="007816A7">
        <w:rPr>
          <w:color w:val="4D4D4D"/>
          <w:szCs w:val="24"/>
          <w:lang w:val="en-US" w:eastAsia="ja-JP"/>
        </w:rPr>
        <w:t>), respectively. There were no apparent between-group differences in the incidence of procedure-related safety events.</w:t>
      </w:r>
    </w:p>
    <w:sectPr w:rsidR="007816A7" w:rsidRPr="007816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E0054"/>
    <w:multiLevelType w:val="hybridMultilevel"/>
    <w:tmpl w:val="4B405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D93E4A"/>
    <w:multiLevelType w:val="hybridMultilevel"/>
    <w:tmpl w:val="AF168F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BF5062"/>
    <w:multiLevelType w:val="multilevel"/>
    <w:tmpl w:val="FEB4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BD"/>
    <w:rsid w:val="001C658E"/>
    <w:rsid w:val="006C725B"/>
    <w:rsid w:val="007816A7"/>
    <w:rsid w:val="007D0FBD"/>
    <w:rsid w:val="008F4991"/>
    <w:rsid w:val="00AC7E89"/>
    <w:rsid w:val="00BD10CC"/>
    <w:rsid w:val="00CA1A9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123"/>
  <w15:chartTrackingRefBased/>
  <w15:docId w15:val="{D4E8C192-B738-4D0F-B3CD-2D8519C3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A99"/>
    <w:pPr>
      <w:spacing w:after="200" w:line="276" w:lineRule="auto"/>
      <w:jc w:val="both"/>
    </w:pPr>
    <w:rPr>
      <w:rFonts w:ascii="Times New Roman" w:eastAsia="Calibri" w:hAnsi="Times New Roman" w:cs="Times New Roman"/>
      <w:sz w:val="24"/>
      <w:lang w:eastAsia="en-US"/>
    </w:rPr>
  </w:style>
  <w:style w:type="paragraph" w:styleId="1">
    <w:name w:val="heading 1"/>
    <w:basedOn w:val="a"/>
    <w:next w:val="a"/>
    <w:link w:val="10"/>
    <w:uiPriority w:val="9"/>
    <w:qFormat/>
    <w:rsid w:val="007D0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D0FBD"/>
    <w:pPr>
      <w:spacing w:before="100" w:beforeAutospacing="1" w:after="100" w:afterAutospacing="1" w:line="240" w:lineRule="auto"/>
      <w:jc w:val="left"/>
      <w:outlineLvl w:val="1"/>
    </w:pPr>
    <w:rPr>
      <w:rFonts w:eastAsia="Times New Roman"/>
      <w:b/>
      <w:bCs/>
      <w:sz w:val="36"/>
      <w:szCs w:val="36"/>
      <w:lang w:eastAsia="ja-JP"/>
    </w:rPr>
  </w:style>
  <w:style w:type="paragraph" w:styleId="4">
    <w:name w:val="heading 4"/>
    <w:basedOn w:val="a"/>
    <w:next w:val="a"/>
    <w:link w:val="40"/>
    <w:qFormat/>
    <w:rsid w:val="00CA1A99"/>
    <w:pPr>
      <w:keepNext/>
      <w:spacing w:before="240" w:after="60" w:line="240" w:lineRule="auto"/>
      <w:jc w:val="center"/>
      <w:outlineLvl w:val="3"/>
    </w:pPr>
    <w:rPr>
      <w:rFonts w:eastAsia="Times New Roman"/>
      <w:b/>
      <w:b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AC7E89"/>
    <w:pPr>
      <w:spacing w:after="0" w:line="240" w:lineRule="auto"/>
      <w:jc w:val="both"/>
    </w:pPr>
    <w:rPr>
      <w:rFonts w:ascii="Times New Roman" w:eastAsiaTheme="minorHAnsi" w:hAnsi="Times New Roman"/>
      <w:sz w:val="24"/>
      <w:lang w:eastAsia="en-US"/>
    </w:rPr>
  </w:style>
  <w:style w:type="character" w:customStyle="1" w:styleId="40">
    <w:name w:val="Заголовок 4 Знак"/>
    <w:basedOn w:val="a0"/>
    <w:link w:val="4"/>
    <w:rsid w:val="00CA1A99"/>
    <w:rPr>
      <w:rFonts w:ascii="Times New Roman" w:eastAsia="Times New Roman" w:hAnsi="Times New Roman" w:cs="Times New Roman"/>
      <w:b/>
      <w:bCs/>
      <w:sz w:val="24"/>
      <w:szCs w:val="28"/>
      <w:lang w:eastAsia="ru-RU"/>
    </w:rPr>
  </w:style>
  <w:style w:type="character" w:styleId="a4">
    <w:name w:val="Hyperlink"/>
    <w:basedOn w:val="a0"/>
    <w:uiPriority w:val="99"/>
    <w:unhideWhenUsed/>
    <w:rsid w:val="007D0FBD"/>
    <w:rPr>
      <w:color w:val="0563C1" w:themeColor="hyperlink"/>
      <w:u w:val="single"/>
    </w:rPr>
  </w:style>
  <w:style w:type="character" w:styleId="a5">
    <w:name w:val="Unresolved Mention"/>
    <w:basedOn w:val="a0"/>
    <w:uiPriority w:val="99"/>
    <w:semiHidden/>
    <w:unhideWhenUsed/>
    <w:rsid w:val="007D0FBD"/>
    <w:rPr>
      <w:color w:val="605E5C"/>
      <w:shd w:val="clear" w:color="auto" w:fill="E1DFDD"/>
    </w:rPr>
  </w:style>
  <w:style w:type="paragraph" w:styleId="a6">
    <w:name w:val="List Paragraph"/>
    <w:basedOn w:val="a"/>
    <w:uiPriority w:val="34"/>
    <w:qFormat/>
    <w:rsid w:val="007D0FBD"/>
    <w:pPr>
      <w:ind w:left="720"/>
      <w:contextualSpacing/>
    </w:pPr>
  </w:style>
  <w:style w:type="character" w:customStyle="1" w:styleId="20">
    <w:name w:val="Заголовок 2 Знак"/>
    <w:basedOn w:val="a0"/>
    <w:link w:val="2"/>
    <w:uiPriority w:val="9"/>
    <w:rsid w:val="007D0FBD"/>
    <w:rPr>
      <w:rFonts w:ascii="Times New Roman" w:eastAsia="Times New Roman" w:hAnsi="Times New Roman" w:cs="Times New Roman"/>
      <w:b/>
      <w:bCs/>
      <w:sz w:val="36"/>
      <w:szCs w:val="36"/>
    </w:rPr>
  </w:style>
  <w:style w:type="paragraph" w:customStyle="1" w:styleId="f-body">
    <w:name w:val="f-body"/>
    <w:basedOn w:val="a"/>
    <w:rsid w:val="007D0FBD"/>
    <w:pPr>
      <w:spacing w:before="100" w:beforeAutospacing="1" w:after="100" w:afterAutospacing="1" w:line="240" w:lineRule="auto"/>
      <w:jc w:val="left"/>
    </w:pPr>
    <w:rPr>
      <w:rFonts w:eastAsia="Times New Roman"/>
      <w:szCs w:val="24"/>
      <w:lang w:eastAsia="ja-JP"/>
    </w:rPr>
  </w:style>
  <w:style w:type="character" w:customStyle="1" w:styleId="10">
    <w:name w:val="Заголовок 1 Знак"/>
    <w:basedOn w:val="a0"/>
    <w:link w:val="1"/>
    <w:uiPriority w:val="9"/>
    <w:rsid w:val="007D0FBD"/>
    <w:rPr>
      <w:rFonts w:asciiTheme="majorHAnsi" w:eastAsiaTheme="majorEastAsia" w:hAnsiTheme="majorHAnsi" w:cstheme="majorBidi"/>
      <w:color w:val="2F5496" w:themeColor="accent1" w:themeShade="BF"/>
      <w:sz w:val="32"/>
      <w:szCs w:val="32"/>
      <w:lang w:eastAsia="en-US"/>
    </w:rPr>
  </w:style>
  <w:style w:type="character" w:styleId="a7">
    <w:name w:val="FollowedHyperlink"/>
    <w:basedOn w:val="a0"/>
    <w:uiPriority w:val="99"/>
    <w:semiHidden/>
    <w:unhideWhenUsed/>
    <w:rsid w:val="007816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6742">
      <w:bodyDiv w:val="1"/>
      <w:marLeft w:val="0"/>
      <w:marRight w:val="0"/>
      <w:marTop w:val="0"/>
      <w:marBottom w:val="0"/>
      <w:divBdr>
        <w:top w:val="none" w:sz="0" w:space="0" w:color="auto"/>
        <w:left w:val="none" w:sz="0" w:space="0" w:color="auto"/>
        <w:bottom w:val="none" w:sz="0" w:space="0" w:color="auto"/>
        <w:right w:val="none" w:sz="0" w:space="0" w:color="auto"/>
      </w:divBdr>
    </w:div>
    <w:div w:id="372272804">
      <w:bodyDiv w:val="1"/>
      <w:marLeft w:val="0"/>
      <w:marRight w:val="0"/>
      <w:marTop w:val="0"/>
      <w:marBottom w:val="0"/>
      <w:divBdr>
        <w:top w:val="none" w:sz="0" w:space="0" w:color="auto"/>
        <w:left w:val="none" w:sz="0" w:space="0" w:color="auto"/>
        <w:bottom w:val="none" w:sz="0" w:space="0" w:color="auto"/>
        <w:right w:val="none" w:sz="0" w:space="0" w:color="auto"/>
      </w:divBdr>
    </w:div>
    <w:div w:id="421070467">
      <w:bodyDiv w:val="1"/>
      <w:marLeft w:val="0"/>
      <w:marRight w:val="0"/>
      <w:marTop w:val="0"/>
      <w:marBottom w:val="0"/>
      <w:divBdr>
        <w:top w:val="none" w:sz="0" w:space="0" w:color="auto"/>
        <w:left w:val="none" w:sz="0" w:space="0" w:color="auto"/>
        <w:bottom w:val="none" w:sz="0" w:space="0" w:color="auto"/>
        <w:right w:val="none" w:sz="0" w:space="0" w:color="auto"/>
      </w:divBdr>
    </w:div>
    <w:div w:id="968128196">
      <w:bodyDiv w:val="1"/>
      <w:marLeft w:val="0"/>
      <w:marRight w:val="0"/>
      <w:marTop w:val="0"/>
      <w:marBottom w:val="0"/>
      <w:divBdr>
        <w:top w:val="none" w:sz="0" w:space="0" w:color="auto"/>
        <w:left w:val="none" w:sz="0" w:space="0" w:color="auto"/>
        <w:bottom w:val="none" w:sz="0" w:space="0" w:color="auto"/>
        <w:right w:val="none" w:sz="0" w:space="0" w:color="auto"/>
      </w:divBdr>
    </w:div>
    <w:div w:id="1115519493">
      <w:bodyDiv w:val="1"/>
      <w:marLeft w:val="0"/>
      <w:marRight w:val="0"/>
      <w:marTop w:val="0"/>
      <w:marBottom w:val="0"/>
      <w:divBdr>
        <w:top w:val="none" w:sz="0" w:space="0" w:color="auto"/>
        <w:left w:val="none" w:sz="0" w:space="0" w:color="auto"/>
        <w:bottom w:val="none" w:sz="0" w:space="0" w:color="auto"/>
        <w:right w:val="none" w:sz="0" w:space="0" w:color="auto"/>
      </w:divBdr>
    </w:div>
    <w:div w:id="1334336259">
      <w:bodyDiv w:val="1"/>
      <w:marLeft w:val="0"/>
      <w:marRight w:val="0"/>
      <w:marTop w:val="0"/>
      <w:marBottom w:val="0"/>
      <w:divBdr>
        <w:top w:val="none" w:sz="0" w:space="0" w:color="auto"/>
        <w:left w:val="none" w:sz="0" w:space="0" w:color="auto"/>
        <w:bottom w:val="none" w:sz="0" w:space="0" w:color="auto"/>
        <w:right w:val="none" w:sz="0" w:space="0" w:color="auto"/>
      </w:divBdr>
    </w:div>
    <w:div w:id="1367562161">
      <w:bodyDiv w:val="1"/>
      <w:marLeft w:val="0"/>
      <w:marRight w:val="0"/>
      <w:marTop w:val="0"/>
      <w:marBottom w:val="0"/>
      <w:divBdr>
        <w:top w:val="none" w:sz="0" w:space="0" w:color="auto"/>
        <w:left w:val="none" w:sz="0" w:space="0" w:color="auto"/>
        <w:bottom w:val="none" w:sz="0" w:space="0" w:color="auto"/>
        <w:right w:val="none" w:sz="0" w:space="0" w:color="auto"/>
      </w:divBdr>
    </w:div>
    <w:div w:id="1604533941">
      <w:bodyDiv w:val="1"/>
      <w:marLeft w:val="0"/>
      <w:marRight w:val="0"/>
      <w:marTop w:val="0"/>
      <w:marBottom w:val="0"/>
      <w:divBdr>
        <w:top w:val="none" w:sz="0" w:space="0" w:color="auto"/>
        <w:left w:val="none" w:sz="0" w:space="0" w:color="auto"/>
        <w:bottom w:val="none" w:sz="0" w:space="0" w:color="auto"/>
        <w:right w:val="none" w:sz="0" w:space="0" w:color="auto"/>
      </w:divBdr>
    </w:div>
    <w:div w:id="167051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jm.org/doi/full/10.1056/NEJMoa2216607" TargetMode="External"/><Relationship Id="rId5" Type="http://schemas.openxmlformats.org/officeDocument/2006/relationships/hyperlink" Target="https://www.nejm.org/doi/full/10.1056/NEJMoa2211029"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757</Words>
  <Characters>4316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cp:revision>
  <dcterms:created xsi:type="dcterms:W3CDTF">2023-09-17T05:38:00Z</dcterms:created>
  <dcterms:modified xsi:type="dcterms:W3CDTF">2023-09-17T06:08:00Z</dcterms:modified>
</cp:coreProperties>
</file>