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numPr>
          <w:ilvl w:val="0"/>
          <w:numId w:val="6"/>
        </w:numPr>
        <w:spacing w:after="240" w:before="0" w:line="276" w:lineRule="auto"/>
        <w:ind w:left="709" w:hanging="851"/>
        <w:rPr/>
      </w:pPr>
      <w:bookmarkStart w:colFirst="0" w:colLast="0" w:name="_heading=h.gjdgxs" w:id="0"/>
      <w:bookmarkEnd w:id="0"/>
      <w:r w:rsidDel="00000000" w:rsidR="00000000" w:rsidRPr="00000000">
        <w:rPr>
          <w:smallCaps w:val="1"/>
          <w:sz w:val="28"/>
          <w:szCs w:val="28"/>
          <w:rtl w:val="0"/>
        </w:rPr>
        <w:t xml:space="preserve">СТАТИСТИЧЕСКАЯ ОБРАБОТКА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1"/>
          <w:numId w:val="6"/>
        </w:numPr>
        <w:spacing w:after="120" w:before="0" w:line="276" w:lineRule="auto"/>
        <w:ind w:left="709" w:hanging="709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Программное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Статистический анализ будет проводиться с помощью пакета 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версия 4.3.1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с использованием специализированного программного обеспечения Rstudio.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1"/>
          <w:numId w:val="6"/>
        </w:numPr>
        <w:spacing w:after="120" w:before="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Представление данных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Все количественные показатели будут представлены в виде следующих параметров описательной статистики: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Количество наблюдений;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Среднее арифметическое;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95% доверительный интервал (ДИ) для среднего;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Стандартное отклонение;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      Коэффициент вариации;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Медиана;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Межквартильный размах;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Минимальное значение;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Максимальное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Все порядковые, и качественные показатели будут представлены в виде следующих параметров описательной статистики: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Абсолютная частота (количество наблюдений);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Относительная частота (в процентах).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Все выполненные виды статистического анализа будут идентичны в отношении исследуемого препарата и в группе препарата сравнения. Сопутствующие заболевания и НЯ будут кодироваться с использованием словаря терминов MedDRA текущей версии.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1"/>
          <w:numId w:val="6"/>
        </w:numPr>
        <w:spacing w:after="120" w:before="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Демографические и иные исходные данные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Все данные, полученные в группах до начала применения исследуемого препарата или препарата сравнения (демографические данные, лабораторные данные, данные инструментальных и физикальных методов обследования, показатели жизнедеятельности и т. п.) будут сравниваться с целью определения сопоставимости групп для анализа. Для сравнения количественных данных планируется использовать стандартные параметрические критерии: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-критерий Стьюдента для зависимых/независимых выборок, дисперсионный анализ (ANOVA) для повторных измерений. Сравнение частот показателей между группами лечения будет проводиться с  помощью критерия χ2 Пирсона или точного критерия Фишера.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случае, если какие-либо из исходных данных выявят существенную несопоставимость исследовательских групп (статистически и клинически значимые различия в демографических и других исходных данных между группами), будет дополнительно проведен анализ параметров эффективности и безопасности вместе с первичным плановым анализом с использованием многофакторной статистики (линейная или логистическая регрессия в зависимости от типа исследуемого параметра) с поправкой на исходный(ые) показатель(и), по которым  группы исходно различались.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1"/>
          <w:numId w:val="6"/>
        </w:numPr>
        <w:spacing w:after="120" w:before="0" w:line="276" w:lineRule="auto"/>
        <w:ind w:left="709" w:hanging="709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sz w:val="24"/>
          <w:szCs w:val="24"/>
          <w:rtl w:val="0"/>
        </w:rPr>
        <w:t xml:space="preserve">Анализ первичной конечной точки эффективности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проверки основной гипотезы исследования в качестве первичной конечной точки выбрано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приливов в течение 24 часов.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анализа данной конечной точки планируется построение одностороннего 97.5% доверительного интервала для разницы в средних (двустороннего 95% ДИ).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Критерий превосходства определяется условием, при котором нижняя граница 97.5% доверительного интервала для разности средних превышает пороговое значение в 2 прилива в течение 24 часов по сравнению с плацебо. Сравнение групп планируется проводить с помощью  t-критерия Стьюдента для независимых выборок.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1"/>
          <w:numId w:val="6"/>
        </w:numPr>
        <w:spacing w:after="120" w:before="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sz w:val="24"/>
          <w:szCs w:val="24"/>
          <w:rtl w:val="0"/>
        </w:rPr>
        <w:t xml:space="preserve">Анализ вторичных конечных точек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исследовании выбраны следующие вторичные конечные точки:</w:t>
      </w:r>
    </w:p>
    <w:p w:rsidR="00000000" w:rsidDel="00000000" w:rsidP="00000000" w:rsidRDefault="00000000" w:rsidRPr="00000000" w14:paraId="0000001C">
      <w:pPr>
        <w:tabs>
          <w:tab w:val="center" w:leader="none" w:pos="4677"/>
          <w:tab w:val="right" w:leader="none" w:pos="9355"/>
        </w:tabs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Общая длительность периодов приливов в течение 24-х часов (в минутах). </w:t>
      </w:r>
    </w:p>
    <w:p w:rsidR="00000000" w:rsidDel="00000000" w:rsidP="00000000" w:rsidRDefault="00000000" w:rsidRPr="00000000" w14:paraId="0000001D">
      <w:pPr>
        <w:tabs>
          <w:tab w:val="center" w:leader="none" w:pos="4677"/>
          <w:tab w:val="right" w:leader="none" w:pos="9355"/>
        </w:tabs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Доля случаев, в которых снижение суммы баллов по опроснику Куппермана составило 25% и более по сравнению с исходной суммой баллов на визите 1. </w:t>
      </w:r>
    </w:p>
    <w:p w:rsidR="00000000" w:rsidDel="00000000" w:rsidP="00000000" w:rsidRDefault="00000000" w:rsidRPr="00000000" w14:paraId="0000001E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Снижение среднесуточного систолического и диастолического артериального давления по сравнению с исходными значениями в мм рт.ст.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анализе вторичных конечных точек будут использованы следующие методы: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сравнение частотных переменных будет производиться с помощью критерия хи-квадрат с расчетом отношения шансов;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сравнение величин, относящихся к различным шкалам (баллы по шкал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Куппермана) и сравнению длительнос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будет осуществляться с помощью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-теста.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описании всех оцениваемых величин, будут представлены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-значения, так и точечные оценки с соответствующими доверительными интервалами: односторонний 97.5% для п.1 и п. 3 и 95% для п. 2.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1"/>
          <w:numId w:val="6"/>
        </w:numPr>
        <w:spacing w:after="12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Анализ параметров безопасности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Оценка безопасности будет включать в себя определение общего количества, частоты и степени тяжести: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Нежелательных явлений (НЯ), независимо от их взаимосвязи с лечением;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НЯ, связанных или возможно связанных с применением препарата;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НЯ, требующих прекращения терапии.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Неблагоприятные события будут закодированы с помощью номенклатуры MedDRA в последней версии. Они будут представлены предпочтительным термином (PT) и классом системного органа (SOC).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Для представления результатов будут использованы методы описательной статистики. Сравнение частоты новых случаев НЯ в исследуемых группах будет проводиться с использованием точного критерия Фишера или критерия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Пирсона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 в зависимости от количества наблюдений в одной ячейке (&lt;5 или ≥5).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Изменения результатов лабораторных исследований с течением времени и частота патологических отклонений результатов исследований от нормы (исходя из референсных значений центральной лаборатории) будут обобщены по группам, а также будет проведено сравнение между группами с помощью соответствующих тестов для количественных и качественных данных.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по безопасности будут анализироваться с использованием методов, обозначенных для применения оценки данных по эффективности.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numPr>
          <w:ilvl w:val="1"/>
          <w:numId w:val="6"/>
        </w:numPr>
        <w:spacing w:after="120" w:before="0" w:line="276" w:lineRule="auto"/>
        <w:ind w:left="709" w:hanging="709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Промежуточный анализ данных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Промежуточный анализ данных не планируется в настоящем исследовании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1"/>
          <w:numId w:val="6"/>
        </w:numPr>
        <w:spacing w:after="120" w:before="0" w:line="276" w:lineRule="auto"/>
        <w:ind w:left="709" w:hanging="709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Расчет объема выборки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Статистической целью настоящего исследования является доказательство превосходства. 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оценки превосходства препарата используем односторонний t-тест.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исходных параметров были взяты следующие значения: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работы [1] следует, что уменьшение приливов в сутки составляет от 3.42 до 4.2 (среднее значение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Граница не меньшей эффективности δ = -2.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данных работ [1] также следует, что стандартное отклонение для снижения по количества приливов в сутки вне зависимости от возраста и группы (T/R) составляет приблизительно от 2.38 до 2.58 (среднее σ = 2.4).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Односторонняя величина ошибки I рода (α) составляет 0.025; мощность: 80%.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статистическая гипотеза при использовании одностороннего ДИ: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H0: 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highlight w:val="white"/>
              <w:rtl w:val="0"/>
            </w:rPr>
            <w:t xml:space="preserve">≥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δ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H1: 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Используем функцию epi.sssupc из пакета epiR (версия 2.0.67) в статистической программе R (версия 4.3.1) для оценки объема выборки. Учтем, что для δ &lt; 0 и меняем местами treat и control для получения правильного. Далее представлен код 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epi.sssupc(</w:t>
        <w:br w:type="textWrapping"/>
        <w:t xml:space="preserve"> </w:t>
        <w:tab/>
        <w:t xml:space="preserve">treat = 6,</w:t>
        <w:br w:type="textWrapping"/>
        <w:t xml:space="preserve"> </w:t>
        <w:tab/>
        <w:t xml:space="preserve">control = 2,</w:t>
        <w:br w:type="textWrapping"/>
        <w:t xml:space="preserve"> </w:t>
        <w:tab/>
        <w:t xml:space="preserve">sigma = 2.4,</w:t>
        <w:br w:type="textWrapping"/>
        <w:t xml:space="preserve"> </w:t>
        <w:tab/>
        <w:t xml:space="preserve">delta = 2,</w:t>
        <w:br w:type="textWrapping"/>
        <w:t xml:space="preserve"> </w:t>
        <w:tab/>
        <w:t xml:space="preserve">n = NA,</w:t>
        <w:br w:type="textWrapping"/>
        <w:t xml:space="preserve"> </w:t>
        <w:tab/>
        <w:t xml:space="preserve">r = 1,</w:t>
        <w:br w:type="textWrapping"/>
        <w:t xml:space="preserve"> </w:t>
        <w:tab/>
        <w:t xml:space="preserve">alpha = 0.025,</w:t>
        <w:br w:type="textWrapping"/>
        <w:t xml:space="preserve"> </w:t>
        <w:tab/>
        <w:t xml:space="preserve">power = 0.8</w:t>
        <w:br w:type="textWrapping"/>
        <w:t xml:space="preserve"> )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  n.total n.treat n.control delta power</w:t>
        <w:br w:type="textWrapping"/>
        <w:t xml:space="preserve"> ## 1      46  </w:t>
        <w:tab/>
        <w:t xml:space="preserve">23    </w:t>
        <w:tab/>
        <w:t xml:space="preserve">23     2   0.8</w:t>
      </w:r>
    </w:p>
    <w:p w:rsidR="00000000" w:rsidDel="00000000" w:rsidP="00000000" w:rsidRDefault="00000000" w:rsidRPr="00000000" w14:paraId="0000003F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получено, что минимально необходимый объем выборки для проведения исследования равен 46 (по 23 пациенту в каждую группу). С учетом 10% выбываемости, объем выборки составит 52 пациента (по 26 пациенту в каждую группу).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numPr>
          <w:ilvl w:val="1"/>
          <w:numId w:val="6"/>
        </w:numPr>
        <w:spacing w:after="120" w:before="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Rule="auto"/>
        <w:ind w:left="585" w:hanging="4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Abbaspoor, Zahra. (2011). Effect of Vitex agnus-castus on Menopausal Early Symptoms in Postmenopausal Women: A Randomized, Double Blind, Placebo – Controlled Study. British Journal of Medicine and Medical Research. 1. 132-140. 10.9734/BJMMR/2011/163.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Rule="auto"/>
        <w:ind w:left="585" w:hanging="4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Wetzel, W. (2007). Alternative and complementary therapy. In: Lowdermilk DL, Perry SE, eds. Maternity and Women's Health. Philadelphia, PA, Mosby Elsevier, 85.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Rule="auto"/>
        <w:ind w:left="585" w:hanging="4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Keenan, N.L., Mark, S., Fugh-Berman, A., Browne, D., Kaczmarczyk, J., Hunter C. (2003). Severity of menopausal symptoms and use of both conventional and complementary/alternative therapies. Menopause,10, 507-515.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Rule="auto"/>
        <w:ind w:left="585" w:hanging="4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Newton, K.M., Buist, D.S., Keenan, N.L., Anderson, L.A., LaCroix, A.Z. (2002). Use of alternative therapies for menopause symptoms: results of a population-based survey. Obstet Gynecol., 100, 18-25.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ind w:left="58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numPr>
          <w:ilvl w:val="1"/>
          <w:numId w:val="6"/>
        </w:numPr>
        <w:spacing w:after="120" w:before="0" w:line="276" w:lineRule="auto"/>
        <w:ind w:left="709" w:hanging="709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sz w:val="24"/>
          <w:szCs w:val="24"/>
          <w:rtl w:val="0"/>
        </w:rPr>
        <w:t xml:space="preserve">Применяемый уровень значимости клинического исследования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зависимости от проверяемой гипотезы будут проводиться тесты при 97,5% уровне доверия для односторонних тестов, 95% - для двусторонних (пороговое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подтверждения статистической значимости – 0,025 и 0.05 соответственно).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numPr>
          <w:ilvl w:val="1"/>
          <w:numId w:val="6"/>
        </w:numPr>
        <w:spacing w:after="120" w:before="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sz w:val="24"/>
          <w:szCs w:val="24"/>
          <w:rtl w:val="0"/>
        </w:rPr>
        <w:t xml:space="preserve">Процедуры учета отсутствующих, не подлежащих анализу и сомнительных данных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ходе мониторинговых визитов в клинический центр специалисты по клиническим исследованиям (мониторы), уполномоченные спонсором, проведут анализ ИРК субъектов исследования на предмет отсутствия в них необходимых данных. В случае отсутствия данных в ИРК и наличия соответствующей информации в первичной документации, будут сформулированы запросы к исследователям и предписания по устранению несоответствий. 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Менеджеры по контролю и обработке данных при проверке базы данных результатов исследования проведут анализ на предмет наличия сомнительных, пропущенных и не подлежащих анализу данных, по результатам которого могут быть также сформулированы запросы к исследователям. Исследователи, по возможности, устранят выявленные ошибки в ИРК и проинформируют об этом главного исследователя и уполномоченных представителей спонсора. Если выявленные ошибки в данных будет невозможно устранить после завершения участия пациентов в исследовании, в ходе статистического анализа данных будет проводиться анализ чувствительности результирующих параметров к наличию сомнительных данных. 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 пропущенных, сомнительных и не подлежащих анализу данных будет представлена в финальном отчете о клиническом исследовании. Для всех видов конечных точек и иных параметров анализ будет проведен только на фактически доступной информации, без восполнения данных методами предсказательной статистики (т.н. imputation).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numPr>
          <w:ilvl w:val="1"/>
          <w:numId w:val="6"/>
        </w:numPr>
        <w:spacing w:after="120" w:before="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sz w:val="24"/>
          <w:szCs w:val="24"/>
          <w:rtl w:val="0"/>
        </w:rPr>
        <w:t xml:space="preserve">Процедуры сообщения о любых отклонениях от первоначального статистического плана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Все отклонения от первоначального статистического плана должны быть описаны и обоснованы в поправке к протоколу и/или финальном отчете об исследовании (в последнем случае, план статистического анализа, разрабатываемый до начала проведения финального статистического анализа, должен содержать список данных отклонений с обоснованием причин для отклонения от статистического плана по протоколу).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numPr>
          <w:ilvl w:val="1"/>
          <w:numId w:val="6"/>
        </w:numPr>
        <w:spacing w:after="120" w:before="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sz w:val="24"/>
          <w:szCs w:val="24"/>
          <w:rtl w:val="0"/>
        </w:rPr>
        <w:t xml:space="preserve">Исследуемые популяции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проведения анализа будут использованы следующие популяции добровольцев: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Популяция всех включенных пациентов (intention-to-treat, ITT): все рандомизированные субъекты, применившие хотя бы одну дозу исследуемого препарата/плацебо и завершившие хотя </w:t>
        <w:tab/>
        <w:t xml:space="preserve">бы один визит оценки параметров эффективности.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Популяция пациентов, завершивших исследование согласно протоколу (per protocol, PP): все рандомизированные субъекты, которые завершили участие в исследовании в соответствии с протоколом (закончили предписанный период лечения и наблюдения без существенных отклонений от протокола).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Популяция безопасности (TS): все рандомизированные субъекты,  применившие хотя бы одну дозу исследуемого препарата/препарата сравнения и завершившие хотя бы один визит оценки  параметров безопасности. В отличие от популяции ITT, популяция TS будет анализироваться в зависимости от фактически полученного, а не назначенного лечения (в случае, если будут выявлены отличия между назначенным и фактически полученным лечением).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Gungsuh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585" w:hanging="495"/>
      </w:pPr>
      <w:rPr>
        <w:b w:val="1"/>
      </w:rPr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9"/>
      <w:numFmt w:val="decimal"/>
      <w:lvlText w:val="%1."/>
      <w:lvlJc w:val="right"/>
      <w:pPr>
        <w:ind w:left="288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b w:val="1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432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RKydNVLjYO5TxxaVc++VsVZl+g==">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