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6633"/>
        <w:tblGridChange w:id="0">
          <w:tblGrid>
            <w:gridCol w:w="2689"/>
            <w:gridCol w:w="6633"/>
          </w:tblGrid>
        </w:tblGridChange>
      </w:tblGrid>
      <w:tr>
        <w:trPr>
          <w:cantSplit w:val="0"/>
          <w:trHeight w:val="183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Наименование исследования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Проспективное, многоцентровое, рандомизированное, плацебо-контролируемое, двойное слепое клиническое исследование в параллельных группах, по эффективности и безопасности препарата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Мастодинон®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содержащего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Vitex agnus-castus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в дозировке 40 капель внутрь до завтрака в течение 4 недель для лечения постменопаузального синдрома, сопровождающегося приливами.</w:t>
            </w:r>
          </w:p>
        </w:tc>
      </w:tr>
      <w:tr>
        <w:trPr>
          <w:cantSplit w:val="0"/>
          <w:trHeight w:val="183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 исследования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666-777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Спонсор</w:t>
            </w:r>
          </w:p>
        </w:tc>
        <w:tc>
          <w:tcPr/>
          <w:p w:rsidR="00000000" w:rsidDel="00000000" w:rsidP="00000000" w:rsidRDefault="00000000" w:rsidRPr="00000000" w14:paraId="00000007">
            <w:pPr>
              <w:tabs>
                <w:tab w:val="left" w:leader="none" w:pos="454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Sauron’s Eye Ltd. and Bruce Willis Group</w:t>
              <w:tab/>
            </w:r>
          </w:p>
        </w:tc>
      </w:tr>
      <w:tr>
        <w:trPr>
          <w:cantSplit w:val="0"/>
          <w:trHeight w:val="183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Исследуемый препарат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Мастодинон®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Препарат сравнения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Плацебо</w:t>
            </w:r>
          </w:p>
        </w:tc>
      </w:tr>
      <w:tr>
        <w:trPr>
          <w:cantSplit w:val="0"/>
          <w:trHeight w:val="183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Фаза клинического исследования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III</w:t>
            </w:r>
          </w:p>
        </w:tc>
      </w:tr>
      <w:tr>
        <w:trPr>
          <w:cantSplit w:val="0"/>
          <w:trHeight w:val="183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Планируемая продолжительность исследования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недели.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Общий период набора – 3 месяца</w:t>
            </w:r>
          </w:p>
        </w:tc>
      </w:tr>
      <w:tr>
        <w:trPr>
          <w:cantSplit w:val="0"/>
          <w:trHeight w:val="183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Планируемое количество исследовательских центров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 5</w:t>
            </w:r>
          </w:p>
        </w:tc>
      </w:tr>
      <w:tr>
        <w:trPr>
          <w:cantSplit w:val="0"/>
          <w:trHeight w:val="183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Планируемое количество субъектов в исследовании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исследование планируется включить (рандомизировать) 52 пациента (по 26 пациентов в каждую группу) с учетом возможного досрочного выбывания 10%. Минимально достаточное для статистического анализа количество пациентов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по 23 пациента в каждую из групп лечения, закончивших исследование по Протоколу.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Способ применения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 40 капель внутрь до завтрака в течение 4 недель.</w:t>
            </w:r>
          </w:p>
        </w:tc>
      </w:tr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Цель исследования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Целью данного исследования является оценка превосходящей терапевтической эффективности и безопасности препарата Мастодинон®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 плацебо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лечении постменопаузального синдрома, сопровождающегося приливами.</w:t>
            </w:r>
          </w:p>
        </w:tc>
      </w:tr>
      <w:tr>
        <w:trPr>
          <w:cantSplit w:val="0"/>
          <w:trHeight w:val="1118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Задачи исследования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Основная задача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Изучение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превосходящей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терапевтической эффективности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препарата Мастодинон® и плацебо при лечении постменопаузального синдрома, сопровождающегося приливами, оцениваемыми по количеству приливов в сутки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Дополнительные задачи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120" w:before="0" w:line="276" w:lineRule="auto"/>
              <w:ind w:left="1068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 общей длительности периодов приливов в течение суток;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120" w:before="0" w:line="276" w:lineRule="auto"/>
              <w:ind w:left="1068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Оценка доли случаев, в которых снижение суммы баллов по опроснику Куппермана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составило 25% и более по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сравнению с исходной суммой баллов на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визите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(День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120" w:before="0" w:line="276" w:lineRule="auto"/>
              <w:ind w:left="1068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 степени снижения систолического и диастолического артериального давления по сравнению с исходными значениями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120" w:before="0" w:line="276" w:lineRule="auto"/>
              <w:ind w:left="1068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Изучение безопасности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препарата Мастодинон® и плацебо при лечении постменопаузального синдрома, сопровождающегося приливами: 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ценка нежелательных явлений в группах лечения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; 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равнение частоты нежелательных явлений в группах лечения.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8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Методология исследования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Дизайн исследования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Рандомизированное, плацебо-контролируемое двойное слепое исследование, параллельное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Периоды исследования: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I. Скрининг + рандомизация: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Визит 1 (День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. Контроль эффективности терапии: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Визит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(День 29)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12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Визит 1 (День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12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Участие пациента в исследовании начинается с момента подписания им формы информированного согласия.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12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Для решения вопроса о включении пациента в исследование, используются данные следующих обследований: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Демографические данные (дата рождения, возраст);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Антропометрические показатели (вес, рост, пол)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Сбор анамнеза;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Регистрация сопутствующей терапии;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Оценка критериев включения/ невключения;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Измерение температуры тела;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Физикальный осмотр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(в т.ч. осмотр гинекологом)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Оценка основных показателей жизнедеятельности (ЧСС, ЧДД, АД);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Экспресс-тест мочи на беременность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(кроме женщин с длительностью периода менопаузы более 2 лет)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spacing w:line="276" w:lineRule="auto"/>
              <w:ind w:left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Заполнение опросника по количеству и интенсивности приливов в сутки;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spacing w:line="276" w:lineRule="auto"/>
              <w:ind w:left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Заполнение клинического опросника - менопаузального индекса Куппермана;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Рандомизация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После проведения скрининговых обследований, в тот же день, пациенты, которые соответствуют всем критериям включения/невключения, будут рандомизированы в одну из групп терапии: Мастодинон®, или плацебо.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Группа будет определяться с помощью рандомизации (в соотношении 1:1).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Пациентам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выдается терапия.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Пациенты принимают препарат по схеме 40 капель до завтрака в течение 28 дней.</w:t>
            </w:r>
          </w:p>
          <w:p w:rsidR="00000000" w:rsidDel="00000000" w:rsidP="00000000" w:rsidRDefault="00000000" w:rsidRPr="00000000" w14:paraId="0000003F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Визит 2 (День 29):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Визит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проводится в день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пациент должен явиться в исследовательский центр и принести неиспользованный препарат.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Процедуры на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изите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для пациентов обеих групп: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Сбор жалоб,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актуализация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анамнеза;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Регистрация сопутствующей терапии;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Измерение температуры тела;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Физикальный осмотр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(в т.ч. осмотр гинекологом)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5"/>
              </w:numPr>
              <w:spacing w:line="276" w:lineRule="auto"/>
              <w:ind w:left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 основных показателей жизнедеятельности(ЧСС, ЧДД, АД);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5"/>
              </w:numPr>
              <w:spacing w:line="276" w:lineRule="auto"/>
              <w:ind w:left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Заполнение опросника по количеству и интенсивности приливов в сутки;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5"/>
              </w:numPr>
              <w:spacing w:line="276" w:lineRule="auto"/>
              <w:ind w:left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Заполнение клинического опросника - менопаузального индекса Куппермана;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Оценка нежелательных явлений;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Оценка критериев исключения;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Оценка приверженности процедурам исследования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(комплаентность в отношении приема препаратов исследования).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случае, когда симптомы заболевания будут сохраняться/ухудшатся к последнему дню терапии, дальнейшее лечение будет проводиться в соответствии со стандартами терапии лечебного учреждения, в котором проводится исследование.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Внеплановые визиты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Внеплановые визиты будут проводиться по мере необходимости, например, при ухудшении течения заболевания, развитии НЯ или в случае непереносимости терапии препаратом. При проведении внепланового визита независимо от его причины исследователем выполняются следующие процедуры и заполняются соответствующие страницы эИРК (Внеплановый визит):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Физикальное обследование (включая местный осмотр);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Физикальный осмотр (в т.ч. осмотр гинекологом); 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5"/>
              </w:numPr>
              <w:spacing w:line="276" w:lineRule="auto"/>
              <w:ind w:left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Измерение температуры тела;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Измерение основных показателей жизнедеятельности (АД, ЧСС, ЧДД, температура тела);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Оценка НЯ;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Оценка сопутствующей терапии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наличии показаний может быть дополнительно выполнена любая из процедур исследования по решению Главного исследователя.</w:t>
            </w:r>
          </w:p>
        </w:tc>
      </w:tr>
      <w:tr>
        <w:trPr>
          <w:cantSplit w:val="0"/>
          <w:trHeight w:val="416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Основные параметры оценки эффективности и безопасности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12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Первичная конечная точка: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12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приливов в течение 24 часов.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12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Вторичные конечные точки: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afterAutospacing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Общая длительность периодов приливов в течение 24-х часов (в минутах).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afterAutospacing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Доля случаев, в которых снижение суммы баллов по опроснику Куппермана составило 25% и более по сравнению с исходной суммой баллов на визите 1.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12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Снижение систолического и диастолического артериального давления по сравнению с исходными значениями в мм рт.ст.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Прилив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— это транзиторный эпизод вазомоторных реакций, характеризующийся резким притоком тепла к лицу и к верхней половине тела (шея, руки, грудь), который может сопровождаться кратковременным подъемом центральной температуры тела, испариной, потоотделением и заканчиваться ознобом.</w:t>
            </w:r>
          </w:p>
          <w:p w:rsidR="00000000" w:rsidDel="00000000" w:rsidP="00000000" w:rsidRDefault="00000000" w:rsidRPr="00000000" w14:paraId="00000060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16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Индекс Куппермана</w:t>
            </w:r>
          </w:p>
          <w:p w:rsidR="00000000" w:rsidDel="00000000" w:rsidP="00000000" w:rsidRDefault="00000000" w:rsidRPr="00000000" w14:paraId="00000062">
            <w:pPr>
              <w:spacing w:after="16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Индекс Куппермана представляет собой комплексный опросник, разработанный для оценки интенсивности климактерического синдрома у женщин. Этот инструмент позволяет выявить степень выраженности симптомов, связанных с менопаузой.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16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Индекс Куппермана оценивает наличия и выраженности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вегетативных, метаболических и психоэмоциональных симптомов по шкале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4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= симптом отсутствуют;</w:t>
            </w:r>
          </w:p>
          <w:p w:rsidR="00000000" w:rsidDel="00000000" w:rsidP="00000000" w:rsidRDefault="00000000" w:rsidRPr="00000000" w14:paraId="00000065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= выраженность симптома незначительна;</w:t>
            </w:r>
          </w:p>
          <w:p w:rsidR="00000000" w:rsidDel="00000000" w:rsidP="00000000" w:rsidRDefault="00000000" w:rsidRPr="00000000" w14:paraId="00000066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= умеренная выраженность симптома;</w:t>
            </w:r>
          </w:p>
          <w:p w:rsidR="00000000" w:rsidDel="00000000" w:rsidP="00000000" w:rsidRDefault="00000000" w:rsidRPr="00000000" w14:paraId="00000067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= значительная выраженность симптома.</w:t>
            </w:r>
          </w:p>
          <w:p w:rsidR="00000000" w:rsidDel="00000000" w:rsidP="00000000" w:rsidRDefault="00000000" w:rsidRPr="00000000" w14:paraId="00000068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16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Индекс Куппермана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заполняется врачом-исследователем, на основании жалоб пациента и объективного осмотра. Врач-исследователь суммирует баллы, соответствующие каждому симптому для получения общей суммы баллов индекса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Куппермана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Исходная общая сумма баллов по индексу Куппермана будет оценена на визит 1 (день 0) исследования. На визите 2 (д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ень 29)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индекс оценивается для определения эффективности проводимой терапии 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обеих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группах.</w:t>
            </w:r>
          </w:p>
          <w:p w:rsidR="00000000" w:rsidDel="00000000" w:rsidP="00000000" w:rsidRDefault="00000000" w:rsidRPr="00000000" w14:paraId="0000006A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12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Параметры безопасности: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12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Общая частота нежелательных реакций (лекарственных нежелательных явлений).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12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Частота нежелательных реакций, стратифицированных по типам.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Число/доля пациентов, у которых не удалось оценить клинические результаты лечения в связи с нежелательными реакциями.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 нежелательных явлений будет представлено согласно следующей схеме: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 нежелательного явления;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тяжесть проявления;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длительность;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наличие связи с исследуемым препаратом;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исход.</w:t>
            </w:r>
          </w:p>
          <w:p w:rsidR="00000000" w:rsidDel="00000000" w:rsidP="00000000" w:rsidRDefault="00000000" w:rsidRPr="00000000" w14:paraId="00000076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Кодировка нежелательных явлений будет произведена в соответствии со словарем медицинских терминов для регуляторных целей MedDRA.</w:t>
            </w:r>
          </w:p>
        </w:tc>
      </w:tr>
      <w:tr>
        <w:trPr>
          <w:cantSplit w:val="0"/>
          <w:trHeight w:val="1280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Критерии включения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12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Пациенты, отвечающие всем критериям включения, будут включены в исследование: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120" w:before="0" w:line="276" w:lineRule="auto"/>
              <w:ind w:left="50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Добровольно подписанное пациентом Информированное согласие на участие в исследовании.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120" w:before="0" w:line="276" w:lineRule="auto"/>
              <w:ind w:left="50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енщины в возрасте от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до 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лет включительно.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</w:tabs>
              <w:spacing w:after="120" w:before="0" w:line="276" w:lineRule="auto"/>
              <w:ind w:left="50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Наличие диагноза постменопаузального синдрома, сопровождающегося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приливами, подтвержденного при осмотре гинекологом не более 3 месяцев до исследования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6"/>
              </w:numPr>
              <w:tabs>
                <w:tab w:val="center" w:leader="none" w:pos="4320"/>
                <w:tab w:val="right" w:leader="none" w:pos="8640"/>
              </w:tabs>
              <w:spacing w:after="120" w:line="276" w:lineRule="auto"/>
              <w:ind w:left="502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трицательный результат теста на беременность (кроме женщин с длительностью периода менопаузы более 2 лет).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77"/>
                <w:tab w:val="right" w:leader="none" w:pos="9355"/>
                <w:tab w:val="center" w:leader="none" w:pos="4320"/>
                <w:tab w:val="right" w:leader="none" w:pos="8640"/>
              </w:tabs>
              <w:spacing w:after="120" w:before="0" w:line="276" w:lineRule="auto"/>
              <w:ind w:left="50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Способность понять предоставленную информацию о клиническом исследовании, готовность к соблюдению требований протокола исследования, способность самостоятельно применять препараты исследования и оценивать симптомы с помощью опросников по протоколу.</w:t>
            </w:r>
          </w:p>
        </w:tc>
      </w:tr>
      <w:tr>
        <w:trPr>
          <w:cantSplit w:val="0"/>
          <w:trHeight w:val="1280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Критерии невключения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Пациенты, имеющие хотя бы один критерий, представленный ниже, не будут включены в исследование: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7"/>
              </w:numPr>
              <w:spacing w:line="276" w:lineRule="auto"/>
              <w:ind w:left="502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Прием эстроген-/прогестерон-содержащих препаратов в течение 6 месяцев до исследования;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7"/>
              </w:numPr>
              <w:spacing w:line="276" w:lineRule="auto"/>
              <w:ind w:left="502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Применение глюкокортикостероидов в течение 30 дней до начала исследования и/или планы по применению глюкокортикостероидов в ходе исследования;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7"/>
              </w:numPr>
              <w:spacing w:line="276" w:lineRule="auto"/>
              <w:ind w:left="502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Изменение гипотензивной терапии в течение последних 3 месяцев (в т.ч. назначение бета-блокаторов);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7"/>
              </w:numPr>
              <w:spacing w:line="276" w:lineRule="auto"/>
              <w:ind w:left="502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Невозможность отмены на период исследования других лекарственных препаратов, способных повлиять на результат настоящего исследования, например, других гомеопатических средств, и/или средств “народной терапии”, либо прием которых несовместим с терапией исследования;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7"/>
              </w:numPr>
              <w:spacing w:line="276" w:lineRule="auto"/>
              <w:ind w:left="502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Тяжелое сердечно-сосудистое заболевание или неврологическое заболевание, которое, по мнению врача, не позволяет принять участия в исследовании, в частности:</w:t>
            </w:r>
          </w:p>
          <w:p w:rsidR="00000000" w:rsidDel="00000000" w:rsidP="00000000" w:rsidRDefault="00000000" w:rsidRPr="00000000" w14:paraId="00000085">
            <w:pPr>
              <w:numPr>
                <w:ilvl w:val="1"/>
                <w:numId w:val="7"/>
              </w:numPr>
              <w:spacing w:line="276" w:lineRule="auto"/>
              <w:ind w:left="1092" w:hanging="42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тяжелая (стадия IV классификации Канадского Сердечно-Сосудистого Общества (Canadian Cardiovascular Society)) или нестабильная стенокардия;</w:t>
            </w:r>
          </w:p>
          <w:p w:rsidR="00000000" w:rsidDel="00000000" w:rsidP="00000000" w:rsidRDefault="00000000" w:rsidRPr="00000000" w14:paraId="00000086">
            <w:pPr>
              <w:numPr>
                <w:ilvl w:val="1"/>
                <w:numId w:val="7"/>
              </w:numPr>
              <w:spacing w:line="276" w:lineRule="auto"/>
              <w:ind w:left="1092" w:hanging="42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декомпенсированная хроническая сердечная недостаточность ( IV степень по NYHA);</w:t>
            </w:r>
          </w:p>
          <w:p w:rsidR="00000000" w:rsidDel="00000000" w:rsidP="00000000" w:rsidRDefault="00000000" w:rsidRPr="00000000" w14:paraId="00000087">
            <w:pPr>
              <w:numPr>
                <w:ilvl w:val="1"/>
                <w:numId w:val="7"/>
              </w:numPr>
              <w:spacing w:line="276" w:lineRule="auto"/>
              <w:ind w:left="1092" w:hanging="42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инфаркт миокарда в течение последних 6 месяцев;</w:t>
            </w:r>
          </w:p>
          <w:p w:rsidR="00000000" w:rsidDel="00000000" w:rsidP="00000000" w:rsidRDefault="00000000" w:rsidRPr="00000000" w14:paraId="00000088">
            <w:pPr>
              <w:numPr>
                <w:ilvl w:val="1"/>
                <w:numId w:val="7"/>
              </w:numPr>
              <w:spacing w:line="276" w:lineRule="auto"/>
              <w:ind w:left="1092" w:hanging="42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неконтролируемая артериальная гипертензия с систолическим АД &gt; 180 мм рт.ст и/или диастолическим АД &gt; 115 мм рт.ст.</w:t>
            </w:r>
          </w:p>
          <w:p w:rsidR="00000000" w:rsidDel="00000000" w:rsidP="00000000" w:rsidRDefault="00000000" w:rsidRPr="00000000" w14:paraId="00000089">
            <w:pPr>
              <w:numPr>
                <w:ilvl w:val="1"/>
                <w:numId w:val="7"/>
              </w:numPr>
              <w:spacing w:line="276" w:lineRule="auto"/>
              <w:ind w:left="1092" w:hanging="42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перенесенное острое нарушение мозгового кровообращения в течение последних 6 месяцев.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7"/>
              </w:numPr>
              <w:spacing w:line="276" w:lineRule="auto"/>
              <w:ind w:left="502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Пациенты, участвующие в других клинических исследованиях лекарственных средств на момент Визита скрининга либо участвовавшие в них в течение 30 дней до Визита скрининга;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7"/>
              </w:numPr>
              <w:spacing w:line="276" w:lineRule="auto"/>
              <w:ind w:left="499" w:hanging="357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Пациенты, перенесшие хирургическую операцию в течение 30 дней до Визита скрининга и пациенты, у которых в ходе исследования (до завершения Визита последующего наблюдения) планируется проведение хирургических операций, включая диагностические процедуры, или пребывание в стационаре;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7"/>
              </w:numPr>
              <w:spacing w:line="276" w:lineRule="auto"/>
              <w:ind w:left="502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Известная или подозреваемая наркотическая/алкогольная зависимость;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7"/>
              </w:numPr>
              <w:spacing w:line="276" w:lineRule="auto"/>
              <w:ind w:left="502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Предполагаемая низкая приверженность пациента лечению или неспособность выполнять процедуры и соблюдать ограничения согласно протоколу исследования (например, вследствие психических заболеваний);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7"/>
              </w:numPr>
              <w:spacing w:line="276" w:lineRule="auto"/>
              <w:ind w:left="502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Любые заболевания сердечно-сосудистой системы, почек, печени, ЖКТ, эндокринной и нервной системы или любые другие состояния/заболевания, которые по мнению исследователя могут сделать участие в исследовании небезопасным для пациента.</w:t>
            </w:r>
          </w:p>
          <w:p w:rsidR="00000000" w:rsidDel="00000000" w:rsidP="00000000" w:rsidRDefault="00000000" w:rsidRPr="00000000" w14:paraId="0000008F">
            <w:pPr>
              <w:spacing w:line="276" w:lineRule="auto"/>
              <w:ind w:left="502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0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Критерии исключения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Участие пациента в исследовании может быть прекращено преждевременно по следующим причинам: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0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Отрицательная динамика заболевания, требующая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по мнению гинеколога, незамедлительного начала приема гормональных препаратов.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0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Этический комитет, регуляторные инстанции или Спонсор по любым причинам прекращают исследование или участие в исследовании данного клинического центра;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0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Исследователем принято решение, что пациента необходимо исключить в интересах самого пациента;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0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Отзыв информированного согласия (нежелание пациента продолжать участие в исследовании);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0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Серьезное отклонение от протокола исследования;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0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Индивидуальная непереносимость препаратов исследования;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0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 пациента возникло клинически значимое нежелательное явление или серьезное нежелательное явление;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0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Пациент не соблюдает правила участия в исследовании;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0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Ошибочное включение (например, пациент был включен с нарушением критериев включения/невключения протокола);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0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Соответствие пациента критериям невключения во время проведения исследования;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0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Пациент получает/нуждается в дополнительном лечении, которое может повлиять на результат исследования или безопасность пациента;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02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Иные состояния или события, требующие, по мнению врача-исследователя, исключения пациента из исследования.</w:t>
            </w:r>
          </w:p>
        </w:tc>
      </w:tr>
      <w:tr>
        <w:trPr>
          <w:cantSplit w:val="0"/>
          <w:trHeight w:val="1830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Статистическое обоснование количества субъектов в исследовании</w:t>
            </w:r>
          </w:p>
          <w:p w:rsidR="00000000" w:rsidDel="00000000" w:rsidP="00000000" w:rsidRDefault="00000000" w:rsidRPr="00000000" w14:paraId="0000009F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Статистической целью настоящего исследования является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доказательство превосходства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A1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Для оценки превосходства препарата используем односторонний t-тест.</w:t>
            </w:r>
          </w:p>
          <w:p w:rsidR="00000000" w:rsidDel="00000000" w:rsidP="00000000" w:rsidRDefault="00000000" w:rsidRPr="00000000" w14:paraId="000000A2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качестве исходных параметров были взяты следующие значения: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9"/>
              </w:numPr>
              <w:spacing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 работы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[1]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следует, что уменьшение приливов в сутки составляет от 3.42 до 4.2 (среднее значение 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9"/>
              </w:numPr>
              <w:spacing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Граница не меньшей эффективности δ = -2.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9"/>
              </w:numPr>
              <w:spacing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данных работ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[1]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также следует, что стандартное отклонение для снижения по количества приливов в сутки вне зависимости от возраста и группы (T/R) составляет приблизительно от 2.38 до 2.58 (среднее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σ = 2.4).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9"/>
              </w:numPr>
              <w:spacing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Односторонняя величина ошибки I рода (α) составляет 0.025; мощность: 80%.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9"/>
              </w:numPr>
              <w:spacing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Основная статистическая гипотеза при использовании одностороннего ДИ:</w:t>
            </w:r>
          </w:p>
          <w:p w:rsidR="00000000" w:rsidDel="00000000" w:rsidP="00000000" w:rsidRDefault="00000000" w:rsidRPr="00000000" w14:paraId="000000A8">
            <w:pPr>
              <w:spacing w:line="276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H0: μ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μ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highlight w:val="white"/>
                    <w:rtl w:val="0"/>
                  </w:rPr>
                  <w:t xml:space="preserve">≥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δ</w:t>
            </w:r>
          </w:p>
          <w:p w:rsidR="00000000" w:rsidDel="00000000" w:rsidP="00000000" w:rsidRDefault="00000000" w:rsidRPr="00000000" w14:paraId="000000A9">
            <w:pPr>
              <w:spacing w:line="276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H1: μ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μ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δ</w:t>
            </w:r>
          </w:p>
          <w:p w:rsidR="00000000" w:rsidDel="00000000" w:rsidP="00000000" w:rsidRDefault="00000000" w:rsidRPr="00000000" w14:paraId="000000AA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Используем функцию epi.sssupc из пакета epiR (версия 2.0.67) в статистической программе R (версия 4.3.1) для оценки объема выборки. Учтем, что для δ &lt; 0 и меняем местами treat и control для получения правильного. Далее представлен код </w:t>
            </w:r>
          </w:p>
          <w:p w:rsidR="00000000" w:rsidDel="00000000" w:rsidP="00000000" w:rsidRDefault="00000000" w:rsidRPr="00000000" w14:paraId="000000AB">
            <w:pPr>
              <w:spacing w:after="240"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epi.sssupc(</w:t>
              <w:br w:type="textWrapping"/>
              <w:t xml:space="preserve"> </w:t>
              <w:tab/>
              <w:t xml:space="preserve">treat = 6,</w:t>
              <w:br w:type="textWrapping"/>
              <w:t xml:space="preserve"> </w:t>
              <w:tab/>
              <w:t xml:space="preserve">control = 2,</w:t>
              <w:br w:type="textWrapping"/>
              <w:t xml:space="preserve"> </w:t>
              <w:tab/>
              <w:t xml:space="preserve">sigma = 2.4,</w:t>
              <w:br w:type="textWrapping"/>
              <w:t xml:space="preserve"> </w:t>
              <w:tab/>
              <w:t xml:space="preserve">delta = 2,</w:t>
              <w:br w:type="textWrapping"/>
              <w:t xml:space="preserve"> </w:t>
              <w:tab/>
              <w:t xml:space="preserve">n = NA,</w:t>
              <w:br w:type="textWrapping"/>
              <w:t xml:space="preserve"> </w:t>
              <w:tab/>
              <w:t xml:space="preserve">r = 1,</w:t>
              <w:br w:type="textWrapping"/>
              <w:t xml:space="preserve"> </w:t>
              <w:tab/>
              <w:t xml:space="preserve">alpha = 0.025,</w:t>
              <w:br w:type="textWrapping"/>
              <w:t xml:space="preserve"> </w:t>
              <w:tab/>
              <w:t xml:space="preserve">power = 0.8</w:t>
              <w:br w:type="textWrapping"/>
              <w:t xml:space="preserve"> )</w:t>
            </w:r>
          </w:p>
          <w:p w:rsidR="00000000" w:rsidDel="00000000" w:rsidP="00000000" w:rsidRDefault="00000000" w:rsidRPr="00000000" w14:paraId="000000AC">
            <w:pPr>
              <w:spacing w:after="240"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##   n.total n.treat n.control delta power</w:t>
              <w:br w:type="textWrapping"/>
              <w:t xml:space="preserve"> ## 1      46  </w:t>
              <w:tab/>
              <w:t xml:space="preserve">23    </w:t>
              <w:tab/>
              <w:t xml:space="preserve">23     2   0.8</w:t>
            </w:r>
          </w:p>
          <w:p w:rsidR="00000000" w:rsidDel="00000000" w:rsidP="00000000" w:rsidRDefault="00000000" w:rsidRPr="00000000" w14:paraId="000000AD">
            <w:pPr>
              <w:spacing w:line="276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Таким образом, получено, что минимально необходимый объем выборки для проведения исследования равен 46 (по 23 пациенту в каждую группу). С учетом 10% выбываемости, объем выборки составит 52 пациента (по 26 пациенту в каждую группу).</w:t>
            </w:r>
          </w:p>
          <w:p w:rsidR="00000000" w:rsidDel="00000000" w:rsidP="00000000" w:rsidRDefault="00000000" w:rsidRPr="00000000" w14:paraId="000000AE">
            <w:pPr>
              <w:spacing w:line="276" w:lineRule="auto"/>
              <w:ind w:firstLine="70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Список литературы, использованной для статистического обоснования количества субъектов в исследовании:</w:t>
            </w:r>
          </w:p>
          <w:p w:rsidR="00000000" w:rsidDel="00000000" w:rsidP="00000000" w:rsidRDefault="00000000" w:rsidRPr="00000000" w14:paraId="000000B0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10"/>
              </w:numPr>
              <w:spacing w:line="276" w:lineRule="auto"/>
              <w:ind w:left="585" w:hanging="49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Abbaspoor, Zahra. (2011). Effect of Vitex agnus-castus on Menopausal Early Symptoms in Postmenopausal Women: A Randomized, Double Blind, Placebo – Controlled Study. British Journal of Medicine and Medical Research. 1. 132-140. 10.9734/BJMMR/2011/163. 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10"/>
              </w:numPr>
              <w:spacing w:line="276" w:lineRule="auto"/>
              <w:ind w:left="585" w:hanging="49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Wetzel, W. (2007). Alternative and complementary therapy. In: Lowdermilk DL, Perry SE, eds. Maternity and Women's Health. Philadelphia, PA, Mosby Elsevier, 85.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10"/>
              </w:numPr>
              <w:spacing w:line="276" w:lineRule="auto"/>
              <w:ind w:left="585" w:hanging="49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Keenan, N.L., Mark, S., Fugh-Berman, A., Browne, D., Kaczmarczyk, J., Hunter C. (2003). Severity of menopausal symptoms and use of both conventional and complementary/alternative therapies. Menopause,10, 507-515.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10"/>
              </w:numPr>
              <w:spacing w:line="276" w:lineRule="auto"/>
              <w:ind w:left="585" w:hanging="49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Newton, K.M., Buist, D.S., Keenan, N.L., Anderson, L.A., LaCroix, A.Z. (2002). Use of alternative therapies for menopause symptoms: results of a population-based survey. Obstet Gynecol., 100, 18-25.</w:t>
            </w:r>
          </w:p>
        </w:tc>
      </w:tr>
    </w:tbl>
    <w:p w:rsidR="00000000" w:rsidDel="00000000" w:rsidP="00000000" w:rsidRDefault="00000000" w:rsidRPr="00000000" w14:paraId="000000B5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Arial Unicode M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502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502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502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585" w:hanging="495"/>
      </w:pPr>
      <w:rPr>
        <w:b w:val="1"/>
      </w:rPr>
    </w:lvl>
    <w:lvl w:ilvl="1">
      <w:start w:val="1"/>
      <w:numFmt w:val="lowerLetter"/>
      <w:lvlText w:val="%2."/>
      <w:lvlJc w:val="left"/>
      <w:pPr>
        <w:ind w:left="1170" w:hanging="360"/>
      </w:pPr>
      <w:rPr/>
    </w:lvl>
    <w:lvl w:ilvl="2">
      <w:start w:val="1"/>
      <w:numFmt w:val="lowerRoman"/>
      <w:lvlText w:val="%3."/>
      <w:lvlJc w:val="right"/>
      <w:pPr>
        <w:ind w:left="1890" w:hanging="180"/>
      </w:pPr>
      <w:rPr/>
    </w:lvl>
    <w:lvl w:ilvl="3">
      <w:start w:val="1"/>
      <w:numFmt w:val="decimal"/>
      <w:lvlText w:val="%4."/>
      <w:lvlJc w:val="left"/>
      <w:pPr>
        <w:ind w:left="2610" w:hanging="360"/>
      </w:pPr>
      <w:rPr/>
    </w:lvl>
    <w:lvl w:ilvl="4">
      <w:start w:val="1"/>
      <w:numFmt w:val="lowerLetter"/>
      <w:lvlText w:val="%5."/>
      <w:lvlJc w:val="left"/>
      <w:pPr>
        <w:ind w:left="3330" w:hanging="360"/>
      </w:pPr>
      <w:rPr/>
    </w:lvl>
    <w:lvl w:ilvl="5">
      <w:start w:val="1"/>
      <w:numFmt w:val="lowerRoman"/>
      <w:lvlText w:val="%6."/>
      <w:lvlJc w:val="right"/>
      <w:pPr>
        <w:ind w:left="4050" w:hanging="180"/>
      </w:pPr>
      <w:rPr/>
    </w:lvl>
    <w:lvl w:ilvl="6">
      <w:start w:val="1"/>
      <w:numFmt w:val="decimal"/>
      <w:lvlText w:val="%7."/>
      <w:lvlJc w:val="left"/>
      <w:pPr>
        <w:ind w:left="4770" w:hanging="360"/>
      </w:pPr>
      <w:rPr/>
    </w:lvl>
    <w:lvl w:ilvl="7">
      <w:start w:val="1"/>
      <w:numFmt w:val="lowerLetter"/>
      <w:lvlText w:val="%8."/>
      <w:lvlJc w:val="left"/>
      <w:pPr>
        <w:ind w:left="5490" w:hanging="360"/>
      </w:pPr>
      <w:rPr/>
    </w:lvl>
    <w:lvl w:ilvl="8">
      <w:start w:val="1"/>
      <w:numFmt w:val="lowerRoman"/>
      <w:lvlText w:val="%9."/>
      <w:lvlJc w:val="right"/>
      <w:pPr>
        <w:ind w:left="621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leader="none" w:pos="567"/>
        <w:tab w:val="left" w:leader="none" w:pos="992"/>
      </w:tabs>
      <w:spacing w:before="480" w:line="360" w:lineRule="auto"/>
      <w:ind w:left="1423" w:hanging="430.99999999999994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993"/>
      </w:tabs>
      <w:spacing w:before="360" w:line="360" w:lineRule="auto"/>
      <w:ind w:left="576" w:hanging="576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Rule="auto"/>
      <w:ind w:left="720" w:hanging="720"/>
      <w:jc w:val="both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120" w:before="120" w:line="259" w:lineRule="auto"/>
      <w:ind w:left="864" w:hanging="864"/>
    </w:pPr>
    <w:rPr>
      <w:rFonts w:ascii="Times New Roman" w:cs="Times New Roman" w:eastAsia="Times New Roman" w:hAnsi="Times New Roman"/>
      <w:b w:val="1"/>
      <w:i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120" w:before="120" w:lineRule="auto"/>
      <w:ind w:left="1008" w:hanging="1008"/>
      <w:jc w:val="both"/>
    </w:pPr>
    <w:rPr>
      <w:rFonts w:ascii="Times New Roman" w:cs="Times New Roman" w:eastAsia="Times New Roman" w:hAnsi="Times New Roman"/>
      <w:i w:val="1"/>
      <w:color w:val="000000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59" w:lineRule="auto"/>
      <w:ind w:left="1152" w:hanging="1152"/>
    </w:pPr>
    <w:rPr>
      <w:rFonts w:ascii="Calibri" w:cs="Calibri" w:eastAsia="Calibri" w:hAnsi="Calibri"/>
      <w:color w:val="1f3863"/>
      <w:sz w:val="24"/>
      <w:szCs w:val="24"/>
    </w:rPr>
  </w:style>
  <w:style w:type="paragraph" w:styleId="Title">
    <w:name w:val="Title"/>
    <w:basedOn w:val="Normal"/>
    <w:next w:val="Normal"/>
    <w:pPr>
      <w:spacing w:after="360" w:before="360" w:line="240" w:lineRule="auto"/>
      <w:jc w:val="center"/>
    </w:pPr>
    <w:rPr>
      <w:rFonts w:ascii="Times New Roman" w:cs="Times New Roman" w:eastAsia="Times New Roman" w:hAnsi="Times New Roman"/>
      <w:b w:val="1"/>
      <w:smallCaps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GmLZdTfzhvK2oSDrf4hopwxNug==">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