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4B596A"/>
          <w:sz w:val="18"/>
        </w:rPr>
        <w:t>D06  ·  CLOUDLINE / INTERNAL</w:t>
      </w:r>
    </w:p>
    <w:p>
      <w:pPr>
        <w:spacing w:after="200"/>
      </w:pPr>
      <w:r>
        <w:rPr>
          <w:b/>
          <w:color w:val="142B46"/>
          <w:sz w:val="40"/>
        </w:rPr>
        <w:t>Billing Service: контракт событий оплаты</w:t>
      </w:r>
    </w:p>
    <w:p>
      <w:pPr>
        <w:spacing w:after="280"/>
      </w:pPr>
      <w:r>
        <w:rPr>
          <w:color w:val="55606C"/>
          <w:sz w:val="18"/>
        </w:rPr>
        <w:t>Владелец: Payments Team   |   Обновлено: 2026-07-03   |   Действующая спецификация</w:t>
      </w:r>
    </w:p>
    <w:p>
      <w:pPr>
        <w:pStyle w:val="Heading2"/>
      </w:pPr>
      <w:r>
        <w:t>Граница ответственности</w:t>
      </w:r>
    </w:p>
    <w:p>
      <w:r>
        <w:t>Billing Service принимает результат оплаты и сохраняет транзакцию. После подтверждённой оплаты он публикует billing.paid в Event Bus. Отдельное событие billing.receipt_requested запускает письмо с чеком. Billing не меняет право доступа в Workspace напрямую.</w:t>
      </w:r>
    </w:p>
    <w:p>
      <w:pPr>
        <w:pStyle w:val="Heading2"/>
      </w:pPr>
      <w:r>
        <w:t>Сбой и влияние на клиента</w:t>
      </w:r>
    </w:p>
    <w:p>
      <w:r>
        <w:t>При недоступности Billing новые оплаты и продления не подтверждаются. Уже выданные права доступа остаются действительными до своей даты окончания; сбой Billing сам по себе их не снимает.</w:t>
      </w:r>
    </w:p>
    <w:p>
      <w:pPr>
        <w:pStyle w:val="Heading2"/>
      </w:pPr>
      <w:r>
        <w:t>Первичная проверка</w:t>
      </w:r>
    </w:p>
    <w:p>
      <w:r>
        <w:t>Прежде чем разбирать жалобу на отсутствие платной функции, проверьте наличие подтверждённой транзакции и её ID. После подтверждения транзакции дальнейший путь события описан в D07 и D08.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2"/>
        <w:sz w:val="16"/>
      </w:rPr>
      <w:t>D06  ·  Для внутреннего использования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582"/>
        <w:sz w:val="16"/>
      </w:rPr>
      <w:t>CloudLine  /  внутренняя база знаний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