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b/>
          <w:color w:val="4B596A"/>
          <w:sz w:val="18"/>
        </w:rPr>
        <w:t>D10  ·  CLOUDLINE / INTERNAL</w:t>
      </w:r>
    </w:p>
    <w:p>
      <w:pPr>
        <w:spacing w:after="200"/>
      </w:pPr>
      <w:r>
        <w:rPr>
          <w:b/>
          <w:color w:val="142B46"/>
          <w:sz w:val="40"/>
        </w:rPr>
        <w:t>Webhook Worker: доставка партнёрам</w:t>
      </w:r>
    </w:p>
    <w:p>
      <w:pPr>
        <w:spacing w:after="280"/>
      </w:pPr>
      <w:r>
        <w:rPr>
          <w:color w:val="55606C"/>
          <w:sz w:val="18"/>
        </w:rPr>
        <w:t>Владелец: Integrations Team   |   Обновлено: 2026-07-20   |   Действующая техническая заметка</w:t>
      </w:r>
    </w:p>
    <w:p>
      <w:pPr>
        <w:pStyle w:val="Heading2"/>
      </w:pPr>
      <w:r>
        <w:t>Поток</w:t>
      </w:r>
    </w:p>
    <w:p>
      <w:r>
        <w:t>Webhook Worker читает billing.paid из Event Bus и доставляет уведомление на endpoint партнёра. У него собственное положение чтения: работа Entitlements Service или Notifications Service не подтверждает успешную доставку вебхука.</w:t>
      </w:r>
    </w:p>
    <w:p>
      <w:pPr>
        <w:pStyle w:val="Heading2"/>
      </w:pPr>
      <w:r>
        <w:t>Повторы</w:t>
      </w:r>
    </w:p>
    <w:p>
      <w:r>
        <w:t>Для временных ответов партнёра выполняется до пяти попыток доставки в пределах 30 минут. Каждой доставке назначается ключ идемпотентности. Историю попыток и HTTP-ответы партнёра смотрят в delivery log по ID транзакции и ID партнёра.</w:t>
      </w:r>
    </w:p>
    <w:p>
      <w:pPr>
        <w:pStyle w:val="Heading2"/>
      </w:pPr>
      <w:r>
        <w:t>Ошибки</w:t>
      </w:r>
    </w:p>
    <w:p>
      <w:r>
        <w:t>WH-429 означает ограничение частоты на стороне endpoint партнёра; WH-503 означает его временную недоступность. Отставание Webhook Worker от Event Bus может задержать доставку без ошибок у других потребителей.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97582"/>
        <w:sz w:val="16"/>
      </w:rPr>
      <w:t>D10  ·  Для внутреннего использования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97582"/>
        <w:sz w:val="16"/>
      </w:rPr>
      <w:t>CloudLine  /  внутренняя база знаний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