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2</Pages>
  <Words>487</Words>
  <Characters>4036</Characters>
  <CharactersWithSpaces>4539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2023-12-10T00:06:12Z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