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65C6DE" w14:textId="6606EEBB" w:rsidR="0014443B" w:rsidRDefault="001F425B" w:rsidP="0014443B">
      <w:pPr>
        <w:tabs>
          <w:tab w:val="left" w:pos="7005"/>
        </w:tabs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MISU </w:t>
      </w:r>
      <w:proofErr w:type="spellStart"/>
      <w:r>
        <w:rPr>
          <w:rFonts w:ascii="Arial" w:hAnsi="Arial" w:cs="Arial"/>
          <w:b/>
          <w:bCs/>
          <w:sz w:val="32"/>
          <w:szCs w:val="32"/>
        </w:rPr>
        <w:t>Kobotool</w:t>
      </w:r>
      <w:proofErr w:type="spellEnd"/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="00CA20A8">
        <w:rPr>
          <w:rFonts w:ascii="Arial" w:hAnsi="Arial" w:cs="Arial"/>
          <w:b/>
          <w:bCs/>
          <w:sz w:val="32"/>
          <w:szCs w:val="32"/>
        </w:rPr>
        <w:t>Reports (</w:t>
      </w:r>
      <w:r w:rsidR="00212C95">
        <w:rPr>
          <w:rFonts w:ascii="Arial" w:hAnsi="Arial" w:cs="Arial"/>
          <w:b/>
          <w:bCs/>
          <w:sz w:val="32"/>
          <w:szCs w:val="32"/>
        </w:rPr>
        <w:t>January – May 15,</w:t>
      </w:r>
      <w:r w:rsidR="00163985">
        <w:rPr>
          <w:rFonts w:ascii="Arial" w:hAnsi="Arial" w:cs="Arial"/>
          <w:b/>
          <w:bCs/>
          <w:sz w:val="32"/>
          <w:szCs w:val="32"/>
        </w:rPr>
        <w:t xml:space="preserve"> 2024</w:t>
      </w:r>
      <w:r w:rsidR="00CA20A8">
        <w:rPr>
          <w:rFonts w:ascii="Arial" w:hAnsi="Arial" w:cs="Arial"/>
          <w:b/>
          <w:bCs/>
          <w:sz w:val="32"/>
          <w:szCs w:val="32"/>
        </w:rPr>
        <w:t>)</w:t>
      </w:r>
    </w:p>
    <w:p w14:paraId="2FA47027" w14:textId="353FBB41" w:rsidR="00CA20A8" w:rsidRPr="005A6D87" w:rsidRDefault="005A6D87" w:rsidP="005A6D87">
      <w:pPr>
        <w:tabs>
          <w:tab w:val="left" w:pos="7005"/>
        </w:tabs>
        <w:jc w:val="center"/>
        <w:rPr>
          <w:rFonts w:ascii="Arial" w:hAnsi="Arial" w:cs="Arial"/>
          <w:b/>
          <w:bCs/>
          <w:sz w:val="32"/>
          <w:szCs w:val="32"/>
        </w:rPr>
      </w:pPr>
      <w:r w:rsidRPr="00F73B69">
        <w:rPr>
          <w:noProof/>
          <w:sz w:val="14"/>
          <w:szCs w:val="14"/>
        </w:rPr>
        <w:drawing>
          <wp:anchor distT="0" distB="0" distL="114300" distR="114300" simplePos="0" relativeHeight="251658240" behindDoc="1" locked="0" layoutInCell="1" allowOverlap="1" wp14:anchorId="06419A15" wp14:editId="4D8260CC">
            <wp:simplePos x="0" y="0"/>
            <wp:positionH relativeFrom="margin">
              <wp:align>center</wp:align>
            </wp:positionH>
            <wp:positionV relativeFrom="paragraph">
              <wp:posOffset>294005</wp:posOffset>
            </wp:positionV>
            <wp:extent cx="5486400" cy="2981325"/>
            <wp:effectExtent l="0" t="0" r="0" b="9525"/>
            <wp:wrapTight wrapText="bothSides">
              <wp:wrapPolygon edited="0">
                <wp:start x="0" y="0"/>
                <wp:lineTo x="0" y="21531"/>
                <wp:lineTo x="21525" y="21531"/>
                <wp:lineTo x="21525" y="0"/>
                <wp:lineTo x="0" y="0"/>
              </wp:wrapPolygon>
            </wp:wrapTight>
            <wp:docPr id="1219445620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443B">
        <w:rPr>
          <w:rFonts w:ascii="Arial" w:hAnsi="Arial" w:cs="Arial"/>
          <w:b/>
          <w:bCs/>
          <w:sz w:val="32"/>
          <w:szCs w:val="32"/>
        </w:rPr>
        <w:t>TECHNICAL ASSISTANCE</w:t>
      </w:r>
    </w:p>
    <w:p w14:paraId="200CE8B4" w14:textId="045688E7" w:rsidR="00F73B69" w:rsidRPr="002A213E" w:rsidRDefault="00F73B69" w:rsidP="002A213E">
      <w:pPr>
        <w:pStyle w:val="NoSpacing"/>
        <w:jc w:val="center"/>
        <w:rPr>
          <w:rFonts w:ascii="Arial" w:hAnsi="Arial" w:cs="Arial"/>
          <w:b/>
          <w:bCs/>
          <w:sz w:val="20"/>
          <w:szCs w:val="20"/>
        </w:rPr>
      </w:pPr>
      <w:r w:rsidRPr="002A213E">
        <w:rPr>
          <w:rFonts w:ascii="Arial" w:hAnsi="Arial" w:cs="Arial"/>
          <w:b/>
          <w:bCs/>
          <w:sz w:val="20"/>
          <w:szCs w:val="20"/>
        </w:rPr>
        <w:t>Total TA’s per MISU Employee</w:t>
      </w:r>
    </w:p>
    <w:p w14:paraId="464EAAF9" w14:textId="1483929F" w:rsidR="00F73B69" w:rsidRDefault="002A213E" w:rsidP="002A213E">
      <w:pPr>
        <w:pStyle w:val="NoSpacing"/>
        <w:rPr>
          <w:rFonts w:ascii="Arial" w:hAnsi="Arial" w:cs="Arial"/>
          <w:b/>
          <w:bCs/>
          <w:sz w:val="20"/>
          <w:szCs w:val="20"/>
        </w:rPr>
      </w:pPr>
      <w:r w:rsidRPr="002A213E">
        <w:rPr>
          <w:rFonts w:ascii="Arial" w:hAnsi="Arial" w:cs="Arial"/>
          <w:b/>
          <w:bCs/>
          <w:sz w:val="20"/>
          <w:szCs w:val="20"/>
        </w:rPr>
        <w:t xml:space="preserve">Belarmino: </w:t>
      </w:r>
      <w:r w:rsidR="0024649C">
        <w:rPr>
          <w:rFonts w:ascii="Arial" w:hAnsi="Arial" w:cs="Arial"/>
          <w:sz w:val="20"/>
          <w:szCs w:val="20"/>
        </w:rPr>
        <w:t>128</w:t>
      </w:r>
      <w:r w:rsidRPr="002A213E">
        <w:rPr>
          <w:rFonts w:ascii="Arial" w:hAnsi="Arial" w:cs="Arial"/>
          <w:sz w:val="20"/>
          <w:szCs w:val="20"/>
        </w:rPr>
        <w:t xml:space="preserve"> TA’s</w:t>
      </w:r>
      <w:r w:rsidRPr="002A213E">
        <w:rPr>
          <w:rFonts w:ascii="Arial" w:hAnsi="Arial" w:cs="Arial"/>
          <w:b/>
          <w:bCs/>
          <w:sz w:val="20"/>
          <w:szCs w:val="20"/>
        </w:rPr>
        <w:t xml:space="preserve">, De Zuñiga: </w:t>
      </w:r>
      <w:r w:rsidR="0024649C">
        <w:rPr>
          <w:rFonts w:ascii="Arial" w:hAnsi="Arial" w:cs="Arial"/>
          <w:sz w:val="20"/>
          <w:szCs w:val="20"/>
        </w:rPr>
        <w:t>4</w:t>
      </w:r>
      <w:r w:rsidRPr="002A213E">
        <w:rPr>
          <w:rFonts w:ascii="Arial" w:hAnsi="Arial" w:cs="Arial"/>
          <w:sz w:val="20"/>
          <w:szCs w:val="20"/>
        </w:rPr>
        <w:t xml:space="preserve"> TA’s</w:t>
      </w:r>
      <w:r w:rsidRPr="002A213E">
        <w:rPr>
          <w:rFonts w:ascii="Arial" w:hAnsi="Arial" w:cs="Arial"/>
          <w:b/>
          <w:bCs/>
          <w:sz w:val="20"/>
          <w:szCs w:val="20"/>
        </w:rPr>
        <w:t xml:space="preserve">, Ledesma: </w:t>
      </w:r>
      <w:r w:rsidR="0024649C">
        <w:rPr>
          <w:rFonts w:ascii="Arial" w:hAnsi="Arial" w:cs="Arial"/>
          <w:sz w:val="20"/>
          <w:szCs w:val="20"/>
        </w:rPr>
        <w:t>14</w:t>
      </w:r>
      <w:r w:rsidRPr="002A213E">
        <w:rPr>
          <w:rFonts w:ascii="Arial" w:hAnsi="Arial" w:cs="Arial"/>
          <w:sz w:val="20"/>
          <w:szCs w:val="20"/>
        </w:rPr>
        <w:t xml:space="preserve"> TA’s</w:t>
      </w:r>
      <w:r w:rsidRPr="002A213E">
        <w:rPr>
          <w:rFonts w:ascii="Arial" w:hAnsi="Arial" w:cs="Arial"/>
          <w:b/>
          <w:bCs/>
          <w:sz w:val="20"/>
          <w:szCs w:val="20"/>
        </w:rPr>
        <w:t xml:space="preserve">, Pua: </w:t>
      </w:r>
      <w:r w:rsidR="0024649C">
        <w:rPr>
          <w:rFonts w:ascii="Arial" w:hAnsi="Arial" w:cs="Arial"/>
          <w:sz w:val="20"/>
          <w:szCs w:val="20"/>
        </w:rPr>
        <w:t>35</w:t>
      </w:r>
      <w:r w:rsidRPr="002A213E">
        <w:rPr>
          <w:rFonts w:ascii="Arial" w:hAnsi="Arial" w:cs="Arial"/>
          <w:sz w:val="20"/>
          <w:szCs w:val="20"/>
        </w:rPr>
        <w:t xml:space="preserve"> TA’s</w:t>
      </w:r>
      <w:r w:rsidRPr="002A213E">
        <w:rPr>
          <w:rFonts w:ascii="Arial" w:hAnsi="Arial" w:cs="Arial"/>
          <w:b/>
          <w:bCs/>
          <w:sz w:val="20"/>
          <w:szCs w:val="20"/>
        </w:rPr>
        <w:t xml:space="preserve">, Rafael: </w:t>
      </w:r>
      <w:r w:rsidR="0024649C">
        <w:rPr>
          <w:rFonts w:ascii="Arial" w:hAnsi="Arial" w:cs="Arial"/>
          <w:sz w:val="20"/>
          <w:szCs w:val="20"/>
        </w:rPr>
        <w:t>6</w:t>
      </w:r>
      <w:r w:rsidRPr="002A213E">
        <w:rPr>
          <w:rFonts w:ascii="Arial" w:hAnsi="Arial" w:cs="Arial"/>
          <w:sz w:val="20"/>
          <w:szCs w:val="20"/>
        </w:rPr>
        <w:t xml:space="preserve"> TA’s</w:t>
      </w:r>
      <w:r w:rsidRPr="002A213E">
        <w:rPr>
          <w:rFonts w:ascii="Arial" w:hAnsi="Arial" w:cs="Arial"/>
          <w:b/>
          <w:bCs/>
          <w:sz w:val="20"/>
          <w:szCs w:val="20"/>
        </w:rPr>
        <w:t xml:space="preserve">, Sicat: </w:t>
      </w:r>
      <w:r w:rsidR="00476B50">
        <w:rPr>
          <w:rFonts w:ascii="Arial" w:hAnsi="Arial" w:cs="Arial"/>
          <w:sz w:val="20"/>
          <w:szCs w:val="20"/>
        </w:rPr>
        <w:t>1</w:t>
      </w:r>
      <w:r w:rsidR="0024649C">
        <w:rPr>
          <w:rFonts w:ascii="Arial" w:hAnsi="Arial" w:cs="Arial"/>
          <w:sz w:val="20"/>
          <w:szCs w:val="20"/>
        </w:rPr>
        <w:t>3</w:t>
      </w:r>
      <w:r w:rsidR="0028054C">
        <w:rPr>
          <w:rFonts w:ascii="Arial" w:hAnsi="Arial" w:cs="Arial"/>
          <w:sz w:val="20"/>
          <w:szCs w:val="20"/>
        </w:rPr>
        <w:t xml:space="preserve"> </w:t>
      </w:r>
      <w:r w:rsidRPr="002A213E">
        <w:rPr>
          <w:rFonts w:ascii="Arial" w:hAnsi="Arial" w:cs="Arial"/>
          <w:sz w:val="20"/>
          <w:szCs w:val="20"/>
        </w:rPr>
        <w:t>TA</w:t>
      </w:r>
      <w:r w:rsidR="0024649C">
        <w:rPr>
          <w:rFonts w:ascii="Arial" w:hAnsi="Arial" w:cs="Arial"/>
          <w:sz w:val="20"/>
          <w:szCs w:val="20"/>
        </w:rPr>
        <w:t>’s</w:t>
      </w:r>
    </w:p>
    <w:p w14:paraId="1AE94763" w14:textId="3FE09D7D" w:rsidR="002A213E" w:rsidRPr="00F73B69" w:rsidRDefault="00D0517D" w:rsidP="00D0517D">
      <w:pPr>
        <w:tabs>
          <w:tab w:val="left" w:pos="7005"/>
        </w:tabs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7B58D0C1" wp14:editId="2FB8D0CD">
            <wp:simplePos x="0" y="0"/>
            <wp:positionH relativeFrom="margin">
              <wp:align>center</wp:align>
            </wp:positionH>
            <wp:positionV relativeFrom="paragraph">
              <wp:posOffset>546735</wp:posOffset>
            </wp:positionV>
            <wp:extent cx="5486400" cy="3200400"/>
            <wp:effectExtent l="0" t="0" r="0" b="0"/>
            <wp:wrapTight wrapText="bothSides">
              <wp:wrapPolygon edited="0">
                <wp:start x="0" y="0"/>
                <wp:lineTo x="0" y="21471"/>
                <wp:lineTo x="21525" y="21471"/>
                <wp:lineTo x="21525" y="0"/>
                <wp:lineTo x="0" y="0"/>
              </wp:wrapPolygon>
            </wp:wrapTight>
            <wp:docPr id="1907388688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AED620" w14:textId="3F0EABE9" w:rsidR="00161A43" w:rsidRDefault="004D193A" w:rsidP="00161A43">
      <w:pPr>
        <w:tabs>
          <w:tab w:val="left" w:pos="7005"/>
        </w:tabs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w:lastRenderedPageBreak/>
        <w:drawing>
          <wp:inline distT="0" distB="0" distL="0" distR="0" wp14:anchorId="2405F67E" wp14:editId="7DF40A0B">
            <wp:extent cx="5486400" cy="3200400"/>
            <wp:effectExtent l="0" t="0" r="0" b="0"/>
            <wp:docPr id="1737231485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 w:rsidR="00161A43">
        <w:rPr>
          <w:rFonts w:ascii="Arial" w:hAnsi="Arial" w:cs="Arial"/>
          <w:b/>
          <w:bCs/>
          <w:noProof/>
          <w:sz w:val="32"/>
          <w:szCs w:val="32"/>
        </w:rPr>
        <w:drawing>
          <wp:anchor distT="0" distB="0" distL="114300" distR="114300" simplePos="0" relativeHeight="251661312" behindDoc="1" locked="0" layoutInCell="1" allowOverlap="1" wp14:anchorId="447E6C78" wp14:editId="0EB159B0">
            <wp:simplePos x="0" y="0"/>
            <wp:positionH relativeFrom="margin">
              <wp:posOffset>219075</wp:posOffset>
            </wp:positionH>
            <wp:positionV relativeFrom="paragraph">
              <wp:posOffset>3500120</wp:posOffset>
            </wp:positionV>
            <wp:extent cx="5486400" cy="3200400"/>
            <wp:effectExtent l="0" t="0" r="0" b="0"/>
            <wp:wrapTight wrapText="bothSides">
              <wp:wrapPolygon edited="0">
                <wp:start x="0" y="0"/>
                <wp:lineTo x="0" y="21471"/>
                <wp:lineTo x="21525" y="21471"/>
                <wp:lineTo x="21525" y="0"/>
                <wp:lineTo x="0" y="0"/>
              </wp:wrapPolygon>
            </wp:wrapTight>
            <wp:docPr id="1793425000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140592" w14:textId="3F57E9DA" w:rsidR="004D193A" w:rsidRDefault="004D193A" w:rsidP="00161A43">
      <w:pPr>
        <w:tabs>
          <w:tab w:val="left" w:pos="7005"/>
        </w:tabs>
        <w:jc w:val="center"/>
        <w:rPr>
          <w:rFonts w:ascii="Arial" w:hAnsi="Arial" w:cs="Arial"/>
          <w:b/>
          <w:bCs/>
          <w:sz w:val="32"/>
          <w:szCs w:val="32"/>
        </w:rPr>
      </w:pPr>
    </w:p>
    <w:p w14:paraId="44672E1D" w14:textId="24050F4B" w:rsidR="00161A43" w:rsidRDefault="00161A43" w:rsidP="00161A43">
      <w:pPr>
        <w:tabs>
          <w:tab w:val="left" w:pos="7005"/>
        </w:tabs>
        <w:jc w:val="center"/>
        <w:rPr>
          <w:rFonts w:ascii="Arial" w:hAnsi="Arial" w:cs="Arial"/>
          <w:b/>
          <w:bCs/>
          <w:sz w:val="32"/>
          <w:szCs w:val="32"/>
        </w:rPr>
      </w:pPr>
    </w:p>
    <w:p w14:paraId="2FA9D149" w14:textId="10668D30" w:rsidR="00161A43" w:rsidRDefault="00161A43" w:rsidP="00161A43">
      <w:pPr>
        <w:tabs>
          <w:tab w:val="left" w:pos="7005"/>
        </w:tabs>
        <w:rPr>
          <w:rFonts w:ascii="Arial" w:hAnsi="Arial" w:cs="Arial"/>
          <w:b/>
          <w:bCs/>
          <w:sz w:val="32"/>
          <w:szCs w:val="32"/>
        </w:rPr>
      </w:pPr>
    </w:p>
    <w:p w14:paraId="3593B3A3" w14:textId="371AD514" w:rsidR="00161A43" w:rsidRPr="001F425B" w:rsidRDefault="00161A43" w:rsidP="00F95897">
      <w:pPr>
        <w:tabs>
          <w:tab w:val="left" w:pos="7005"/>
        </w:tabs>
        <w:rPr>
          <w:rFonts w:ascii="Arial" w:hAnsi="Arial" w:cs="Arial"/>
          <w:b/>
          <w:bCs/>
          <w:sz w:val="32"/>
          <w:szCs w:val="32"/>
        </w:rPr>
      </w:pPr>
    </w:p>
    <w:sectPr w:rsidR="00161A43" w:rsidRPr="001F42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60C"/>
    <w:rsid w:val="000221A2"/>
    <w:rsid w:val="000834DD"/>
    <w:rsid w:val="00093016"/>
    <w:rsid w:val="000A6277"/>
    <w:rsid w:val="000F3DBF"/>
    <w:rsid w:val="0013660C"/>
    <w:rsid w:val="0014443B"/>
    <w:rsid w:val="00161A43"/>
    <w:rsid w:val="00163985"/>
    <w:rsid w:val="001740A7"/>
    <w:rsid w:val="001E7629"/>
    <w:rsid w:val="001F425B"/>
    <w:rsid w:val="00212C95"/>
    <w:rsid w:val="0024649C"/>
    <w:rsid w:val="0028054C"/>
    <w:rsid w:val="002A213E"/>
    <w:rsid w:val="002B20A9"/>
    <w:rsid w:val="002E5853"/>
    <w:rsid w:val="00327FA7"/>
    <w:rsid w:val="0038654C"/>
    <w:rsid w:val="004308DF"/>
    <w:rsid w:val="004430D7"/>
    <w:rsid w:val="00470F65"/>
    <w:rsid w:val="00476B50"/>
    <w:rsid w:val="00483CDF"/>
    <w:rsid w:val="004A1D76"/>
    <w:rsid w:val="004D193A"/>
    <w:rsid w:val="004E1787"/>
    <w:rsid w:val="00506532"/>
    <w:rsid w:val="005A6D87"/>
    <w:rsid w:val="005B75A9"/>
    <w:rsid w:val="00663711"/>
    <w:rsid w:val="007E2455"/>
    <w:rsid w:val="00801396"/>
    <w:rsid w:val="00875920"/>
    <w:rsid w:val="0088004C"/>
    <w:rsid w:val="008A616D"/>
    <w:rsid w:val="008B6504"/>
    <w:rsid w:val="00921026"/>
    <w:rsid w:val="00967FAD"/>
    <w:rsid w:val="009F1D2A"/>
    <w:rsid w:val="00B25FD6"/>
    <w:rsid w:val="00B30634"/>
    <w:rsid w:val="00C2238A"/>
    <w:rsid w:val="00C537A1"/>
    <w:rsid w:val="00C63A9A"/>
    <w:rsid w:val="00C711D9"/>
    <w:rsid w:val="00C85180"/>
    <w:rsid w:val="00C94B89"/>
    <w:rsid w:val="00CA20A8"/>
    <w:rsid w:val="00CA4F7F"/>
    <w:rsid w:val="00CC7C12"/>
    <w:rsid w:val="00CD614B"/>
    <w:rsid w:val="00D0517D"/>
    <w:rsid w:val="00D12C79"/>
    <w:rsid w:val="00D96F9D"/>
    <w:rsid w:val="00DB02F3"/>
    <w:rsid w:val="00DC2624"/>
    <w:rsid w:val="00E77034"/>
    <w:rsid w:val="00EE2D60"/>
    <w:rsid w:val="00F73B69"/>
    <w:rsid w:val="00F95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C0CCE"/>
  <w15:chartTrackingRefBased/>
  <w15:docId w15:val="{C6D772D4-1172-42D6-B079-D66D539D7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cimalAligned">
    <w:name w:val="Decimal Aligned"/>
    <w:basedOn w:val="Normal"/>
    <w:uiPriority w:val="40"/>
    <w:qFormat/>
    <w:rsid w:val="00CA4F7F"/>
    <w:pPr>
      <w:tabs>
        <w:tab w:val="decimal" w:pos="360"/>
      </w:tabs>
      <w:spacing w:after="200" w:line="276" w:lineRule="auto"/>
    </w:pPr>
    <w:rPr>
      <w:rFonts w:eastAsiaTheme="minorEastAsia" w:cs="Times New Roman"/>
      <w:kern w:val="0"/>
      <w:lang w:val="en-US"/>
      <w14:ligatures w14:val="none"/>
    </w:rPr>
  </w:style>
  <w:style w:type="paragraph" w:styleId="FootnoteText">
    <w:name w:val="footnote text"/>
    <w:basedOn w:val="Normal"/>
    <w:link w:val="FootnoteTextChar"/>
    <w:uiPriority w:val="99"/>
    <w:unhideWhenUsed/>
    <w:rsid w:val="00CA4F7F"/>
    <w:pPr>
      <w:spacing w:after="0" w:line="240" w:lineRule="auto"/>
    </w:pPr>
    <w:rPr>
      <w:rFonts w:eastAsiaTheme="minorEastAsia" w:cs="Times New Roman"/>
      <w:kern w:val="0"/>
      <w:sz w:val="20"/>
      <w:szCs w:val="20"/>
      <w:lang w:val="en-US"/>
      <w14:ligatures w14:val="none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A4F7F"/>
    <w:rPr>
      <w:rFonts w:eastAsiaTheme="minorEastAsia" w:cs="Times New Roman"/>
      <w:kern w:val="0"/>
      <w:sz w:val="20"/>
      <w:szCs w:val="20"/>
      <w:lang w:val="en-US"/>
      <w14:ligatures w14:val="none"/>
    </w:rPr>
  </w:style>
  <w:style w:type="character" w:styleId="SubtleEmphasis">
    <w:name w:val="Subtle Emphasis"/>
    <w:basedOn w:val="DefaultParagraphFont"/>
    <w:uiPriority w:val="19"/>
    <w:qFormat/>
    <w:rsid w:val="00CA4F7F"/>
    <w:rPr>
      <w:i/>
      <w:iCs/>
    </w:rPr>
  </w:style>
  <w:style w:type="table" w:styleId="MediumShading2-Accent5">
    <w:name w:val="Medium Shading 2 Accent 5"/>
    <w:basedOn w:val="TableNormal"/>
    <w:uiPriority w:val="64"/>
    <w:rsid w:val="00CA4F7F"/>
    <w:pPr>
      <w:spacing w:after="0" w:line="240" w:lineRule="auto"/>
    </w:pPr>
    <w:rPr>
      <w:rFonts w:eastAsiaTheme="minorEastAsia"/>
      <w:kern w:val="0"/>
      <w:lang w:val="en-US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NoSpacing">
    <w:name w:val="No Spacing"/>
    <w:uiPriority w:val="1"/>
    <w:qFormat/>
    <w:rsid w:val="002A213E"/>
    <w:pPr>
      <w:spacing w:after="0" w:line="240" w:lineRule="auto"/>
    </w:pPr>
  </w:style>
  <w:style w:type="table" w:styleId="TableGrid">
    <w:name w:val="Table Grid"/>
    <w:basedOn w:val="TableNormal"/>
    <w:uiPriority w:val="39"/>
    <w:rsid w:val="00161A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9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22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6" w:color="E7E9EE"/>
          </w:divBdr>
          <w:divsChild>
            <w:div w:id="1330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55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6" w:color="E7E9EE"/>
          </w:divBdr>
          <w:divsChild>
            <w:div w:id="13669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PH"/>
              <a:t>MISU Technical Assistance per Office/Division/Unit</a:t>
            </a:r>
          </a:p>
          <a:p>
            <a:pPr>
              <a:defRPr/>
            </a:pPr>
            <a:r>
              <a:rPr lang="en-PH"/>
              <a:t>Total Technical Assistance: 200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Administrative and Finance Division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Sheet1!$A$2:$A$7</c:f>
              <c:strCache>
                <c:ptCount val="6"/>
                <c:pt idx="0">
                  <c:v>Belarmino, Armin</c:v>
                </c:pt>
                <c:pt idx="1">
                  <c:v>De Zuñiga, Renz Mark</c:v>
                </c:pt>
                <c:pt idx="2">
                  <c:v>Ledesma, Grant Lemuel</c:v>
                </c:pt>
                <c:pt idx="3">
                  <c:v>Pua, Kevin Louise</c:v>
                </c:pt>
                <c:pt idx="4">
                  <c:v>Rafael, Kennard</c:v>
                </c:pt>
                <c:pt idx="5">
                  <c:v>Sicat, Emerson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57</c:v>
                </c:pt>
                <c:pt idx="1">
                  <c:v>1</c:v>
                </c:pt>
                <c:pt idx="2">
                  <c:v>10</c:v>
                </c:pt>
                <c:pt idx="3">
                  <c:v>18</c:v>
                </c:pt>
                <c:pt idx="4">
                  <c:v>1</c:v>
                </c:pt>
                <c:pt idx="5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175-4FF2-8686-5400EEFD7001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Localization and Institutionalization Division / Regional Committee / Sub-committee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Sheet1!$A$2:$A$7</c:f>
              <c:strCache>
                <c:ptCount val="6"/>
                <c:pt idx="0">
                  <c:v>Belarmino, Armin</c:v>
                </c:pt>
                <c:pt idx="1">
                  <c:v>De Zuñiga, Renz Mark</c:v>
                </c:pt>
                <c:pt idx="2">
                  <c:v>Ledesma, Grant Lemuel</c:v>
                </c:pt>
                <c:pt idx="3">
                  <c:v>Pua, Kevin Louise</c:v>
                </c:pt>
                <c:pt idx="4">
                  <c:v>Rafael, Kennard</c:v>
                </c:pt>
                <c:pt idx="5">
                  <c:v>Sicat, Emerson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17</c:v>
                </c:pt>
                <c:pt idx="1">
                  <c:v>1</c:v>
                </c:pt>
                <c:pt idx="3">
                  <c:v>1</c:v>
                </c:pt>
                <c:pt idx="4">
                  <c:v>2</c:v>
                </c:pt>
                <c:pt idx="5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175-4FF2-8686-5400EEFD7001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Monitoring and Evaluation Division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Sheet1!$A$2:$A$7</c:f>
              <c:strCache>
                <c:ptCount val="6"/>
                <c:pt idx="0">
                  <c:v>Belarmino, Armin</c:v>
                </c:pt>
                <c:pt idx="1">
                  <c:v>De Zuñiga, Renz Mark</c:v>
                </c:pt>
                <c:pt idx="2">
                  <c:v>Ledesma, Grant Lemuel</c:v>
                </c:pt>
                <c:pt idx="3">
                  <c:v>Pua, Kevin Louise</c:v>
                </c:pt>
                <c:pt idx="4">
                  <c:v>Rafael, Kennard</c:v>
                </c:pt>
                <c:pt idx="5">
                  <c:v>Sicat, Emerson</c:v>
                </c:pt>
              </c:strCache>
            </c:strRef>
          </c:cat>
          <c:val>
            <c:numRef>
              <c:f>Sheet1!$D$2:$D$7</c:f>
              <c:numCache>
                <c:formatCode>General</c:formatCode>
                <c:ptCount val="6"/>
                <c:pt idx="0">
                  <c:v>8</c:v>
                </c:pt>
                <c:pt idx="1">
                  <c:v>1</c:v>
                </c:pt>
                <c:pt idx="2">
                  <c:v>2</c:v>
                </c:pt>
                <c:pt idx="3">
                  <c:v>14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175-4FF2-8686-5400EEFD7001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Office of the Executive Director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Sheet1!$A$2:$A$7</c:f>
              <c:strCache>
                <c:ptCount val="6"/>
                <c:pt idx="0">
                  <c:v>Belarmino, Armin</c:v>
                </c:pt>
                <c:pt idx="1">
                  <c:v>De Zuñiga, Renz Mark</c:v>
                </c:pt>
                <c:pt idx="2">
                  <c:v>Ledesma, Grant Lemuel</c:v>
                </c:pt>
                <c:pt idx="3">
                  <c:v>Pua, Kevin Louise</c:v>
                </c:pt>
                <c:pt idx="4">
                  <c:v>Rafael, Kennard</c:v>
                </c:pt>
                <c:pt idx="5">
                  <c:v>Sicat, Emerson</c:v>
                </c:pt>
              </c:strCache>
            </c:strRef>
          </c:cat>
          <c:val>
            <c:numRef>
              <c:f>Sheet1!$E$2:$E$7</c:f>
              <c:numCache>
                <c:formatCode>General</c:formatCode>
                <c:ptCount val="6"/>
                <c:pt idx="0">
                  <c:v>16</c:v>
                </c:pt>
                <c:pt idx="1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4175-4FF2-8686-5400EEFD7001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Policy, Planning, and Research Division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Sheet1!$A$2:$A$7</c:f>
              <c:strCache>
                <c:ptCount val="6"/>
                <c:pt idx="0">
                  <c:v>Belarmino, Armin</c:v>
                </c:pt>
                <c:pt idx="1">
                  <c:v>De Zuñiga, Renz Mark</c:v>
                </c:pt>
                <c:pt idx="2">
                  <c:v>Ledesma, Grant Lemuel</c:v>
                </c:pt>
                <c:pt idx="3">
                  <c:v>Pua, Kevin Louise</c:v>
                </c:pt>
                <c:pt idx="4">
                  <c:v>Rafael, Kennard</c:v>
                </c:pt>
                <c:pt idx="5">
                  <c:v>Sicat, Emerson</c:v>
                </c:pt>
              </c:strCache>
            </c:strRef>
          </c:cat>
          <c:val>
            <c:numRef>
              <c:f>Sheet1!$F$2:$F$7</c:f>
              <c:numCache>
                <c:formatCode>General</c:formatCode>
                <c:ptCount val="6"/>
                <c:pt idx="0">
                  <c:v>16</c:v>
                </c:pt>
                <c:pt idx="2">
                  <c:v>2</c:v>
                </c:pt>
                <c:pt idx="3">
                  <c:v>2</c:v>
                </c:pt>
                <c:pt idx="5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4175-4FF2-8686-5400EEFD7001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Public Affairs and Information Office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Sheet1!$A$2:$A$7</c:f>
              <c:strCache>
                <c:ptCount val="6"/>
                <c:pt idx="0">
                  <c:v>Belarmino, Armin</c:v>
                </c:pt>
                <c:pt idx="1">
                  <c:v>De Zuñiga, Renz Mark</c:v>
                </c:pt>
                <c:pt idx="2">
                  <c:v>Ledesma, Grant Lemuel</c:v>
                </c:pt>
                <c:pt idx="3">
                  <c:v>Pua, Kevin Louise</c:v>
                </c:pt>
                <c:pt idx="4">
                  <c:v>Rafael, Kennard</c:v>
                </c:pt>
                <c:pt idx="5">
                  <c:v>Sicat, Emerson</c:v>
                </c:pt>
              </c:strCache>
            </c:strRef>
          </c:cat>
          <c:val>
            <c:numRef>
              <c:f>Sheet1!$G$2:$G$7</c:f>
              <c:numCache>
                <c:formatCode>General</c:formatCode>
                <c:ptCount val="6"/>
                <c:pt idx="0">
                  <c:v>14</c:v>
                </c:pt>
                <c:pt idx="4">
                  <c:v>1</c:v>
                </c:pt>
                <c:pt idx="5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4175-4FF2-8686-5400EEFD7001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1200393087"/>
        <c:axId val="1252957503"/>
      </c:barChart>
      <c:catAx>
        <c:axId val="120039308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52957503"/>
        <c:crosses val="autoZero"/>
        <c:auto val="1"/>
        <c:lblAlgn val="ctr"/>
        <c:lblOffset val="100"/>
        <c:noMultiLvlLbl val="0"/>
      </c:catAx>
      <c:valAx>
        <c:axId val="12529575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003930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PH"/>
              <a:t>ID Request Form</a:t>
            </a:r>
          </a:p>
          <a:p>
            <a:pPr>
              <a:defRPr/>
            </a:pPr>
            <a:r>
              <a:rPr lang="en-PH"/>
              <a:t>Total Requested: 24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Status of Employment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Sheet1!$A$2:$A$3</c:f>
              <c:strCache>
                <c:ptCount val="2"/>
                <c:pt idx="0">
                  <c:v>Regular</c:v>
                </c:pt>
                <c:pt idx="1">
                  <c:v>COSW/Cotermenous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11</c:v>
                </c:pt>
                <c:pt idx="1">
                  <c:v>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3D8-4B70-AA53-6A2C520EAF76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3351391"/>
        <c:axId val="690171599"/>
      </c:barChart>
      <c:catAx>
        <c:axId val="33513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0171599"/>
        <c:crosses val="autoZero"/>
        <c:auto val="1"/>
        <c:lblAlgn val="ctr"/>
        <c:lblOffset val="100"/>
        <c:noMultiLvlLbl val="0"/>
      </c:catAx>
      <c:valAx>
        <c:axId val="6901715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513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PH"/>
              <a:t>Zoom</a:t>
            </a:r>
            <a:r>
              <a:rPr lang="en-PH" baseline="0"/>
              <a:t> Request Form</a:t>
            </a:r>
          </a:p>
          <a:p>
            <a:pPr>
              <a:defRPr/>
            </a:pPr>
            <a:r>
              <a:rPr lang="en-PH" baseline="0"/>
              <a:t>Total Request: 30</a:t>
            </a:r>
            <a:endParaRPr lang="en-PH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Administrative and Finance Division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Division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358-4749-B8A8-9731F1F53214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Policy, Planning, and Research Division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Division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358-4749-B8A8-9731F1F53214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Office of the Executive Director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Division</c:v>
                </c:pt>
              </c:strCache>
            </c:strRef>
          </c:cat>
          <c:val>
            <c:numRef>
              <c:f>Sheet1!$D$2</c:f>
              <c:numCache>
                <c:formatCode>General</c:formatCode>
                <c:ptCount val="1"/>
                <c:pt idx="0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358-4749-B8A8-9731F1F53214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Public Affairs and Information Office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Division</c:v>
                </c:pt>
              </c:strCache>
            </c:strRef>
          </c:cat>
          <c:val>
            <c:numRef>
              <c:f>Sheet1!$E$2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A358-4749-B8A8-9731F1F53214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Localization and Institutionalization Division / Regional Committee / Sub-committee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Division</c:v>
                </c:pt>
              </c:strCache>
            </c:strRef>
          </c:cat>
          <c:val>
            <c:numRef>
              <c:f>Sheet1!$F$2</c:f>
              <c:numCache>
                <c:formatCode>General</c:formatCode>
                <c:ptCount val="1"/>
                <c:pt idx="0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A358-4749-B8A8-9731F1F53214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697036383"/>
        <c:axId val="66391183"/>
      </c:barChart>
      <c:catAx>
        <c:axId val="69703638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391183"/>
        <c:crosses val="autoZero"/>
        <c:auto val="1"/>
        <c:lblAlgn val="ctr"/>
        <c:lblOffset val="100"/>
        <c:noMultiLvlLbl val="0"/>
      </c:catAx>
      <c:valAx>
        <c:axId val="663911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703638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Email Account Request Form</a:t>
            </a:r>
          </a:p>
          <a:p>
            <a:pPr>
              <a:defRPr/>
            </a:pPr>
            <a:r>
              <a:rPr lang="en-US"/>
              <a:t>Total Requested: 24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Administrative and Finance Division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Division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031-42B7-A59B-25108950F6A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Monitoring and Evaluation Division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Division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0031-42B7-A59B-25108950F6AE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Project Management Office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Division</c:v>
                </c:pt>
              </c:strCache>
            </c:strRef>
          </c:cat>
          <c:val>
            <c:numRef>
              <c:f>Sheet1!$D$2</c:f>
              <c:numCache>
                <c:formatCode>General</c:formatCode>
                <c:ptCount val="1"/>
                <c:pt idx="0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0031-42B7-A59B-25108950F6AE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Policy, Planning and Research Division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Division</c:v>
                </c:pt>
              </c:strCache>
            </c:strRef>
          </c:cat>
          <c:val>
            <c:numRef>
              <c:f>Sheet1!$E$2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0031-42B7-A59B-25108950F6AE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Public Affairs and Information Office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Division</c:v>
                </c:pt>
              </c:strCache>
            </c:strRef>
          </c:cat>
          <c:val>
            <c:numRef>
              <c:f>Sheet1!$F$2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BE4-4DA0-BC68-7C4CDE404C69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Localization and Institutionalization Division / Regional Committee / Sub-committee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Division</c:v>
                </c:pt>
              </c:strCache>
            </c:strRef>
          </c:cat>
          <c:val>
            <c:numRef>
              <c:f>Sheet1!$G$2</c:f>
              <c:numCache>
                <c:formatCode>General</c:formatCode>
                <c:ptCount val="1"/>
                <c:pt idx="0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19B-4B65-918A-F4F425BF8678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691476111"/>
        <c:axId val="67607343"/>
      </c:barChart>
      <c:catAx>
        <c:axId val="69147611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607343"/>
        <c:crosses val="autoZero"/>
        <c:auto val="1"/>
        <c:lblAlgn val="ctr"/>
        <c:lblOffset val="100"/>
        <c:noMultiLvlLbl val="0"/>
      </c:catAx>
      <c:valAx>
        <c:axId val="676073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14761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3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3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1432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cwc cwc</dc:creator>
  <cp:keywords/>
  <dc:description/>
  <cp:lastModifiedBy>cwc cwc</cp:lastModifiedBy>
  <cp:revision>25</cp:revision>
  <dcterms:created xsi:type="dcterms:W3CDTF">2023-11-30T02:11:00Z</dcterms:created>
  <dcterms:modified xsi:type="dcterms:W3CDTF">2024-05-15T02:25:00Z</dcterms:modified>
</cp:coreProperties>
</file>