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85A6B4" w14:textId="77777777" w:rsidR="00BD1D03" w:rsidRDefault="00000000">
      <w:pPr>
        <w:pStyle w:val="BodyText"/>
        <w:spacing w:line="480" w:lineRule="auto"/>
      </w:pPr>
      <w:r>
        <w:rPr>
          <w:b/>
        </w:rPr>
        <w:t>Journal:</w:t>
      </w:r>
      <w:r>
        <w:t xml:space="preserve"> Ecological Applications</w:t>
      </w:r>
    </w:p>
    <w:p w14:paraId="75593CCD" w14:textId="77777777" w:rsidR="00BD1D03" w:rsidRDefault="00000000">
      <w:pPr>
        <w:pStyle w:val="BodyText"/>
        <w:spacing w:line="480" w:lineRule="auto"/>
      </w:pPr>
      <w:r>
        <w:rPr>
          <w:b/>
        </w:rPr>
        <w:t>Manuscript type:</w:t>
      </w:r>
      <w:r>
        <w:t xml:space="preserve"> Method</w:t>
      </w:r>
    </w:p>
    <w:p w14:paraId="7B7E7696" w14:textId="77777777" w:rsidR="00AD04EE" w:rsidRPr="00B97B65" w:rsidRDefault="00AD04EE" w:rsidP="00AD04EE">
      <w:pPr>
        <w:pStyle w:val="Title"/>
        <w:spacing w:after="0" w:line="480" w:lineRule="auto"/>
        <w:jc w:val="left"/>
        <w:rPr>
          <w:rFonts w:ascii="Times New Roman" w:hAnsi="Times New Roman" w:cs="Times New Roman"/>
          <w:b/>
          <w:bCs/>
          <w:sz w:val="28"/>
          <w:szCs w:val="28"/>
        </w:rPr>
      </w:pPr>
      <w:bookmarkStart w:id="0" w:name="abstract"/>
      <w:r>
        <w:rPr>
          <w:rFonts w:ascii="Times New Roman" w:hAnsi="Times New Roman" w:cs="Times New Roman"/>
          <w:b/>
          <w:bCs/>
          <w:sz w:val="28"/>
          <w:szCs w:val="28"/>
        </w:rPr>
        <w:t xml:space="preserve">Smart environmental DNA sampling strategies: </w:t>
      </w:r>
      <w:r>
        <w:rPr>
          <w:rFonts w:ascii="Times New Roman" w:hAnsi="Times New Roman" w:cs="Times New Roman"/>
          <w:b/>
          <w:sz w:val="28"/>
          <w:szCs w:val="28"/>
        </w:rPr>
        <w:t>a spatial</w:t>
      </w:r>
      <w:r>
        <w:rPr>
          <w:rFonts w:ascii="Times New Roman" w:hAnsi="Times New Roman" w:cs="Times New Roman"/>
          <w:b/>
          <w:bCs/>
          <w:sz w:val="28"/>
          <w:szCs w:val="28"/>
        </w:rPr>
        <w:t xml:space="preserve"> autocorrelation </w:t>
      </w:r>
      <w:r>
        <w:rPr>
          <w:rFonts w:ascii="Times New Roman" w:hAnsi="Times New Roman" w:cs="Times New Roman"/>
          <w:b/>
          <w:sz w:val="28"/>
          <w:szCs w:val="28"/>
        </w:rPr>
        <w:t>method and interactive planner for</w:t>
      </w:r>
      <w:r>
        <w:rPr>
          <w:rFonts w:ascii="Times New Roman" w:hAnsi="Times New Roman" w:cs="Times New Roman"/>
          <w:b/>
          <w:bCs/>
          <w:sz w:val="28"/>
          <w:szCs w:val="28"/>
        </w:rPr>
        <w:t xml:space="preserve"> survey design</w:t>
      </w:r>
    </w:p>
    <w:p w14:paraId="3D984AE8" w14:textId="77777777" w:rsidR="000D6CB9" w:rsidRDefault="00000000">
      <w:pPr>
        <w:pStyle w:val="Author"/>
        <w:spacing w:after="0" w:line="480" w:lineRule="auto"/>
      </w:pPr>
      <w:r>
        <w:rPr>
          <w:rFonts w:ascii="Times New Roman" w:hAnsi="Times New Roman" w:cs="Times New Roman"/>
          <w:b/>
          <w:bCs/>
        </w:rPr>
        <w:t>Running headline:</w:t>
      </w:r>
      <w:r>
        <w:rPr>
          <w:rFonts w:ascii="Times New Roman" w:hAnsi="Times New Roman" w:cs="Times New Roman"/>
        </w:rPr>
        <w:t xml:space="preserve"> Efficient eDNA survey design</w:t>
      </w:r>
    </w:p>
    <w:p w14:paraId="167E8E36" w14:textId="77777777" w:rsidR="00BD1D03" w:rsidRDefault="00000000">
      <w:pPr>
        <w:pStyle w:val="BodyText"/>
        <w:spacing w:line="480" w:lineRule="auto"/>
      </w:pPr>
      <w:r>
        <w:t>Gledis Guri</w:t>
      </w:r>
      <w:r>
        <w:rPr>
          <w:vertAlign w:val="superscript"/>
        </w:rPr>
        <w:t>1*</w:t>
      </w:r>
      <w:r>
        <w:t>, Ryan P. Kelly</w:t>
      </w:r>
      <w:r>
        <w:rPr>
          <w:vertAlign w:val="superscript"/>
        </w:rPr>
        <w:t>1</w:t>
      </w:r>
      <w:r>
        <w:t>, Andrew O. Shelton</w:t>
      </w:r>
      <w:r>
        <w:rPr>
          <w:vertAlign w:val="superscript"/>
        </w:rPr>
        <w:t>2</w:t>
      </w:r>
      <w:r>
        <w:t>, Owen R. Liu</w:t>
      </w:r>
      <w:r>
        <w:rPr>
          <w:vertAlign w:val="superscript"/>
        </w:rPr>
        <w:t>3</w:t>
      </w:r>
      <w:r>
        <w:t>, Krista M. Nichols</w:t>
      </w:r>
      <w:r>
        <w:rPr>
          <w:vertAlign w:val="superscript"/>
        </w:rPr>
        <w:t>2</w:t>
      </w:r>
    </w:p>
    <w:p w14:paraId="10225EA0" w14:textId="77777777" w:rsidR="00BD1D03" w:rsidRDefault="00000000">
      <w:pPr>
        <w:pStyle w:val="BodyText"/>
        <w:spacing w:line="480" w:lineRule="auto"/>
      </w:pPr>
      <w:r>
        <w:rPr>
          <w:vertAlign w:val="superscript"/>
        </w:rPr>
        <w:t>1</w:t>
      </w:r>
      <w:r>
        <w:t>School of Marine and Environmental Affairs, University of Washington, Seattle, Washington, USA</w:t>
      </w:r>
    </w:p>
    <w:p w14:paraId="1194CBA9" w14:textId="77777777" w:rsidR="00BD1D03" w:rsidRDefault="00000000">
      <w:pPr>
        <w:pStyle w:val="BodyText"/>
        <w:spacing w:line="480" w:lineRule="auto"/>
      </w:pPr>
      <w:r>
        <w:rPr>
          <w:vertAlign w:val="superscript"/>
        </w:rPr>
        <w:t>2</w:t>
      </w:r>
      <w:r>
        <w:t>Conservation Biology Division, Northwest Fisheries Science Center, NOAA Fisheries, 2725 Montlake Blvd E, Seattle, Washington 98112, USA</w:t>
      </w:r>
    </w:p>
    <w:p w14:paraId="1455DA54" w14:textId="77777777" w:rsidR="00BD1D03" w:rsidRDefault="00000000">
      <w:pPr>
        <w:pStyle w:val="BodyText"/>
        <w:spacing w:line="480" w:lineRule="auto"/>
      </w:pPr>
      <w:r>
        <w:rPr>
          <w:vertAlign w:val="superscript"/>
        </w:rPr>
        <w:t>3</w:t>
      </w:r>
      <w:r>
        <w:t>School of Aquatic and Fishery Sciences, University of Washington, Seattle, Washington, USA</w:t>
      </w:r>
    </w:p>
    <w:p w14:paraId="3CA58A61" w14:textId="77777777" w:rsidR="00BD1D03" w:rsidRDefault="00000000">
      <w:pPr>
        <w:pStyle w:val="BodyText"/>
        <w:spacing w:line="480" w:lineRule="auto"/>
      </w:pPr>
      <w:r>
        <w:rPr>
          <w:vertAlign w:val="superscript"/>
        </w:rPr>
        <w:t>*</w:t>
      </w:r>
      <w:r>
        <w:t>Corresponding author. Email: gguri@uw.edu</w:t>
      </w:r>
    </w:p>
    <w:p w14:paraId="35BA781E" w14:textId="77777777" w:rsidR="00BD1D03" w:rsidRDefault="00000000">
      <w:pPr>
        <w:pStyle w:val="BodyText"/>
        <w:spacing w:line="480" w:lineRule="auto"/>
      </w:pPr>
      <w:commentRangeStart w:id="1"/>
      <w:r>
        <w:rPr>
          <w:b/>
        </w:rPr>
        <w:t>Open Research statement:</w:t>
      </w:r>
      <w:r>
        <w:t xml:space="preserve"> Data are archived in Zenodo (Guri, 2026; https://doi.org/10.5281/zenodo.21141367). Novel code (R and Stan scripts that reproduce all analyses) and the eDNA Survey Planner are provided for peer review in a public GitHub repository (https://github.com/gledguri/Smart-eDNA-sampling), and the planner can be used directly in a web browser at https://gledguri.github.io/Smart-eDNA-sampling/. Upon acceptance, the version of record of the code and the planner will be permanently archived in Zenodo.</w:t>
      </w:r>
    </w:p>
    <w:p w14:paraId="4D9ED84F" w14:textId="77777777" w:rsidR="00BD1D03" w:rsidRDefault="00000000">
      <w:pPr>
        <w:pStyle w:val="BodyText"/>
        <w:spacing w:line="480" w:lineRule="auto"/>
      </w:pPr>
      <w:r>
        <w:rPr>
          <w:b/>
        </w:rPr>
        <w:t>Key words:</w:t>
      </w:r>
      <w:r>
        <w:t xml:space="preserve"> biodiversity monitoring; decision-support tool; environmental DNA; fisheries management; Gaussian process; metabarcoding; sampling design; spatial autocorrelation; survey cost-effectiveness</w:t>
      </w:r>
      <w:commentRangeEnd w:id="1"/>
      <w:r w:rsidR="003D7556">
        <w:rPr>
          <w:rStyle w:val="CommentReference"/>
          <w:sz w:val="24"/>
          <w:szCs w:val="24"/>
        </w:rPr>
        <w:commentReference w:id="1"/>
      </w:r>
    </w:p>
    <w:p w14:paraId="61DD3E7E" w14:textId="77777777" w:rsidR="00AD04EE" w:rsidRDefault="00AD04EE" w:rsidP="00AD04EE">
      <w:pPr>
        <w:pStyle w:val="Author"/>
        <w:spacing w:after="0" w:line="480" w:lineRule="auto"/>
        <w:jc w:val="left"/>
        <w:rPr>
          <w:rFonts w:ascii="Times New Roman" w:hAnsi="Times New Roman" w:cs="Times New Roman"/>
        </w:rPr>
      </w:pPr>
    </w:p>
    <w:p w14:paraId="7FB341E9" w14:textId="77777777" w:rsidR="00AD04EE" w:rsidRDefault="00AD04EE">
      <w:pPr>
        <w:rPr>
          <w:rFonts w:ascii="Times New Roman" w:eastAsiaTheme="majorEastAsia" w:hAnsi="Times New Roman" w:cstheme="majorBidi"/>
          <w:b/>
          <w:sz w:val="28"/>
          <w:szCs w:val="40"/>
        </w:rPr>
      </w:pPr>
      <w:r>
        <w:br w:type="page"/>
      </w:r>
    </w:p>
    <w:p w14:paraId="1AF47531" w14:textId="77777777" w:rsidR="0032076E" w:rsidRDefault="00D04708" w:rsidP="001643E6">
      <w:pPr>
        <w:pStyle w:val="Heading1"/>
        <w:spacing w:before="0" w:after="0" w:line="480" w:lineRule="auto"/>
      </w:pPr>
      <w:r>
        <w:lastRenderedPageBreak/>
        <w:t>Abstract</w:t>
      </w:r>
    </w:p>
    <w:p w14:paraId="2F40A1B5" w14:textId="77777777" w:rsidR="000D6CB9" w:rsidRDefault="00000000">
      <w:pPr>
        <w:pStyle w:val="BodyText"/>
        <w:spacing w:line="480" w:lineRule="auto"/>
      </w:pPr>
      <w:commentRangeStart w:id="2"/>
      <w:r>
        <w:t>Environmental DNA (eDNA) surveys are increasingly used to monitor marine biodiversity, yet managers have little quantitative guidance on how many samples to collect, and because species differ in patchiness, no single sample size serves all. We present a method that converts a target prediction error and a prior estimate of a taxon’s spatial autocorrelation length-scale (</w:t>
      </w:r>
      <w:r>
        <w:rPr>
          <w:i/>
        </w:rPr>
        <w:t>ρ</w:t>
      </w:r>
      <w:r>
        <w:t>) into a minimum sampling density. Bayesian Gaussian process models are fitted to pilot eDNA data, observed and simulated fields are progressively thinned to quantify how reduced effort degrades prediction and parameter recovery, and the results are summarized in an invertible error–effort equation implemented in a free, browser-based survey planner. In a case study combining eDNA data for 12 fish species (358 samples from five depth strata along the U.S. West Coast) with 200 simulated fields (</w:t>
      </w:r>
      <w:r>
        <w:rPr>
          <w:i/>
        </w:rPr>
        <w:t>ρ</w:t>
      </w:r>
      <w:r>
        <w:t xml:space="preserve"> = 25–1000 km), marginal gains became negligible at 4–5 samples per 10,000 km</w:t>
      </w:r>
      <w:r>
        <w:rPr>
          <w:vertAlign w:val="superscript"/>
        </w:rPr>
        <w:t>2</w:t>
      </w:r>
      <w:r>
        <w:t xml:space="preserve"> per depth layer for smoothly distributed species (</w:t>
      </w:r>
      <w:r>
        <w:rPr>
          <w:i/>
        </w:rPr>
        <w:t>ρ</w:t>
      </w:r>
      <w:r>
        <w:t xml:space="preserve"> &gt; 500 km), whereas patchily distributed species (</w:t>
      </w:r>
      <w:r>
        <w:rPr>
          <w:i/>
        </w:rPr>
        <w:t>ρ</w:t>
      </w:r>
      <w:r>
        <w:t xml:space="preserve"> &lt; 50 km) required 8–11, over twice the effort for equal precision. Depth-specific means, which underpin abundance indices, were recovered reliably under sparse sampling. The planner lets survey designers set defensible, species-specific effort before a cruise.</w:t>
      </w:r>
      <w:commentRangeEnd w:id="2"/>
      <w:r w:rsidR="00496211">
        <w:rPr>
          <w:rStyle w:val="CommentReference"/>
          <w:sz w:val="24"/>
          <w:szCs w:val="24"/>
        </w:rPr>
        <w:commentReference w:id="2"/>
      </w:r>
    </w:p>
    <w:p w14:paraId="5D886C7A" w14:textId="77777777" w:rsidR="003B5D12" w:rsidRPr="00915163" w:rsidRDefault="003B5D12" w:rsidP="001643E6">
      <w:pPr>
        <w:pStyle w:val="BodyText"/>
        <w:spacing w:line="480" w:lineRule="auto"/>
      </w:pPr>
    </w:p>
    <w:p w14:paraId="55B66859" w14:textId="77777777" w:rsidR="00D477E6" w:rsidRPr="00D477E6" w:rsidRDefault="00D477E6" w:rsidP="001643E6">
      <w:pPr>
        <w:pStyle w:val="BodyText"/>
        <w:spacing w:line="480" w:lineRule="auto"/>
      </w:pPr>
    </w:p>
    <w:p w14:paraId="51CE0AFA" w14:textId="77777777" w:rsidR="0032076E" w:rsidRDefault="00D04708" w:rsidP="001643E6">
      <w:pPr>
        <w:pStyle w:val="Heading1"/>
        <w:spacing w:before="0" w:after="0" w:line="480" w:lineRule="auto"/>
      </w:pPr>
      <w:bookmarkStart w:id="3" w:name="introduction"/>
      <w:bookmarkEnd w:id="0"/>
      <w:r>
        <w:t>Introduction</w:t>
      </w:r>
    </w:p>
    <w:p w14:paraId="68880131" w14:textId="77777777" w:rsidR="00E656D3" w:rsidRDefault="00686350" w:rsidP="001643E6">
      <w:pPr>
        <w:pStyle w:val="BodyText"/>
        <w:spacing w:line="480" w:lineRule="auto"/>
        <w:ind w:firstLine="720"/>
      </w:pPr>
      <w:bookmarkStart w:id="4" w:name="OLE_LINK9"/>
      <w:r>
        <w:t>Biodiversity monitoring programmes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w:t>
      </w:r>
      <w:r w:rsidR="00B44D15">
        <w:t xml:space="preserve"> </w:t>
      </w:r>
      <w:r w:rsidR="00B44D15">
        <w:fldChar w:fldCharType="begin"/>
      </w:r>
      <w:r w:rsidR="00B44D15">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B44D15">
        <w:fldChar w:fldCharType="separate"/>
      </w:r>
      <w:r w:rsidR="00B44D15">
        <w:rPr>
          <w:noProof/>
        </w:rPr>
        <w:t>(Yoccoz et al., 2001)</w:t>
      </w:r>
      <w:r w:rsidR="00B44D15">
        <w:fldChar w:fldCharType="end"/>
      </w:r>
      <w:r w:rsidR="00B44D15">
        <w:t>.</w:t>
      </w:r>
      <w:r>
        <w:t xml:space="preserve"> Survey design must balance the need for sufficient data for detecting trends and changes in population </w:t>
      </w:r>
      <w:r>
        <w:lastRenderedPageBreak/>
        <w:t>while also minimizing cost (i.e., maximizing sampling efficiency)</w:t>
      </w:r>
      <w:r w:rsidR="008A6B47" w:rsidRPr="008A6B47">
        <w:t xml:space="preserve"> </w:t>
      </w:r>
      <w:r w:rsidR="008A6B47">
        <w:fldChar w:fldCharType="begin"/>
      </w:r>
      <w:r w:rsidR="00AA6C90">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8A6B47">
        <w:fldChar w:fldCharType="separate"/>
      </w:r>
      <w:r w:rsidR="00556224">
        <w:rPr>
          <w:noProof/>
        </w:rPr>
        <w:t>(Stein &amp; Ettema, 2003; Xu et al., 2015; Zhao et al., 2022)</w:t>
      </w:r>
      <w:r w:rsidR="008A6B47">
        <w:fldChar w:fldCharType="end"/>
      </w:r>
      <w:r w:rsidR="009841AD">
        <w:t>.</w:t>
      </w:r>
    </w:p>
    <w:bookmarkEnd w:id="4"/>
    <w:p w14:paraId="44A2B5FA" w14:textId="77777777" w:rsidR="00CE6B24" w:rsidRDefault="0066533A" w:rsidP="001643E6">
      <w:pPr>
        <w:pStyle w:val="BodyText"/>
        <w:spacing w:line="480" w:lineRule="auto"/>
        <w:ind w:firstLine="720"/>
      </w:pPr>
      <w:r>
        <w:t>The emergence of environmental DNA (eDNA) sampling has revolutionized monitoring capabilities, offering a non-invasive method to detect species presence and estimate relative abundance</w:t>
      </w:r>
      <w:r w:rsidR="009841AD" w:rsidRPr="009841AD">
        <w:t xml:space="preserve"> </w:t>
      </w:r>
      <w:r w:rsidR="009841AD">
        <w:fldChar w:fldCharType="begin"/>
      </w:r>
      <w:r w:rsidR="00FA3259">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rsidR="009841AD">
        <w:fldChar w:fldCharType="separate"/>
      </w:r>
      <w:r w:rsidR="00FA3259">
        <w:rPr>
          <w:noProof/>
        </w:rPr>
        <w:t>(Gold et al., 2021; Shelton et al., 2022; Taberlet et al., 2012)</w:t>
      </w:r>
      <w:r w:rsidR="009841AD">
        <w:fldChar w:fldCharType="end"/>
      </w:r>
      <w:r w:rsidR="00CC7677">
        <w:t>.</w:t>
      </w:r>
      <w:r>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A45D3E">
        <w:fldChar w:fldCharType="begin"/>
      </w:r>
      <w:r w:rsidR="00E54BD9">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rsidR="00A45D3E">
        <w:fldChar w:fldCharType="separate"/>
      </w:r>
      <w:r w:rsidR="00E54BD9">
        <w:rPr>
          <w:noProof/>
        </w:rPr>
        <w:t>(Baetscher et al., 2025; Guri et al., 2024; Kirtane et al., 2021; Salter et al., 2026)</w:t>
      </w:r>
      <w:r w:rsidR="00A45D3E">
        <w:fldChar w:fldCharType="end"/>
      </w:r>
      <w:r>
        <w:t>. Because agencies are now evaluating eDNA as an operational component of biodiversity assessment rather than as an exploratory tool, explicit and defensible guidance on how much to sample has become a prerequisite for uptake rather than a refinement of it.</w:t>
      </w:r>
    </w:p>
    <w:p w14:paraId="312C175B" w14:textId="77777777" w:rsidR="00BF4A9D" w:rsidRDefault="00BF4A9D" w:rsidP="001643E6">
      <w:pPr>
        <w:pStyle w:val="BodyText"/>
        <w:spacing w:line="480" w:lineRule="auto"/>
        <w:ind w:firstLine="720"/>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BC0903">
        <w:fldChar w:fldCharType="begin"/>
      </w:r>
      <w:r w:rsidR="00BC0903">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rsidR="00BC0903">
        <w:fldChar w:fldCharType="separate"/>
      </w:r>
      <w:r w:rsidR="00BC0903">
        <w:rPr>
          <w:noProof/>
        </w:rPr>
        <w:t>(Schweiger et al., 2016)</w:t>
      </w:r>
      <w:r w:rsidR="00BC0903">
        <w:fldChar w:fldCharType="end"/>
      </w:r>
      <w:r w:rsidRPr="00BF4A9D">
        <w:t>, this relationship exhibits diminishing returns where beyond a certain threshold, additional sampling effort produces marginal gains in statistical precision that may not justify the associated costs and logistical demands</w:t>
      </w:r>
      <w:r w:rsidR="00063455">
        <w:t xml:space="preserve"> </w:t>
      </w:r>
      <w:r w:rsidR="00FF5201">
        <w:fldChar w:fldCharType="begin"/>
      </w:r>
      <w:r w:rsidR="00AA6C90">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FF5201">
        <w:fldChar w:fldCharType="separate"/>
      </w:r>
      <w:r w:rsidR="000B7F3C">
        <w:rPr>
          <w:noProof/>
        </w:rPr>
        <w:t>(Perret et al., 2022; Zhao et al., 2022)</w:t>
      </w:r>
      <w:r w:rsidR="00FF5201">
        <w:fldChar w:fldCharType="end"/>
      </w:r>
      <w:r>
        <w:t xml:space="preserve">. </w:t>
      </w:r>
    </w:p>
    <w:p w14:paraId="0388C83E" w14:textId="77777777" w:rsidR="00286ADA" w:rsidRPr="00C36F1B" w:rsidRDefault="00FC70CA" w:rsidP="001643E6">
      <w:pPr>
        <w:pStyle w:val="BodyText"/>
        <w:spacing w:line="480" w:lineRule="auto"/>
        <w:ind w:firstLine="720"/>
      </w:pPr>
      <w:bookmarkStart w:id="5" w:name="OLE_LINK6"/>
      <w:r>
        <w:t xml:space="preserve">We conceptualize species spatial distributions as realizations of a Gaussian Process (GP), in which spatial dependence is characterized by a species-specific length-scale parameter (ρ) describing the distance over which observations remain correlated. We hypothesize that the sampling density required to characterize a species’ distribution depends on this spatial length-scale. A species with a long length-scale varies gradually across space and can therefore be reconstructed from fewer samples, whereas a species with a short length-scale exhibits more </w:t>
      </w:r>
      <w:r>
        <w:lastRenderedPageBreak/>
        <w:t xml:space="preserve">rapid spatial variation and consequently requires denser sampling (Figure 1). Thus, knowledge of species-specific spatial autocorrelation can provide a quantitative basis for informing sampling effort </w:t>
      </w:r>
      <w:r w:rsidR="001365D9">
        <w:fldChar w:fldCharType="begin"/>
      </w:r>
      <w:r w:rsidR="001365D9">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rsidR="001365D9">
        <w:fldChar w:fldCharType="separate"/>
      </w:r>
      <w:r w:rsidR="001365D9">
        <w:rPr>
          <w:noProof/>
        </w:rPr>
        <w:t>(Fortin et al., 1989)</w:t>
      </w:r>
      <w:r w:rsidR="001365D9">
        <w:fldChar w:fldCharType="end"/>
      </w:r>
      <w:r>
        <w:t xml:space="preserve">. </w:t>
      </w:r>
      <w:bookmarkEnd w:id="5"/>
      <w:commentRangeStart w:id="6"/>
      <w:r>
        <w:t xml:space="preserve">Yet there is still no general, transferable procedure for deciding how many eDNA samples a survey needs, and design guidance is rarely used unless it is accessible to those who plan surveys. </w:t>
      </w:r>
      <w:commentRangeEnd w:id="6"/>
      <w:r w:rsidR="00496211">
        <w:rPr>
          <w:rStyle w:val="CommentReference"/>
          <w:sz w:val="24"/>
          <w:szCs w:val="24"/>
        </w:rPr>
        <w:commentReference w:id="6"/>
      </w:r>
      <w:commentRangeStart w:id="7"/>
      <w:r>
        <w:t>Here we present such a procedure together with a free, interactive tool that implements it</w:t>
      </w:r>
      <w:commentRangeEnd w:id="7"/>
      <w:r w:rsidR="00496211">
        <w:rPr>
          <w:rStyle w:val="CommentReference"/>
          <w:sz w:val="24"/>
          <w:szCs w:val="24"/>
        </w:rPr>
        <w:commentReference w:id="7"/>
      </w:r>
      <w:r>
        <w:t>. Using paired simulated and empirical eDNA data for species that differ in their spatial distributions, the method quantifies how spatial autocorrelation and sampling effort affect (i) the predictive accuracy of species distribution models and (ii) the accuracy of GP parameter estimation, and summarizes the result in an equation that can be solved for the sampling effort required. Our objective is deliberately operational: to provide survey planners with guidance that can be applied before a cruise, based on a prior estimate of the spatial autocorrelation of target taxa and the level of precision required. We describe the method and the planner, demonstrate both with a multispecies eDNA survey of the California Current, and outline applications to survey planning, monitoring and management.</w:t>
      </w:r>
    </w:p>
    <w:p w14:paraId="31769F42" w14:textId="77777777" w:rsidR="0032076E" w:rsidRDefault="00D04708" w:rsidP="001643E6">
      <w:pPr>
        <w:pStyle w:val="Heading1"/>
        <w:spacing w:before="0" w:after="0" w:line="480" w:lineRule="auto"/>
      </w:pPr>
      <w:bookmarkStart w:id="8" w:name="materials-and-methods"/>
      <w:bookmarkEnd w:id="3"/>
      <w:commentRangeStart w:id="9"/>
      <w:r>
        <w:t>Description of the method</w:t>
      </w:r>
      <w:commentRangeEnd w:id="9"/>
      <w:r w:rsidR="006F6161">
        <w:rPr>
          <w:rStyle w:val="CommentReference"/>
          <w:sz w:val="28"/>
          <w:szCs w:val="40"/>
        </w:rPr>
        <w:commentReference w:id="9"/>
      </w:r>
    </w:p>
    <w:p w14:paraId="2EC86B50" w14:textId="77777777" w:rsidR="001B4F2A" w:rsidRDefault="003676DB" w:rsidP="001643E6">
      <w:pPr>
        <w:pStyle w:val="BodyText"/>
        <w:spacing w:line="480" w:lineRule="auto"/>
        <w:ind w:firstLine="720"/>
      </w:pPr>
      <w:bookmarkStart w:id="10" w:name="simulated-edna-data"/>
      <w:r>
        <w:t xml:space="preserve">The method links sampling effort to the accuracy of spatial inference within a common GP framework and proceeds in four steps (Figure 2): (1) fit a GP model to existing or </w:t>
      </w:r>
      <w:commentRangeStart w:id="11"/>
      <w:r>
        <w:t xml:space="preserve">pilot </w:t>
      </w:r>
      <w:commentRangeEnd w:id="11"/>
      <w:r w:rsidR="006F6161">
        <w:rPr>
          <w:rStyle w:val="CommentReference"/>
          <w:sz w:val="24"/>
          <w:szCs w:val="24"/>
        </w:rPr>
        <w:commentReference w:id="11"/>
      </w:r>
      <w:r>
        <w:t xml:space="preserve">eDNA data to characterize taxon-specific spatial structure; (2) progressively </w:t>
      </w:r>
      <w:commentRangeStart w:id="12"/>
      <w:r>
        <w:t xml:space="preserve">thin </w:t>
      </w:r>
      <w:commentRangeEnd w:id="12"/>
      <w:r w:rsidR="006F6161">
        <w:rPr>
          <w:rStyle w:val="CommentReference"/>
          <w:sz w:val="24"/>
          <w:szCs w:val="24"/>
        </w:rPr>
        <w:commentReference w:id="12"/>
      </w:r>
      <w:r>
        <w:t xml:space="preserve">the observed data, refit the model and quantify how prediction accuracy degrades; (3) </w:t>
      </w:r>
      <w:commentRangeStart w:id="13"/>
      <w:r>
        <w:t xml:space="preserve">repeat the thinning on simulated fields spanning a wide range of spatial autocorrelation, at resolutions no field campaign can achieve, to extend inference beyond the observed effort and evaluate parameter recovery against known values; and </w:t>
      </w:r>
      <w:commentRangeEnd w:id="13"/>
      <w:r w:rsidR="006F6161">
        <w:rPr>
          <w:rStyle w:val="CommentReference"/>
          <w:sz w:val="24"/>
          <w:szCs w:val="24"/>
        </w:rPr>
        <w:commentReference w:id="13"/>
      </w:r>
      <w:r>
        <w:t xml:space="preserve">(4) summarize prediction error as a function of sampling density and spatial autocorrelation in a regression that can be inverted to return the sampling </w:t>
      </w:r>
      <w:r>
        <w:lastRenderedPageBreak/>
        <w:t>density required for a user-defined error tolerance. Step 4 is implemented in the eDNA Survey Planner, so that end users need only a prior estimate of spatial autocorrelation and a target error. We describe each step generically, giving the values used in the case study where relevant.</w:t>
      </w:r>
    </w:p>
    <w:p w14:paraId="59C9A8B7" w14:textId="77777777" w:rsidR="000D6CB9" w:rsidRDefault="00000000">
      <w:pPr>
        <w:pStyle w:val="Heading2"/>
        <w:spacing w:before="0" w:after="0" w:line="480" w:lineRule="auto"/>
      </w:pPr>
      <w:r>
        <w:t>Modelling framework: Gaussian processes</w:t>
      </w:r>
    </w:p>
    <w:p w14:paraId="285A475A" w14:textId="77777777" w:rsidR="000D6CB9" w:rsidRDefault="00000000">
      <w:pPr>
        <w:pStyle w:val="BodyText"/>
        <w:spacing w:line="480" w:lineRule="auto"/>
        <w:ind w:firstLine="720"/>
      </w:pPr>
      <w:r>
        <w:t>The GP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8F35CC">
        <w:fldChar w:fldCharType="begin"/>
      </w:r>
      <w:r w:rsidR="008F35CC">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rsidR="008F35CC">
        <w:fldChar w:fldCharType="separate"/>
      </w:r>
      <w:r w:rsidR="008F35CC">
        <w:rPr>
          <w:noProof/>
        </w:rPr>
        <w:t>(Lewy &amp; Kristensen, 2009)</w:t>
      </w:r>
      <w:r w:rsidR="008F35CC">
        <w:fldChar w:fldCharType="end"/>
      </w:r>
      <w:r>
        <w:t>.</w:t>
      </w:r>
      <w:r w:rsidR="00353F64">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8F35CC">
        <w:fldChar w:fldCharType="begin"/>
      </w:r>
      <w:r w:rsidR="00387956">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rsidR="008F35CC">
        <w:fldChar w:fldCharType="separate"/>
      </w:r>
      <w:r w:rsidR="00387956">
        <w:rPr>
          <w:noProof/>
        </w:rPr>
        <w:t>(Dormann et al., 2007)</w:t>
      </w:r>
      <w:r w:rsidR="008F35CC">
        <w:fldChar w:fldCharType="end"/>
      </w:r>
      <w:r w:rsidR="007F4A1D">
        <w:t xml:space="preserve">. </w:t>
      </w:r>
      <w:r w:rsidR="00EA4F75">
        <w:t>We assert that many species can be well described using relatively simple covariance models</w:t>
      </w:r>
      <w:r w:rsidR="005B37A0" w:rsidRPr="005B37A0">
        <w:t xml:space="preserve"> </w:t>
      </w:r>
      <w:r w:rsidR="00AC6083">
        <w:fldChar w:fldCharType="begin"/>
      </w:r>
      <w:r w:rsidR="00AC6083">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rsidR="00AC6083">
        <w:fldChar w:fldCharType="separate"/>
      </w:r>
      <w:r w:rsidR="00AC6083">
        <w:rPr>
          <w:noProof/>
        </w:rPr>
        <w:t>(Thorson et al., 2015)</w:t>
      </w:r>
      <w:r w:rsidR="00AC6083">
        <w:fldChar w:fldCharType="end"/>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r w:rsidR="0044189E" w:rsidRPr="0044189E">
        <w:rPr>
          <w:i/>
          <w:iCs/>
          <w:vertAlign w:val="subscript"/>
        </w:rPr>
        <w:t>2</w:t>
      </w:r>
      <w:r w:rsidR="0044189E">
        <w:t>,…</w:t>
      </w:r>
      <w:r w:rsidR="0044189E" w:rsidRPr="0044189E">
        <w:rPr>
          <w:i/>
          <w:iCs/>
        </w:rPr>
        <w:t>x</w:t>
      </w:r>
      <w:r w:rsidR="00CA17E1">
        <w:rPr>
          <w:i/>
          <w:iCs/>
          <w:vertAlign w:val="subscript"/>
        </w:rPr>
        <w:t>N</w:t>
      </w:r>
      <w:r w:rsidR="0044189E">
        <w:t xml:space="preserve">} be the set of </w:t>
      </w:r>
      <w:r w:rsidR="00180919">
        <w:rPr>
          <w:i/>
          <w:iCs/>
        </w:rPr>
        <w:t>N</w:t>
      </w:r>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p>
    <w:p w14:paraId="2A701D7D" w14:textId="77777777" w:rsidR="000D6CB9" w:rsidRDefault="00000000">
      <w:pPr>
        <w:pStyle w:val="BodyText"/>
        <w:spacing w:line="480" w:lineRule="auto"/>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2A281D6D" w14:textId="77777777" w:rsidR="000D6CB9" w:rsidRDefault="00000000">
      <w:pPr>
        <w:pStyle w:val="FirstParagraph"/>
        <w:spacing w:line="480" w:lineRule="auto"/>
        <w:ind w:firstLine="720"/>
      </w:pPr>
      <w:r>
        <w:t xml:space="preserve">where </w:t>
      </w:r>
      <w:r w:rsidR="0044189E" w:rsidRPr="0088579E">
        <w:rPr>
          <w:i/>
          <w:iCs/>
          <w:lang w:val="el-GR"/>
        </w:rPr>
        <w:t>μ</w:t>
      </w:r>
      <w:r w:rsidR="0044189E" w:rsidRPr="00E63C19">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is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covaria</w:t>
      </w:r>
      <w:r w:rsidR="008766A3">
        <w:t>nce</w:t>
      </w:r>
      <w:r w:rsidR="00705D45">
        <w:t xml:space="preserve"> matrix whose (</w:t>
      </w:r>
      <w:r w:rsidR="00705D45" w:rsidRPr="00CE0914">
        <w:rPr>
          <w:i/>
          <w:iCs/>
        </w:rPr>
        <w:t>i</w:t>
      </w:r>
      <w:r w:rsidR="00705D45" w:rsidRPr="00CE0914">
        <w:t>,</w:t>
      </w:r>
      <w:r w:rsidR="00705D45" w:rsidRPr="00CE0914">
        <w:rPr>
          <w:i/>
          <w:iCs/>
        </w:rPr>
        <w:t>j</w:t>
      </w:r>
      <w:r w:rsidR="00705D45">
        <w:t>)</w:t>
      </w:r>
      <w:r w:rsidR="00705D45" w:rsidRPr="00705D45">
        <w:rPr>
          <w:vertAlign w:val="superscript"/>
        </w:rPr>
        <w:t>th</w:t>
      </w:r>
      <w:r w:rsidR="00705D45">
        <w:t xml:space="preserve"> entry </w:t>
      </w:r>
      <w:r w:rsidR="00CE0914">
        <w:t>i</w:t>
      </w:r>
      <w:r w:rsidR="00705D45" w:rsidRPr="00705D45">
        <w:t>s given by the squared exponential kernel</w:t>
      </w:r>
      <w:r w:rsidR="00705D45">
        <w:t xml:space="preserve"> function</w:t>
      </w:r>
      <w:r w:rsidR="0067503E">
        <w:t>,</w:t>
      </w:r>
    </w:p>
    <w:p w14:paraId="5FFDB058" w14:textId="77777777" w:rsidR="000D6CB9" w:rsidRDefault="00000000">
      <w:pPr>
        <w:pStyle w:val="BodyText"/>
        <w:spacing w:line="480" w:lineRule="auto"/>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22630054" w14:textId="77777777" w:rsidR="000D6CB9" w:rsidRDefault="00000000">
      <w:pPr>
        <w:pStyle w:val="FirstParagraph"/>
        <w:spacing w:line="480" w:lineRule="auto"/>
        <w:ind w:firstLine="720"/>
      </w:pPr>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r w:rsidR="007801CF" w:rsidRPr="007801CF">
        <w:rPr>
          <w:i/>
          <w:iCs/>
        </w:rPr>
        <w:t>x</w:t>
      </w:r>
      <w:r w:rsidR="00CE0914" w:rsidRPr="00CE0914">
        <w:rPr>
          <w:i/>
          <w:iCs/>
          <w:vertAlign w:val="subscript"/>
        </w:rPr>
        <w:t>j</w:t>
      </w:r>
      <w:r>
        <w:t xml:space="preserve"> units</w:t>
      </w:r>
      <w:r w:rsidR="007801CF">
        <w:t xml:space="preserve">; hereafter </w:t>
      </w:r>
      <w:r w:rsidR="007801CF" w:rsidRPr="007801CF">
        <w:t>spatial autocorrelation</w:t>
      </w:r>
      <w:r>
        <w:t xml:space="preserve">).  </w:t>
      </w:r>
    </w:p>
    <w:p w14:paraId="4B10609F" w14:textId="77777777" w:rsidR="00A15ACC" w:rsidRPr="008D73E1" w:rsidRDefault="00162082" w:rsidP="001643E6">
      <w:pPr>
        <w:pStyle w:val="BodyText"/>
        <w:spacing w:line="480" w:lineRule="auto"/>
      </w:pPr>
      <w:r>
        <w:rPr>
          <w:b/>
        </w:rPr>
        <w:t>Step 1: Estimating taxon</w:t>
      </w:r>
      <w:r>
        <w:rPr>
          <w:b/>
          <w:bCs w:val="0"/>
        </w:rPr>
        <w:t>-specific spatial structure</w:t>
      </w:r>
    </w:p>
    <w:p w14:paraId="4E577FE3" w14:textId="77777777" w:rsidR="00D94C80" w:rsidRDefault="0039223E" w:rsidP="001643E6">
      <w:pPr>
        <w:pStyle w:val="BodyText"/>
        <w:spacing w:line="480" w:lineRule="auto"/>
        <w:ind w:firstLine="720"/>
      </w:pPr>
      <w:r>
        <w:lastRenderedPageBreak/>
        <w:t>Given log eDNA concentration values (</w:t>
      </w:r>
      <w:r>
        <w:rPr>
          <w:i/>
          <w:iCs/>
        </w:rPr>
        <w:t>Y</w:t>
      </w:r>
      <w:r>
        <w:t>) paired with spatial coordinates (</w:t>
      </w:r>
      <w:r>
        <w:rPr>
          <w:i/>
          <w:iCs/>
        </w:rPr>
        <w:t>X</w:t>
      </w:r>
      <w:r>
        <w:t>) for each sampling location (</w:t>
      </w:r>
      <w:r>
        <w:rPr>
          <w:i/>
          <w:iCs/>
        </w:rPr>
        <w:t>x</w:t>
      </w:r>
      <w:r>
        <w:t>;</w:t>
      </w:r>
      <w:r>
        <w:rPr>
          <w:i/>
          <w:iCs/>
        </w:rPr>
        <w:t xml:space="preserve"> N</w:t>
      </w:r>
      <w:r>
        <w:t xml:space="preserve"> = 358 in the case study), we used the GP model (Eq. 1–2) to infer the underlying spatial structure and learn key parameters governing the spatial field, including the depth-specific mean (</w:t>
      </w:r>
      <w:r>
        <w:rPr>
          <w:i/>
          <w:iCs/>
        </w:rPr>
        <w:t>μ</w:t>
      </w:r>
      <w:r>
        <w:rPr>
          <w:i/>
          <w:iCs/>
          <w:vertAlign w:val="subscript"/>
        </w:rPr>
        <w:t>d</w:t>
      </w:r>
      <w:r>
        <w:t>), spatial autocorrelation (</w:t>
      </w:r>
      <w:r>
        <w:rPr>
          <w:i/>
          <w:iCs/>
        </w:rPr>
        <w:t>ρ</w:t>
      </w:r>
      <w:r>
        <w:t>), amplitude (</w:t>
      </w:r>
      <w:r>
        <w:rPr>
          <w:i/>
          <w:iCs/>
        </w:rPr>
        <w:t>α</w:t>
      </w:r>
      <w:r>
        <w:rPr>
          <w:i/>
          <w:iCs/>
          <w:vertAlign w:val="superscript"/>
        </w:rPr>
        <w:t>2</w:t>
      </w:r>
      <w:r>
        <w:t>), and non-spatial variance (</w:t>
      </w:r>
      <w:r>
        <w:rPr>
          <w:i/>
          <w:iCs/>
        </w:rPr>
        <w:t>σ</w:t>
      </w:r>
      <w:r>
        <w:rPr>
          <w:i/>
          <w:iCs/>
          <w:vertAlign w:val="superscript"/>
        </w:rPr>
        <w:t>2</w:t>
      </w:r>
      <w:r>
        <w:t>). Additionally, we used the model to predict eDNA concentrations (</w:t>
      </w:r>
      <w:r>
        <w:rPr>
          <w:i/>
          <w:iCs/>
        </w:rPr>
        <w:t>Z</w:t>
      </w:r>
      <w:r>
        <w:t>) across a spatial prediction grid (</w:t>
      </w:r>
      <w:r>
        <w:rPr>
          <w:i/>
          <w:iCs/>
        </w:rPr>
        <w:t>Q</w:t>
      </w:r>
      <w:r>
        <w:t>) using Eq 3. In the case study, we defined this grid (</w:t>
      </w:r>
      <w:r>
        <w:rPr>
          <w:i/>
          <w:iCs/>
        </w:rPr>
        <w:t>Q</w:t>
      </w:r>
      <w:r>
        <w:t>) as 18,916 discrete point estimates, representing the centroids of approximately 8 × 8 km spatial cells distributed across five depth layers. The number of points differed among depth layers (4,000, 4,000, 4,000, 3,622, and 3,294 points, respectively) because deeper layers covered a smaller spatial extent than shallower layers due to bathymetry.</w:t>
      </w:r>
    </w:p>
    <w:p w14:paraId="0DD2164A" w14:textId="77777777" w:rsidR="007A35C1" w:rsidRDefault="00E0592E" w:rsidP="001643E6">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F</w:t>
      </w:r>
      <w:r w:rsidR="007A35C1" w:rsidRPr="00D83BC6">
        <w:rPr>
          <w:rFonts w:ascii="Times New Roman" w:eastAsia="Times New Roman" w:hAnsi="Times New Roman" w:cs="Times New Roman"/>
        </w:rPr>
        <w:t xml:space="preserve">or a given </w:t>
      </w:r>
      <w:r w:rsidR="00782BE1">
        <w:rPr>
          <w:rFonts w:ascii="Times New Roman" w:eastAsia="Times New Roman" w:hAnsi="Times New Roman" w:cs="Times New Roman"/>
        </w:rPr>
        <w:t>species</w:t>
      </w:r>
      <w:r w:rsidR="007A35C1">
        <w:rPr>
          <w:rFonts w:ascii="Times New Roman" w:eastAsia="Times New Roman" w:hAnsi="Times New Roman" w:cs="Times New Roman"/>
        </w:rPr>
        <w:t xml:space="preserve">, </w:t>
      </w:r>
      <w:r>
        <w:rPr>
          <w:rFonts w:ascii="Times New Roman" w:eastAsia="Times New Roman" w:hAnsi="Times New Roman" w:cs="Times New Roman"/>
        </w:rPr>
        <w:t>we</w:t>
      </w:r>
      <w:r w:rsidR="007A35C1" w:rsidRPr="00D83BC6">
        <w:rPr>
          <w:rFonts w:ascii="Times New Roman" w:eastAsia="Times New Roman" w:hAnsi="Times New Roman" w:cs="Times New Roman"/>
        </w:rPr>
        <w:t xml:space="preserve"> compute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4F0C90">
        <w:rPr>
          <w:rFonts w:ascii="Times New Roman" w:eastAsia="Times New Roman" w:hAnsi="Times New Roman" w:cs="Times New Roman"/>
          <w:i/>
          <w:iCs/>
        </w:rPr>
        <w:t>’</w:t>
      </w:r>
      <w:r w:rsidR="000B4F85" w:rsidRPr="000B4F85">
        <w:rPr>
          <w:rFonts w:ascii="Times New Roman" w:eastAsia="Times New Roman" w:hAnsi="Times New Roman" w:cs="Times New Roman"/>
          <w:i/>
          <w:iCs/>
        </w:rPr>
        <w:t>)</w:t>
      </w:r>
      <w:r w:rsidR="000B4F85" w:rsidRPr="00EC1F08">
        <w:rPr>
          <w:rFonts w:ascii="Times New Roman" w:eastAsia="Times New Roman" w:hAnsi="Times New Roman" w:cs="Times New Roman"/>
        </w:rPr>
        <w:t>,</w:t>
      </w:r>
      <w:r w:rsidR="000B4F85">
        <w:rPr>
          <w:rFonts w:ascii="Times New Roman" w:eastAsia="Times New Roman" w:hAnsi="Times New Roman" w:cs="Times New Roman"/>
        </w:rPr>
        <w:t xml:space="preserve"> </w:t>
      </w:r>
      <w:r w:rsidR="007A35C1" w:rsidRPr="00D83BC6">
        <w:rPr>
          <w:rFonts w:ascii="Times New Roman" w:eastAsia="Times New Roman" w:hAnsi="Times New Roman" w:cs="Times New Roman"/>
        </w:rPr>
        <w:t xml:space="preserve">using the squared exponential kernel and the </w:t>
      </w:r>
      <w:r w:rsidR="00FC5E1D">
        <w:rPr>
          <w:rFonts w:ascii="Times New Roman" w:eastAsia="Times New Roman" w:hAnsi="Times New Roman" w:cs="Times New Roman"/>
        </w:rPr>
        <w:t>non-spatial variance term</w:t>
      </w:r>
      <w:r w:rsidR="007A35C1"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007A35C1" w:rsidRPr="00D83BC6">
        <w:rPr>
          <w:rFonts w:ascii="Times New Roman" w:eastAsia="Times New Roman" w:hAnsi="Times New Roman" w:cs="Times New Roman"/>
        </w:rPr>
        <w:t>)</w:t>
      </w:r>
      <w:r w:rsidR="007A35C1">
        <w:rPr>
          <w:rFonts w:ascii="Times New Roman" w:eastAsia="Times New Roman" w:hAnsi="Times New Roman" w:cs="Times New Roman"/>
        </w:rPr>
        <w:t xml:space="preserve">. Using the </w:t>
      </w:r>
      <w:r w:rsidR="007A35C1" w:rsidRPr="00D83BC6">
        <w:rPr>
          <w:rFonts w:ascii="Times New Roman" w:eastAsia="Times New Roman" w:hAnsi="Times New Roman" w:cs="Times New Roman"/>
        </w:rPr>
        <w:t>Cholesky decompos</w:t>
      </w:r>
      <w:r w:rsidR="007A35C1">
        <w:rPr>
          <w:rFonts w:ascii="Times New Roman" w:eastAsia="Times New Roman" w:hAnsi="Times New Roman" w:cs="Times New Roman"/>
        </w:rPr>
        <w:t>ition</w:t>
      </w:r>
      <w:r w:rsidR="007A35C1"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007A35C1"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AF746C">
        <w:rPr>
          <w:rFonts w:ascii="Times New Roman" w:eastAsia="Times New Roman" w:hAnsi="Times New Roman" w:cs="Times New Roman"/>
          <w:i/>
          <w:iCs/>
        </w:rPr>
        <w:t>’</w:t>
      </w:r>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sidR="007A35C1">
        <w:rPr>
          <w:rFonts w:ascii="Times New Roman" w:eastAsia="Times New Roman" w:hAnsi="Times New Roman" w:cs="Times New Roman"/>
        </w:rPr>
        <w:t xml:space="preserve">we </w:t>
      </w:r>
      <w:r w:rsidR="007A35C1"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007A35C1" w:rsidRPr="00D83BC6">
        <w:rPr>
          <w:rFonts w:ascii="Times New Roman" w:eastAsia="Times New Roman" w:hAnsi="Times New Roman" w:cs="Times New Roman"/>
        </w:rPr>
        <w:t>, to yield the predicti</w:t>
      </w:r>
      <w:r w:rsidR="00FC5E1D">
        <w:rPr>
          <w:rFonts w:ascii="Times New Roman" w:eastAsia="Times New Roman" w:hAnsi="Times New Roman" w:cs="Times New Roman"/>
        </w:rPr>
        <w:t>ons</w:t>
      </w:r>
      <w:r w:rsidR="007A35C1" w:rsidRPr="00D83BC6">
        <w:rPr>
          <w:rFonts w:ascii="Times New Roman" w:eastAsia="Times New Roman" w:hAnsi="Times New Roman" w:cs="Times New Roman"/>
        </w:rPr>
        <w:t xml:space="preserve"> at each </w:t>
      </w:r>
      <w:r w:rsidR="00FC5E1D">
        <w:rPr>
          <w:rFonts w:ascii="Times New Roman" w:eastAsia="Times New Roman" w:hAnsi="Times New Roman" w:cs="Times New Roman"/>
        </w:rPr>
        <w:t xml:space="preserve">given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007A35C1" w:rsidRPr="00D83BC6">
        <w:rPr>
          <w:rFonts w:ascii="Times New Roman" w:eastAsia="Times New Roman" w:hAnsi="Times New Roman" w:cs="Times New Roman"/>
        </w:rPr>
        <w:t>:</w:t>
      </w:r>
    </w:p>
    <w:p w14:paraId="4FADBACC" w14:textId="77777777" w:rsidR="007A35C1" w:rsidRDefault="00000000" w:rsidP="001643E6">
      <w:pPr>
        <w:spacing w:after="0" w:line="480" w:lineRule="auto"/>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56E3FA80" w14:textId="77777777" w:rsidR="003939B7" w:rsidRDefault="003939B7" w:rsidP="001643E6">
      <w:pPr>
        <w:pStyle w:val="Heading2"/>
        <w:spacing w:before="0" w:after="0" w:line="480" w:lineRule="auto"/>
      </w:pPr>
      <w:r>
        <w:t>Step 2: Quantifying information loss under reduced sampling effort</w:t>
      </w:r>
    </w:p>
    <w:p w14:paraId="030DEAE7" w14:textId="77777777" w:rsidR="005E3F20" w:rsidRPr="004834A6" w:rsidRDefault="005E3F20" w:rsidP="001643E6">
      <w:pPr>
        <w:pStyle w:val="p1"/>
        <w:spacing w:before="0" w:beforeAutospacing="0" w:after="0" w:afterAutospacing="0" w:line="480" w:lineRule="auto"/>
        <w:ind w:firstLine="720"/>
        <w:rPr>
          <w:rStyle w:val="s2"/>
        </w:rPr>
      </w:pPr>
      <w:r>
        <w:t>To evaluate how sampling effort (</w:t>
      </w:r>
      <w:r>
        <w:rPr>
          <w:i/>
          <w:iCs/>
        </w:rPr>
        <w:t>E</w:t>
      </w:r>
      <w:r>
        <w:t>) influences spatial reconstruction and prediction accuracy, we generated a series of reduced-effort observation datasets (</w:t>
      </w:r>
      <w:r>
        <w:rPr>
          <w:i/>
          <w:iCs/>
        </w:rPr>
        <w:t>Y</w:t>
      </w:r>
      <w:r>
        <w:rPr>
          <w:i/>
          <w:iCs/>
          <w:vertAlign w:val="subscript"/>
        </w:rPr>
        <w:t>E</w:t>
      </w:r>
      <w:r>
        <w:rPr>
          <w:i/>
          <w:iCs/>
        </w:rPr>
        <w:t xml:space="preserve"> </w:t>
      </w:r>
      <w:r>
        <w:t>coupled with</w:t>
      </w:r>
      <w:r>
        <w:rPr>
          <w:i/>
          <w:iCs/>
        </w:rPr>
        <w:t xml:space="preserve"> X</w:t>
      </w:r>
      <w:r>
        <w:rPr>
          <w:i/>
          <w:iCs/>
          <w:vertAlign w:val="subscript"/>
        </w:rPr>
        <w:t>E</w:t>
      </w:r>
      <w:r>
        <w:t>) by randomly thinning the observation set (</w:t>
      </w:r>
      <w:r>
        <w:rPr>
          <w:rStyle w:val="s1"/>
          <w:i/>
          <w:iCs/>
        </w:rPr>
        <w:t>Y</w:t>
      </w:r>
      <w:r>
        <w:rPr>
          <w:rStyle w:val="s1"/>
        </w:rPr>
        <w:t>)</w:t>
      </w:r>
      <w:r>
        <w:t xml:space="preserve"> and its spatial covariate (</w:t>
      </w:r>
      <w:r>
        <w:rPr>
          <w:i/>
        </w:rPr>
        <w:t>X</w:t>
      </w:r>
      <w:r>
        <w:t xml:space="preserve">) to fixed sample sizes </w:t>
      </w:r>
      <w:r>
        <w:rPr>
          <w:rStyle w:val="s1"/>
        </w:rPr>
        <w:t xml:space="preserve">(in the case study, </w:t>
      </w:r>
      <w:r>
        <w:rPr>
          <w:rStyle w:val="s2"/>
        </w:rPr>
        <w:t>N = 330, 300, 260, 220,</w:t>
      </w:r>
      <w:r>
        <w:rPr>
          <w:rStyle w:val="s1"/>
        </w:rPr>
        <w:t xml:space="preserve"> and </w:t>
      </w:r>
      <w:r>
        <w:rPr>
          <w:rStyle w:val="s2"/>
        </w:rPr>
        <w:t>150; Figure 2B).</w:t>
      </w:r>
      <w:r>
        <w:t xml:space="preserve"> Each reduced-effort observation dataset (</w:t>
      </w:r>
      <w:r>
        <w:rPr>
          <w:i/>
          <w:iCs/>
        </w:rPr>
        <w:t>Y</w:t>
      </w:r>
      <w:r>
        <w:rPr>
          <w:i/>
          <w:iCs/>
          <w:vertAlign w:val="subscript"/>
        </w:rPr>
        <w:t>E</w:t>
      </w:r>
      <w:r>
        <w:t>) together with its covariate (</w:t>
      </w:r>
      <w:r>
        <w:rPr>
          <w:i/>
          <w:iCs/>
        </w:rPr>
        <w:t>X</w:t>
      </w:r>
      <w:r>
        <w:rPr>
          <w:i/>
          <w:iCs/>
          <w:vertAlign w:val="subscript"/>
        </w:rPr>
        <w:t>E</w:t>
      </w:r>
      <w:r>
        <w:t>) was refit with the same GP model (Eq 1-2) and produced effort-specific spatial predictions (</w:t>
      </w:r>
      <w:r>
        <w:rPr>
          <w:i/>
          <w:iCs/>
        </w:rPr>
        <w:t>S</w:t>
      </w:r>
      <w:r>
        <w:rPr>
          <w:i/>
          <w:iCs/>
          <w:vertAlign w:val="subscript"/>
        </w:rPr>
        <w:t>E</w:t>
      </w:r>
      <w:r>
        <w:t xml:space="preserve">) on the full grid </w:t>
      </w:r>
      <w:r>
        <w:rPr>
          <w:i/>
          <w:iCs/>
        </w:rPr>
        <w:t>Q</w:t>
      </w:r>
      <w:r>
        <w:t xml:space="preserve">, by substituting </w:t>
      </w:r>
      <w:r>
        <w:rPr>
          <w:i/>
          <w:iCs/>
        </w:rPr>
        <w:t>S</w:t>
      </w:r>
      <w:r>
        <w:rPr>
          <w:i/>
          <w:iCs/>
          <w:vertAlign w:val="subscript"/>
        </w:rPr>
        <w:t>E</w:t>
      </w:r>
      <w:r>
        <w:t xml:space="preserve"> for </w:t>
      </w:r>
      <w:r>
        <w:rPr>
          <w:i/>
          <w:iCs/>
        </w:rPr>
        <w:t>Z</w:t>
      </w:r>
      <w:r>
        <w:t xml:space="preserve">, </w:t>
      </w:r>
      <w:r>
        <w:rPr>
          <w:i/>
          <w:iCs/>
        </w:rPr>
        <w:t>Y</w:t>
      </w:r>
      <w:r>
        <w:rPr>
          <w:i/>
          <w:iCs/>
          <w:vertAlign w:val="subscript"/>
        </w:rPr>
        <w:t>E</w:t>
      </w:r>
      <w:r>
        <w:t xml:space="preserve"> for </w:t>
      </w:r>
      <w:r>
        <w:rPr>
          <w:i/>
          <w:iCs/>
        </w:rPr>
        <w:lastRenderedPageBreak/>
        <w:t>Y</w:t>
      </w:r>
      <w:r>
        <w:t xml:space="preserve"> and </w:t>
      </w:r>
      <w:r>
        <w:rPr>
          <w:i/>
          <w:iCs/>
        </w:rPr>
        <w:t>X</w:t>
      </w:r>
      <w:r>
        <w:rPr>
          <w:i/>
          <w:iCs/>
          <w:vertAlign w:val="subscript"/>
        </w:rPr>
        <w:t>E</w:t>
      </w:r>
      <w:r>
        <w:t xml:space="preserve"> for </w:t>
      </w:r>
      <w:r>
        <w:rPr>
          <w:i/>
          <w:iCs/>
        </w:rPr>
        <w:t>X</w:t>
      </w:r>
      <w:r>
        <w:t xml:space="preserve"> in Eq. 3. This framework enables direct, like-for-like comparisons of reconstructed fields across sampling intensities since the predicted field is the same (</w:t>
      </w:r>
      <w:r>
        <w:rPr>
          <w:i/>
          <w:iCs/>
        </w:rPr>
        <w:t>Q</w:t>
      </w:r>
      <w:r>
        <w:t xml:space="preserve">). </w:t>
      </w:r>
      <w:r>
        <w:rPr>
          <w:rStyle w:val="s2"/>
        </w:rPr>
        <w:t>Sampling effort (</w:t>
      </w:r>
      <w:r>
        <w:rPr>
          <w:rStyle w:val="s2"/>
          <w:i/>
          <w:iCs/>
        </w:rPr>
        <w:t>E</w:t>
      </w:r>
      <w:r>
        <w:rPr>
          <w:rStyle w:val="s2"/>
        </w:rPr>
        <w:t>) was quantified as sampling density:</w:t>
      </w:r>
    </w:p>
    <w:p w14:paraId="47F950B2" w14:textId="77777777" w:rsidR="005E3F20" w:rsidRPr="00EC7A2A" w:rsidRDefault="00000000" w:rsidP="001643E6">
      <w:pPr>
        <w:pStyle w:val="p1"/>
        <w:spacing w:before="0" w:beforeAutospacing="0" w:after="0" w:afterAutospacing="0" w:line="480" w:lineRule="auto"/>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299A006" w14:textId="77777777" w:rsidR="005E3F20" w:rsidRDefault="005E3F20" w:rsidP="001643E6">
      <w:pPr>
        <w:pStyle w:val="p1"/>
        <w:spacing w:before="0" w:beforeAutospacing="0" w:after="0" w:afterAutospacing="0" w:line="480" w:lineRule="auto"/>
        <w:ind w:firstLine="720"/>
      </w:pPr>
      <w:r>
        <w:rPr>
          <w:rStyle w:val="s2"/>
        </w:rPr>
        <w:t xml:space="preserve">where </w:t>
      </w:r>
      <w:r>
        <w:rPr>
          <w:rStyle w:val="s2"/>
          <w:i/>
          <w:iCs/>
        </w:rPr>
        <w:t>A</w:t>
      </w:r>
      <w:r>
        <w:rPr>
          <w:rStyle w:val="s2"/>
        </w:rPr>
        <w:t xml:space="preserve"> is the spatial area of the study domain (200,000 km</w:t>
      </w:r>
      <w:r>
        <w:rPr>
          <w:rStyle w:val="s2"/>
          <w:vertAlign w:val="superscript"/>
        </w:rPr>
        <w:t>2</w:t>
      </w:r>
      <w:r>
        <w:rPr>
          <w:rStyle w:val="s2"/>
        </w:rPr>
        <w:t xml:space="preserve"> in the case study), and </w:t>
      </w:r>
      <w:r>
        <w:rPr>
          <w:rStyle w:val="s2"/>
          <w:i/>
          <w:iCs/>
        </w:rPr>
        <w:t>H</w:t>
      </w:r>
      <w:r>
        <w:rPr>
          <w:rStyle w:val="s2"/>
        </w:rPr>
        <w:t xml:space="preserve"> is the number of strata, here depth layers (</w:t>
      </w:r>
      <w:r>
        <w:rPr>
          <w:rStyle w:val="s2"/>
          <w:i/>
          <w:iCs/>
        </w:rPr>
        <w:t>d</w:t>
      </w:r>
      <w:r>
        <w:rPr>
          <w:rStyle w:val="s2"/>
        </w:rPr>
        <w:t xml:space="preserve">; </w:t>
      </w:r>
      <w:r>
        <w:rPr>
          <w:rStyle w:val="s2"/>
          <w:i/>
        </w:rPr>
        <w:t>H</w:t>
      </w:r>
      <w:r>
        <w:rPr>
          <w:rStyle w:val="s2"/>
        </w:rPr>
        <w:t xml:space="preserve"> = 5 in the case study), yielding </w:t>
      </w:r>
      <w:r>
        <w:rPr>
          <w:rStyle w:val="s2"/>
          <w:i/>
          <w:iCs/>
        </w:rPr>
        <w:t>E</w:t>
      </w:r>
      <w:r>
        <w:rPr>
          <w:rStyle w:val="s2"/>
        </w:rPr>
        <w:t xml:space="preserve"> in units of samples per 10,000 km</w:t>
      </w:r>
      <w:r>
        <w:rPr>
          <w:rStyle w:val="s2"/>
          <w:vertAlign w:val="superscript"/>
        </w:rPr>
        <w:t>2</w:t>
      </w:r>
      <w:r>
        <w:rPr>
          <w:rStyle w:val="s2"/>
        </w:rPr>
        <w:t xml:space="preserve"> per depth layer. </w:t>
      </w:r>
    </w:p>
    <w:p w14:paraId="1A9CCB1E" w14:textId="77777777" w:rsidR="008C05CD" w:rsidRDefault="008C05CD" w:rsidP="001643E6">
      <w:pPr>
        <w:pStyle w:val="p1"/>
        <w:spacing w:before="0" w:beforeAutospacing="0" w:after="0" w:afterAutospacing="0" w:line="480" w:lineRule="auto"/>
        <w:ind w:firstLine="720"/>
      </w:pPr>
      <w:r>
        <w:t>For each model prediction, we calculate</w:t>
      </w:r>
      <w:r w:rsidR="004834A6">
        <w:t>d</w:t>
      </w:r>
      <w:r>
        <w:t xml:space="preserve"> the prediction error (</w:t>
      </w:r>
      <w:r w:rsidRPr="00D672C6">
        <w:rPr>
          <w:rFonts w:eastAsiaTheme="minorEastAsia"/>
          <w:i/>
          <w:iCs/>
          <w:lang w:val="el-GR"/>
        </w:rPr>
        <w:t>ε</w:t>
      </w:r>
      <w:r w:rsidR="001801E2" w:rsidRPr="001801E2">
        <w:rPr>
          <w:rFonts w:eastAsiaTheme="minorEastAsia"/>
          <w:i/>
          <w:iCs/>
          <w:vertAlign w:val="subscript"/>
        </w:rPr>
        <w:t>1</w:t>
      </w:r>
      <w:r>
        <w:rPr>
          <w:rFonts w:eastAsiaTheme="minorEastAsia"/>
          <w:i/>
          <w:iCs/>
          <w:vertAlign w:val="subscript"/>
        </w:rPr>
        <w:t>E</w:t>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r w:rsidR="00254D82">
        <w:t xml:space="preserve"> (</w:t>
      </w:r>
      <w:r w:rsidR="00254D82">
        <w:rPr>
          <w:rStyle w:val="s2"/>
        </w:rPr>
        <w:t>Figure 2B</w:t>
      </w:r>
      <w:r w:rsidR="00254D82">
        <w:t>)</w:t>
      </w:r>
      <w:r>
        <w:t>:</w:t>
      </w:r>
    </w:p>
    <w:p w14:paraId="0C28F593" w14:textId="77777777" w:rsidR="008C05CD" w:rsidRPr="001F75CE" w:rsidRDefault="00000000" w:rsidP="001643E6">
      <w:pPr>
        <w:pStyle w:val="BodyText"/>
        <w:spacing w:line="480" w:lineRule="auto"/>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1A61BA4F" w14:textId="77777777" w:rsidR="008A5961" w:rsidRDefault="008C05CD" w:rsidP="001643E6">
      <w:pPr>
        <w:pStyle w:val="BodyText"/>
        <w:spacing w:line="480" w:lineRule="auto"/>
        <w:ind w:firstLine="720"/>
      </w:pPr>
      <w:r>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xml:space="preserve">) are projected. </w:t>
      </w:r>
      <w:r w:rsidR="00607BF6">
        <w:t xml:space="preserve">We repeated this thinning-fitting-prediction process across 20 random realizations </w:t>
      </w:r>
      <w:r w:rsidR="008A5961" w:rsidRPr="008A5961">
        <w:t>for each thinning intensity</w:t>
      </w:r>
      <w:r w:rsidR="008A5961">
        <w:t>.</w:t>
      </w:r>
    </w:p>
    <w:p w14:paraId="32351B21" w14:textId="77777777" w:rsidR="0047549D" w:rsidRDefault="0047549D" w:rsidP="001643E6">
      <w:pPr>
        <w:pStyle w:val="Heading2"/>
        <w:spacing w:before="0" w:after="0" w:line="480" w:lineRule="auto"/>
      </w:pPr>
      <w:r>
        <w:t>Step 3: Extending the range of sampling effort with simulated fields</w:t>
      </w:r>
    </w:p>
    <w:p w14:paraId="3A5E7DD5" w14:textId="77777777" w:rsidR="00895A6B" w:rsidRDefault="00B62303" w:rsidP="001643E6">
      <w:pPr>
        <w:pStyle w:val="BodyText"/>
        <w:spacing w:line="480" w:lineRule="auto"/>
        <w:ind w:firstLine="720"/>
      </w:pPr>
      <w:r>
        <w:t>Because no observed dataset can span the full range of sampling effort of interest (</w:t>
      </w:r>
      <w:r>
        <w:rPr>
          <w:i/>
          <w:iCs/>
        </w:rPr>
        <w:t>N</w:t>
      </w:r>
      <w:r>
        <w:t xml:space="preserve"> = 358 in the case study), the third step extends the effort range by simulation. We generated </w:t>
      </w:r>
      <w:r>
        <w:rPr>
          <w:i/>
          <w:iCs/>
        </w:rPr>
        <w:t>in-silico</w:t>
      </w:r>
      <w:r>
        <w:t xml:space="preserve"> eDNA concentration data using the GP model (Eq. 1-2) across the same spatial domain and prediction grid (</w:t>
      </w:r>
      <w:r>
        <w:rPr>
          <w:i/>
          <w:iCs/>
        </w:rPr>
        <w:t>Q</w:t>
      </w:r>
      <w:r>
        <w:t>) used in the empirical analysis.</w:t>
      </w:r>
    </w:p>
    <w:p w14:paraId="560E1ABC" w14:textId="77777777" w:rsidR="004242D5" w:rsidRDefault="00D46036" w:rsidP="001643E6">
      <w:pPr>
        <w:pStyle w:val="BodyText"/>
        <w:spacing w:line="480" w:lineRule="auto"/>
        <w:ind w:firstLine="720"/>
      </w:pPr>
      <w:r>
        <w:t>The simulations were designed to explore a wide range of spatial structures by varying the GP length-scale parameter (</w:t>
      </w:r>
      <w:r>
        <w:rPr>
          <w:i/>
          <w:iCs/>
          <w:lang w:val="el-GR"/>
        </w:rPr>
        <w:t>ρ</w:t>
      </w:r>
      <w:r>
        <w:t xml:space="preserve">) across ten levels: 25, 50, 75, 100, 200, 300, 400, 500, 800, and </w:t>
      </w:r>
      <w:r>
        <w:lastRenderedPageBreak/>
        <w:t>1000 km (</w:t>
      </w:r>
      <w:r>
        <w:rPr>
          <w:szCs w:val="36"/>
        </w:rPr>
        <w:t>Appendix S1: Table S1)</w:t>
      </w:r>
      <w:r>
        <w:t xml:space="preserve">. For each value of </w:t>
      </w:r>
      <w:r>
        <w:rPr>
          <w:i/>
          <w:iCs/>
          <w:lang w:val="el-GR"/>
        </w:rPr>
        <w:t>ρ</w:t>
      </w:r>
      <w:r>
        <w:t xml:space="preserve"> we generated (arbitrarily) 20 independent replicate spatial fields, resulting in a total of 200 simulated datasets </w:t>
      </w:r>
      <w:r>
        <w:rPr>
          <w:rFonts w:eastAsiaTheme="minorEastAsia"/>
        </w:rPr>
        <w:t xml:space="preserve">(10 </w:t>
      </w:r>
      <m:oMath>
        <m:r>
          <w:rPr>
            <w:rFonts w:ascii="Cambria Math" w:hAnsi="Cambria Math"/>
          </w:rPr>
          <m:t>ρ</m:t>
        </m:r>
      </m:oMath>
      <w:r>
        <w:rPr>
          <w:rFonts w:eastAsiaTheme="minorEastAsia"/>
        </w:rPr>
        <w:t xml:space="preserve"> levels × 20 replicates; </w:t>
      </w:r>
      <w:r>
        <w:rPr>
          <w:szCs w:val="36"/>
        </w:rPr>
        <w:t>Appendix S1: Table S1</w:t>
      </w:r>
      <w:r>
        <w:rPr>
          <w:rFonts w:eastAsiaTheme="minorEastAsia"/>
        </w:rPr>
        <w:t>).</w:t>
      </w:r>
      <w:r>
        <w:t xml:space="preserve"> Similar to GP inference of the empirical data, within each simulation, </w:t>
      </w:r>
      <w:r>
        <w:rPr>
          <w:i/>
          <w:iCs/>
        </w:rPr>
        <w:t>ρ</w:t>
      </w:r>
      <w:r>
        <w:t xml:space="preserve"> was held constant across depth layers, but each layer had a separate mean (</w:t>
      </w:r>
      <w:r>
        <w:rPr>
          <w:lang w:val="el-GR"/>
        </w:rPr>
        <w:t>μ</w:t>
      </w:r>
      <w:r>
        <w:rPr>
          <w:vertAlign w:val="subscript"/>
        </w:rPr>
        <w:t>d</w:t>
      </w:r>
      <w:r>
        <w:t xml:space="preserve">) drawn randomly from a normal distribution with mean of 0 and a standard deviation of 3. We focused only on spatial autocorrelation across latitude and longitude, allowing the eDNA concentration at each depth to be independent. </w:t>
      </w:r>
      <w:bookmarkStart w:id="14" w:name="OLE_LINK11"/>
      <w:r>
        <w:t>The amplitude (</w:t>
      </w:r>
      <w:r>
        <w:rPr>
          <w:i/>
          <w:iCs/>
          <w:lang w:val="el-GR"/>
        </w:rPr>
        <w:t>α</w:t>
      </w:r>
      <w:r>
        <w:rPr>
          <w:i/>
          <w:iCs/>
          <w:vertAlign w:val="superscript"/>
        </w:rPr>
        <w:t>2</w:t>
      </w:r>
      <w:r>
        <w:t>) and the non-spatial variance (</w:t>
      </w:r>
      <w:r>
        <w:rPr>
          <w:lang w:val="el-GR"/>
        </w:rPr>
        <w:t>σ</w:t>
      </w:r>
      <w:r>
        <w:rPr>
          <w:vertAlign w:val="superscript"/>
        </w:rPr>
        <w:t>2</w:t>
      </w:r>
      <w:r>
        <w:t xml:space="preserve">) in Eq. 1 and 2 were fixed at 4 and 3, respectively, to mirror </w:t>
      </w:r>
      <w:bookmarkStart w:id="15" w:name="OLE_LINK12"/>
      <w:bookmarkEnd w:id="14"/>
      <w:r>
        <w:t xml:space="preserve">the empirical estimates, where </w:t>
      </w:r>
      <w:r>
        <w:rPr>
          <w:lang w:val="el-GR"/>
        </w:rPr>
        <w:t>α</w:t>
      </w:r>
      <w:r>
        <w:rPr>
          <w:vertAlign w:val="superscript"/>
        </w:rPr>
        <w:t>2</w:t>
      </w:r>
      <w:r>
        <w:t xml:space="preserve"> ranged from 2.3 to 4.2 across species and </w:t>
      </w:r>
      <w:r>
        <w:rPr>
          <w:lang w:val="el-GR"/>
        </w:rPr>
        <w:t>σ</w:t>
      </w:r>
      <w:r>
        <w:rPr>
          <w:vertAlign w:val="superscript"/>
        </w:rPr>
        <w:t>2</w:t>
      </w:r>
      <w:r>
        <w:t xml:space="preserve"> was approximately 3 (Figure 3C).</w:t>
      </w:r>
    </w:p>
    <w:bookmarkEnd w:id="15"/>
    <w:p w14:paraId="76248DA3" w14:textId="77777777" w:rsidR="00640CD9" w:rsidRDefault="00180245" w:rsidP="001643E6">
      <w:pPr>
        <w:pStyle w:val="BodyText"/>
        <w:spacing w:line="480" w:lineRule="auto"/>
        <w:ind w:firstLine="720"/>
      </w:pPr>
      <w:r>
        <w:t xml:space="preserve">Given the large number of </w:t>
      </w:r>
      <w:r w:rsidR="00CA0A3C" w:rsidRPr="00CA0A3C">
        <w:t>projected</w:t>
      </w:r>
      <w:r w:rsidR="00CA0A3C">
        <w:rPr>
          <w:i/>
          <w:iCs/>
        </w:rPr>
        <w:t xml:space="preserve"> </w:t>
      </w:r>
      <w:r>
        <w:t>eDNA points (</w:t>
      </w:r>
      <w:r w:rsidRPr="002362C0">
        <w:rPr>
          <w:i/>
          <w:iCs/>
        </w:rPr>
        <w:t>Q</w:t>
      </w:r>
      <w:r>
        <w:t>), fitting a GP model using all locations (≈ 20,000 input values) was computationally prohibitive. We therefore drew a subset of 4,000 points from each of the 200 simulated datasets as the “complete” observation dataset (Y) and its covariate (X). Following a procedure identical to that used for the empirical data, we first fit the GP model (Eq. 1–2) to each complete simulated dataset (</w:t>
      </w:r>
      <w:r>
        <w:rPr>
          <w:i/>
          <w:iCs/>
        </w:rPr>
        <w:t>Y</w:t>
      </w:r>
      <w:r>
        <w:t>) and covariate (</w:t>
      </w:r>
      <w:r>
        <w:rPr>
          <w:i/>
          <w:iCs/>
        </w:rPr>
        <w:t>X</w:t>
      </w:r>
      <w:r>
        <w:t>) to infer its governing parameters (</w:t>
      </w:r>
      <w:r>
        <w:rPr>
          <w:i/>
          <w:iCs/>
        </w:rPr>
        <w:t>μ</w:t>
      </w:r>
      <w:r>
        <w:rPr>
          <w:i/>
          <w:iCs/>
          <w:vertAlign w:val="subscript"/>
        </w:rPr>
        <w:t>d</w:t>
      </w:r>
      <w:r>
        <w:t xml:space="preserve">, </w:t>
      </w:r>
      <w:r>
        <w:rPr>
          <w:i/>
          <w:iCs/>
        </w:rPr>
        <w:t>ρ</w:t>
      </w:r>
      <w:r>
        <w:t xml:space="preserve">, </w:t>
      </w:r>
      <w:r>
        <w:rPr>
          <w:i/>
          <w:iCs/>
        </w:rPr>
        <w:t>α</w:t>
      </w:r>
      <w:r>
        <w:rPr>
          <w:i/>
          <w:iCs/>
          <w:vertAlign w:val="superscript"/>
        </w:rPr>
        <w:t>2</w:t>
      </w:r>
      <w:r>
        <w:t xml:space="preserve">, and </w:t>
      </w:r>
      <w:r>
        <w:rPr>
          <w:i/>
          <w:iCs/>
        </w:rPr>
        <w:t>σ</w:t>
      </w:r>
      <w:r>
        <w:rPr>
          <w:i/>
          <w:iCs/>
          <w:vertAlign w:val="superscript"/>
        </w:rPr>
        <w:t>2</w:t>
      </w:r>
      <w:r>
        <w:t>) and thereafter predict eDNA concentrations (</w:t>
      </w:r>
      <w:r>
        <w:rPr>
          <w:i/>
          <w:iCs/>
        </w:rPr>
        <w:t>Z</w:t>
      </w:r>
      <w:r>
        <w:t>) across the full spatial grid (</w:t>
      </w:r>
      <w:r>
        <w:rPr>
          <w:i/>
          <w:iCs/>
        </w:rPr>
        <w:t>Q</w:t>
      </w:r>
      <w:r>
        <w:t>) using Eq. 3. This prediction (</w:t>
      </w:r>
      <w:r w:rsidR="00640CD9" w:rsidRPr="001C5725">
        <w:rPr>
          <w:i/>
          <w:iCs/>
        </w:rPr>
        <w:t>Z</w:t>
      </w:r>
      <w:r w:rsidR="00640CD9" w:rsidRPr="00640CD9">
        <w:t>) served as the</w:t>
      </w:r>
      <w:r w:rsidR="00640CD9">
        <w:t xml:space="preserve"> “true”</w:t>
      </w:r>
      <w:r w:rsidR="00640CD9" w:rsidRPr="00640CD9">
        <w:t xml:space="preserve"> spatial field against which all subsequent reduced-effort predictions were compared</w:t>
      </w:r>
      <w:r w:rsidR="00B95C1A">
        <w:t xml:space="preserve"> (</w:t>
      </w:r>
      <w:r w:rsidR="00B95C1A">
        <w:rPr>
          <w:rStyle w:val="s2"/>
        </w:rPr>
        <w:t>Figure 2A)</w:t>
      </w:r>
      <w:r w:rsidR="00640CD9" w:rsidRPr="00640CD9">
        <w:t>.</w:t>
      </w:r>
    </w:p>
    <w:p w14:paraId="735AA344" w14:textId="77777777" w:rsidR="00B11167" w:rsidRDefault="00D71941" w:rsidP="001643E6">
      <w:pPr>
        <w:pStyle w:val="BodyText"/>
        <w:spacing w:line="480" w:lineRule="auto"/>
        <w:ind w:firstLine="720"/>
      </w:pPr>
      <w:r>
        <w:t>To evaluate how sampling effort influences prediction accuracy on the simulated data, we generated a series of reduced-effort observation datasets (</w:t>
      </w:r>
      <w:r>
        <w:rPr>
          <w:i/>
          <w:iCs/>
        </w:rPr>
        <w:t>Y</w:t>
      </w:r>
      <w:r>
        <w:rPr>
          <w:i/>
          <w:iCs/>
          <w:vertAlign w:val="subscript"/>
        </w:rPr>
        <w:t>E</w:t>
      </w:r>
      <w:r>
        <w:t>) and covariates (</w:t>
      </w:r>
      <w:r>
        <w:rPr>
          <w:i/>
          <w:iCs/>
        </w:rPr>
        <w:t>X</w:t>
      </w:r>
      <w:r>
        <w:rPr>
          <w:i/>
          <w:iCs/>
          <w:vertAlign w:val="subscript"/>
        </w:rPr>
        <w:t>E</w:t>
      </w:r>
      <w:r>
        <w:t>) by randomly thinning each complete set (</w:t>
      </w:r>
      <w:r>
        <w:rPr>
          <w:i/>
          <w:iCs/>
        </w:rPr>
        <w:t>Y</w:t>
      </w:r>
      <w:r>
        <w:t>) and its covariate (</w:t>
      </w:r>
      <w:r>
        <w:rPr>
          <w:i/>
          <w:iCs/>
        </w:rPr>
        <w:t>X</w:t>
      </w:r>
      <w:r>
        <w:t xml:space="preserve">) to progressively smaller sample sizes (N = 2000, 1000, 600, 358, 330, 300, 260, 220, and 150; </w:t>
      </w:r>
      <w:r>
        <w:rPr>
          <w:rStyle w:val="s2"/>
        </w:rPr>
        <w:t>Figure 2A</w:t>
      </w:r>
      <w:r>
        <w:t>). Following the same procedure used for the empirical data, we fit the GP model (Eq. 1-3) to estimate the governing parameters and generate an effort-specific spatial prediction (</w:t>
      </w:r>
      <w:r>
        <w:rPr>
          <w:i/>
          <w:iCs/>
        </w:rPr>
        <w:t>S</w:t>
      </w:r>
      <w:r>
        <w:rPr>
          <w:i/>
          <w:iCs/>
          <w:vertAlign w:val="subscript"/>
        </w:rPr>
        <w:t>E</w:t>
      </w:r>
      <w:r>
        <w:t>) on the full spatial grid (</w:t>
      </w:r>
      <w:r>
        <w:rPr>
          <w:i/>
          <w:iCs/>
        </w:rPr>
        <w:t>Q</w:t>
      </w:r>
      <w:r>
        <w:t xml:space="preserve">). We then </w:t>
      </w:r>
      <w:r>
        <w:lastRenderedPageBreak/>
        <w:t>quantified the prediction error (</w:t>
      </w:r>
      <w:r>
        <w:rPr>
          <w:rFonts w:eastAsiaTheme="minorEastAsia"/>
          <w:i/>
          <w:iCs/>
          <w:lang w:val="el-GR"/>
        </w:rPr>
        <w:t>ε</w:t>
      </w:r>
      <w:r>
        <w:rPr>
          <w:rFonts w:eastAsiaTheme="minorEastAsia"/>
          <w:i/>
          <w:iCs/>
          <w:vertAlign w:val="subscript"/>
        </w:rPr>
        <w:t>2E</w:t>
      </w:r>
      <w:r>
        <w:t>) for each scenario by calculating the root mean squared error between the “true” field (</w:t>
      </w:r>
      <w:r>
        <w:rPr>
          <w:i/>
          <w:iCs/>
        </w:rPr>
        <w:t>Z)</w:t>
      </w:r>
      <w:r>
        <w:t xml:space="preserve"> and the reduced-effort field (</w:t>
      </w:r>
      <w:r>
        <w:rPr>
          <w:i/>
          <w:iCs/>
        </w:rPr>
        <w:t>S</w:t>
      </w:r>
      <w:r>
        <w:rPr>
          <w:i/>
          <w:iCs/>
          <w:vertAlign w:val="subscript"/>
        </w:rPr>
        <w:t>E</w:t>
      </w:r>
      <w:r>
        <w:t>), as defined in Eq. 5 (</w:t>
      </w:r>
      <w:r>
        <w:rPr>
          <w:rStyle w:val="s2"/>
        </w:rPr>
        <w:t>Figure 2A</w:t>
      </w:r>
      <w:r>
        <w:t>).</w:t>
      </w:r>
      <w:bookmarkStart w:id="16" w:name="statistical-inference"/>
      <w:bookmarkEnd w:id="10"/>
    </w:p>
    <w:p w14:paraId="77366E0C" w14:textId="77777777" w:rsidR="00BB5672" w:rsidRDefault="00BB5672" w:rsidP="001643E6">
      <w:pPr>
        <w:pStyle w:val="BodyText"/>
        <w:spacing w:line="480" w:lineRule="auto"/>
        <w:ind w:firstLine="720"/>
      </w:pPr>
      <w:r>
        <w:t>Additionally, to evaluate the influence of sampling effort on GP parameter estimation, we compared the estimated parameters (</w:t>
      </w:r>
      <w:r>
        <w:rPr>
          <w:i/>
          <w:iCs/>
          <w:lang w:val="el-GR"/>
        </w:rPr>
        <w:t>ρ</w:t>
      </w:r>
      <w:r>
        <w:t xml:space="preserve">, </w:t>
      </w:r>
      <w:r>
        <w:rPr>
          <w:i/>
          <w:iCs/>
          <w:lang w:val="el-GR"/>
        </w:rPr>
        <w:t>μ</w:t>
      </w:r>
      <w:r>
        <w:rPr>
          <w:i/>
          <w:iCs/>
          <w:vertAlign w:val="subscript"/>
        </w:rPr>
        <w:t>d</w:t>
      </w:r>
      <w:r>
        <w:t xml:space="preserve">, </w:t>
      </w:r>
      <w:r>
        <w:rPr>
          <w:i/>
          <w:iCs/>
          <w:lang w:val="el-GR"/>
        </w:rPr>
        <w:t>σ</w:t>
      </w:r>
      <w:r>
        <w:rPr>
          <w:i/>
          <w:iCs/>
          <w:vertAlign w:val="superscript"/>
        </w:rPr>
        <w:t>2</w:t>
      </w:r>
      <w:r>
        <w:t xml:space="preserve">, </w:t>
      </w:r>
      <w:r>
        <w:rPr>
          <w:i/>
          <w:iCs/>
          <w:lang w:val="el-GR"/>
        </w:rPr>
        <w:t>α</w:t>
      </w:r>
      <w:r>
        <w:rPr>
          <w:i/>
          <w:iCs/>
          <w:vertAlign w:val="superscript"/>
        </w:rPr>
        <w:t>2</w:t>
      </w:r>
      <w:r>
        <w:t>) from effort-specific datasets (</w:t>
      </w:r>
      <w:r>
        <w:rPr>
          <w:i/>
          <w:iCs/>
        </w:rPr>
        <w:t>Y</w:t>
      </w:r>
      <w:r>
        <w:rPr>
          <w:i/>
          <w:iCs/>
          <w:vertAlign w:val="subscript"/>
        </w:rPr>
        <w:t>E</w:t>
      </w:r>
      <w:r>
        <w:t>) and covariates (</w:t>
      </w:r>
      <w:r>
        <w:rPr>
          <w:i/>
          <w:iCs/>
        </w:rPr>
        <w:t>X</w:t>
      </w:r>
      <w:r>
        <w:rPr>
          <w:i/>
          <w:iCs/>
          <w:vertAlign w:val="subscript"/>
        </w:rPr>
        <w:t>E</w:t>
      </w:r>
      <w:r>
        <w:t xml:space="preserve">) to the true values used to generate the simulated fields. Differences between estimated and simulated parameter values were quantified using the root mean squared error (hereafter </w:t>
      </w:r>
      <w:r>
        <w:rPr>
          <w:lang w:val="el-GR"/>
        </w:rPr>
        <w:t>τ</w:t>
      </w:r>
      <w:r>
        <w:t>).</w:t>
      </w:r>
    </w:p>
    <w:p w14:paraId="7E28B66B" w14:textId="77777777" w:rsidR="00792AAF" w:rsidRPr="009E1270" w:rsidRDefault="00B11167" w:rsidP="001643E6">
      <w:pPr>
        <w:pStyle w:val="BodyText"/>
        <w:spacing w:line="480" w:lineRule="auto"/>
      </w:pPr>
      <w:r>
        <w:rPr>
          <w:b/>
        </w:rPr>
        <w:t>Step 4: Solving for the sampling density required by a stated objective</w:t>
      </w:r>
    </w:p>
    <w:p w14:paraId="7AEB3502" w14:textId="77777777" w:rsidR="00F65D5F" w:rsidRDefault="00C0694F" w:rsidP="001643E6">
      <w:pPr>
        <w:pStyle w:val="BodyText"/>
        <w:spacing w:line="480" w:lineRule="auto"/>
        <w:ind w:firstLine="720"/>
      </w:pPr>
      <w:r w:rsidRPr="00C0694F">
        <w:t xml:space="preserve">To examine how sampling effort and spatial autocorrelation jointly shape prediction error, we fit a log-linear model to each dataset separately (empirical: </w:t>
      </w:r>
      <w:r w:rsidR="00DD2960">
        <w:rPr>
          <w:lang w:val="el-GR"/>
        </w:rPr>
        <w:t>ε</w:t>
      </w:r>
      <w:r w:rsidRPr="00C0694F">
        <w:t xml:space="preserve">1; simulated: </w:t>
      </w:r>
      <w:r w:rsidR="00DD2960">
        <w:rPr>
          <w:lang w:val="el-GR"/>
        </w:rPr>
        <w:t>ε</w:t>
      </w:r>
      <w:r w:rsidRPr="00C0694F">
        <w:t>2), isolating each factor's contribution and enabling comparison across datasets.</w:t>
      </w:r>
    </w:p>
    <w:p w14:paraId="2C5D7D99" w14:textId="77777777" w:rsidR="007D39EF" w:rsidRPr="007D39EF" w:rsidRDefault="007D39EF" w:rsidP="001643E6">
      <w:pPr>
        <w:pStyle w:val="FirstParagraph"/>
        <w:spacing w:line="480" w:lineRule="auto"/>
        <w:ind w:firstLine="720"/>
      </w:pPr>
      <w:bookmarkStart w:id="17" w:name="OLE_LINK5"/>
      <w:r w:rsidRPr="007D39EF">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r w:rsidR="00E364A6" w:rsidRPr="00E364A6">
        <w:rPr>
          <w:i/>
          <w:iCs/>
        </w:rPr>
        <w:t xml:space="preserve">lm </w:t>
      </w:r>
      <w:r w:rsidR="00E364A6" w:rsidRPr="00E364A6">
        <w:t>function</w:t>
      </w:r>
      <w:r w:rsidR="00E364A6">
        <w:t xml:space="preserve">) in R </w:t>
      </w:r>
      <w:r w:rsidR="000E3B51">
        <w:t>as follows:</w:t>
      </w:r>
    </w:p>
    <w:p w14:paraId="19A81167" w14:textId="77777777" w:rsidR="00124CBE" w:rsidRPr="00124CBE" w:rsidRDefault="00000000" w:rsidP="001643E6">
      <w:pPr>
        <w:pStyle w:val="BodyText"/>
        <w:spacing w:line="480" w:lineRule="auto"/>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FB06672" w14:textId="77777777" w:rsidR="00082BC7" w:rsidRDefault="000E3B51" w:rsidP="001643E6">
      <w:pPr>
        <w:pStyle w:val="BodyText"/>
        <w:spacing w:line="480" w:lineRule="auto"/>
        <w:ind w:firstLine="720"/>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p w14:paraId="0D570EF1" w14:textId="77777777" w:rsidR="00BD1D03" w:rsidRDefault="00000000">
      <w:pPr>
        <w:pStyle w:val="BodyText"/>
        <w:spacing w:line="480" w:lineRule="auto"/>
        <w:ind w:firstLine="720"/>
      </w:pPr>
      <w:r>
        <w:t xml:space="preserve">For a given </w:t>
      </w:r>
      <w:r>
        <w:rPr>
          <w:i/>
        </w:rPr>
        <w:t>ρ</w:t>
      </w:r>
      <w:r>
        <w:t xml:space="preserve">, Eq. 6 reduces to a power law in </w:t>
      </w:r>
      <w:r>
        <w:rPr>
          <w:i/>
        </w:rPr>
        <w:t>E</w:t>
      </w:r>
      <w:r>
        <w:t xml:space="preserve"> that can be inverted to return the minimum sampling density (</w:t>
      </w:r>
      <w:r>
        <w:rPr>
          <w:i/>
        </w:rPr>
        <w:t>E</w:t>
      </w:r>
      <w:r>
        <w:rPr>
          <w:vertAlign w:val="superscript"/>
        </w:rPr>
        <w:t>*</w:t>
      </w:r>
      <w:r>
        <w:t>) required to achieve a target prediction error (</w:t>
      </w:r>
      <w:r>
        <w:rPr>
          <w:i/>
        </w:rPr>
        <w:t>ε</w:t>
      </w:r>
      <w:r>
        <w:rPr>
          <w:vertAlign w:val="superscript"/>
        </w:rPr>
        <w:t>*</w:t>
      </w:r>
      <w:r>
        <w:t>):</w:t>
      </w:r>
    </w:p>
    <w:p w14:paraId="5FE4D9C3" w14:textId="77777777" w:rsidR="00BD1D03" w:rsidRDefault="00000000">
      <w:pPr>
        <w:pStyle w:val="BodyText"/>
        <w:spacing w:line="480" w:lineRule="auto"/>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=exp</m:t>
              </m:r>
              <m:d>
                <m:dPr>
                  <m:ctrlPr>
                    <w:rPr>
                      <w:rFonts w:ascii="Cambria Math" w:hAnsi="Cambria Math"/>
                    </w:rPr>
                  </m:ctrlPr>
                </m:dPr>
                <m:e>
                  <m:f>
                    <m:fPr>
                      <m:ctrlPr>
                        <w:rPr>
                          <w:rFonts w:ascii="Cambria Math" w:hAnsi="Cambria Math"/>
                        </w:rPr>
                      </m:ctrlPr>
                    </m:fPr>
                    <m:num>
                      <m:r>
                        <m:rPr>
                          <m:sty m:val="p"/>
                        </m:rP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ε</m:t>
                              </m:r>
                            </m:e>
                            <m:sup>
                              <m:r>
                                <m:rPr>
                                  <m:sty m:val="p"/>
                                </m:rPr>
                                <w:rPr>
                                  <w:rFonts w:ascii="Cambria Math" w:hAnsi="Cambria Math"/>
                                </w:rPr>
                                <m:t>*</m:t>
                              </m:r>
                            </m:sup>
                          </m:sSup>
                        </m:e>
                      </m:d>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θ</m:t>
                      </m:r>
                      <m:r>
                        <m:rPr>
                          <m:sty m:val="p"/>
                        </m:rPr>
                        <w:rPr>
                          <w:rFonts w:ascii="Cambria Math" w:hAnsi="Cambria Math"/>
                        </w:rPr>
                        <m:t xml:space="preserve"> log</m:t>
                      </m:r>
                      <m:d>
                        <m:dPr>
                          <m:ctrlPr>
                            <w:rPr>
                              <w:rFonts w:ascii="Cambria Math" w:hAnsi="Cambria Math"/>
                            </w:rPr>
                          </m:ctrlPr>
                        </m:dPr>
                        <m:e>
                          <m:r>
                            <w:rPr>
                              <w:rFonts w:ascii="Cambria Math" w:hAnsi="Cambria Math"/>
                            </w:rPr>
                            <m:t>ρ</m:t>
                          </m:r>
                        </m:e>
                      </m:d>
                    </m:num>
                    <m:den>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 xml:space="preserve"> log</m:t>
                      </m:r>
                      <m:d>
                        <m:dPr>
                          <m:ctrlPr>
                            <w:rPr>
                              <w:rFonts w:ascii="Cambria Math" w:hAnsi="Cambria Math"/>
                            </w:rPr>
                          </m:ctrlPr>
                        </m:dPr>
                        <m:e>
                          <m:r>
                            <w:rPr>
                              <w:rFonts w:ascii="Cambria Math" w:hAnsi="Cambria Math"/>
                            </w:rPr>
                            <m:t>ρ</m:t>
                          </m:r>
                        </m:e>
                      </m:d>
                    </m:den>
                  </m:f>
                </m:e>
              </m:d>
              <m:r>
                <m:rPr>
                  <m:sty m:val="p"/>
                </m:rPr>
                <w:rPr>
                  <w:rFonts w:ascii="Cambria Math" w:hAnsi="Cambria Math"/>
                </w:rPr>
                <m:t>#7</m:t>
              </m:r>
            </m:e>
          </m:eqArr>
        </m:oMath>
      </m:oMathPara>
    </w:p>
    <w:p w14:paraId="6983001A" w14:textId="77777777" w:rsidR="00BD1D03" w:rsidRDefault="00000000">
      <w:pPr>
        <w:pStyle w:val="BodyText"/>
        <w:spacing w:line="480" w:lineRule="auto"/>
        <w:ind w:firstLine="720"/>
      </w:pPr>
      <w:r>
        <w:t xml:space="preserve">The number of samples required per stratum of area </w:t>
      </w:r>
      <w:r>
        <w:rPr>
          <w:i/>
        </w:rPr>
        <w:t>A</w:t>
      </w:r>
      <w:r>
        <w:t xml:space="preserve"> is </w:t>
      </w:r>
      <w:r>
        <w:rPr>
          <w:i/>
        </w:rPr>
        <w:t>A E</w:t>
      </w:r>
      <w:r>
        <w:rPr>
          <w:vertAlign w:val="superscript"/>
        </w:rPr>
        <w:t>*</w:t>
      </w:r>
      <w:r>
        <w:t xml:space="preserve">/10,000, rounded up to a whole number, and the total across </w:t>
      </w:r>
      <w:r>
        <w:rPr>
          <w:i/>
        </w:rPr>
        <w:t>H</w:t>
      </w:r>
      <w:r>
        <w:t xml:space="preserve"> strata is </w:t>
      </w:r>
      <w:r>
        <w:rPr>
          <w:i/>
        </w:rPr>
        <w:t>H</w:t>
      </w:r>
      <w:r>
        <w:t xml:space="preserve"> times that number. Conversely, a fixed budget of </w:t>
      </w:r>
      <w:r>
        <w:rPr>
          <w:i/>
        </w:rPr>
        <w:t>N</w:t>
      </w:r>
      <w:r>
        <w:rPr>
          <w:vertAlign w:val="subscript"/>
        </w:rPr>
        <w:t>h</w:t>
      </w:r>
      <w:r>
        <w:t xml:space="preserve"> samples per stratum supports a survey area of 10,000 </w:t>
      </w:r>
      <w:r>
        <w:rPr>
          <w:i/>
        </w:rPr>
        <w:t>N</w:t>
      </w:r>
      <w:r>
        <w:rPr>
          <w:vertAlign w:val="subscript"/>
        </w:rPr>
        <w:t>h</w:t>
      </w:r>
      <w:r>
        <w:t>/</w:t>
      </w:r>
      <w:r>
        <w:rPr>
          <w:i/>
        </w:rPr>
        <w:t>E</w:t>
      </w:r>
      <w:r>
        <w:rPr>
          <w:vertAlign w:val="superscript"/>
        </w:rPr>
        <w:t>*</w:t>
      </w:r>
      <w:r>
        <w:t xml:space="preserve"> at the target error. Eq. 7 has a solution only while the fitted error declines with effort (</w:t>
      </w:r>
      <w:r>
        <w:rPr>
          <w:i/>
        </w:rPr>
        <w:t>β</w:t>
      </w:r>
      <w:r>
        <w:t xml:space="preserve"> + </w:t>
      </w:r>
      <w:r>
        <w:rPr>
          <w:i/>
        </w:rPr>
        <w:t>γ</w:t>
      </w:r>
      <w:r>
        <w:t xml:space="preserve"> log(</w:t>
      </w:r>
      <w:r>
        <w:rPr>
          <w:i/>
        </w:rPr>
        <w:t>ρ</w:t>
      </w:r>
      <w:r>
        <w:t>) &lt; 0), which holds throughout the calibrated range (</w:t>
      </w:r>
      <w:r>
        <w:rPr>
          <w:i/>
        </w:rPr>
        <w:t>ρ</w:t>
      </w:r>
      <w:r>
        <w:t xml:space="preserve"> = 25–1000 km; </w:t>
      </w:r>
      <w:r>
        <w:rPr>
          <w:i/>
        </w:rPr>
        <w:t>E</w:t>
      </w:r>
      <w:r>
        <w:t xml:space="preserve"> = 1.5–20 samples per 10,000 km</w:t>
      </w:r>
      <w:r>
        <w:rPr>
          <w:vertAlign w:val="superscript"/>
        </w:rPr>
        <w:t>2</w:t>
      </w:r>
      <w:r>
        <w:t xml:space="preserve"> per stratum).</w:t>
      </w:r>
    </w:p>
    <w:bookmarkEnd w:id="17"/>
    <w:p w14:paraId="61A7E5B9" w14:textId="77777777" w:rsidR="00DC0E33" w:rsidRPr="00450784" w:rsidRDefault="00095871" w:rsidP="001643E6">
      <w:pPr>
        <w:pStyle w:val="BodyText"/>
        <w:spacing w:line="480" w:lineRule="auto"/>
      </w:pPr>
      <w:r>
        <w:rPr>
          <w:b/>
        </w:rPr>
        <w:lastRenderedPageBreak/>
        <w:t>Benchmarking simulated against observed fields</w:t>
      </w:r>
    </w:p>
    <w:p w14:paraId="0124C2DA" w14:textId="77777777" w:rsidR="00AD3A27" w:rsidRDefault="00DB2CB7" w:rsidP="001643E6">
      <w:pPr>
        <w:pStyle w:val="BodyText"/>
        <w:spacing w:line="480" w:lineRule="auto"/>
        <w:ind w:firstLine="720"/>
      </w:pPr>
      <w:r>
        <w:t>Because the empirical benchmark (</w:t>
      </w:r>
      <w:r>
        <w:rPr>
          <w:i/>
          <w:iCs/>
        </w:rPr>
        <w:t>ε₁</w:t>
      </w:r>
      <w:r>
        <w:t>) was defined by the 358 observed samples, whereas the simulation benchmark (</w:t>
      </w:r>
      <w:r>
        <w:rPr>
          <w:i/>
          <w:iCs/>
        </w:rPr>
        <w:t>ε</w:t>
      </w:r>
      <w:r>
        <w:rPr>
          <w:i/>
          <w:iCs/>
          <w:vertAlign w:val="subscript"/>
        </w:rPr>
        <w:t>2</w:t>
      </w:r>
      <w:r>
        <w:t xml:space="preserve">) used 4,000 samples, the two errors are not directly comparable (Figure 2). We therefore repeated the thinning on each simulated field using its </w:t>
      </w:r>
      <w:r>
        <w:rPr>
          <w:i/>
        </w:rPr>
        <w:t>N</w:t>
      </w:r>
      <w:r>
        <w:t xml:space="preserve"> = 358 subsample as the reference (</w:t>
      </w:r>
      <w:r>
        <w:rPr>
          <w:i/>
        </w:rPr>
        <w:t>ε</w:t>
      </w:r>
      <w:r>
        <w:rPr>
          <w:vertAlign w:val="subscript"/>
        </w:rPr>
        <w:t>3</w:t>
      </w:r>
      <w:r>
        <w:t xml:space="preserve">), fitted Eq. 6 to </w:t>
      </w:r>
      <w:r>
        <w:rPr>
          <w:i/>
        </w:rPr>
        <w:t>ε</w:t>
      </w:r>
      <w:r>
        <w:rPr>
          <w:vertAlign w:val="subscript"/>
        </w:rPr>
        <w:t>3</w:t>
      </w:r>
      <w:r>
        <w:t xml:space="preserve"> and to </w:t>
      </w:r>
      <w:r>
        <w:rPr>
          <w:i/>
        </w:rPr>
        <w:t>ε</w:t>
      </w:r>
      <w:r>
        <w:rPr>
          <w:vertAlign w:val="subscript"/>
        </w:rPr>
        <w:t>1</w:t>
      </w:r>
      <w:r>
        <w:t>, and compared the resulting coefficients to test whether the simulations reproduce the error structure of real eDNA fields (Appendix S1: Section S2).</w:t>
      </w:r>
    </w:p>
    <w:p w14:paraId="7A53D419" w14:textId="77777777" w:rsidR="007C0AAD" w:rsidRDefault="00F869DE" w:rsidP="001643E6">
      <w:pPr>
        <w:pStyle w:val="BodyText"/>
        <w:spacing w:line="480" w:lineRule="auto"/>
        <w:ind w:firstLine="720"/>
      </w:pPr>
      <w:bookmarkStart w:id="18" w:name="OLE_LINK7"/>
      <w:bookmarkEnd w:id="18"/>
      <w:r>
        <w:t xml:space="preserve">All the GP models (equation 1 and 2) were fitted in a Bayesian framework using Stan probabilistic programming language </w:t>
      </w:r>
      <w:r w:rsidR="00937D72">
        <w:fldChar w:fldCharType="begin"/>
      </w:r>
      <w:r w:rsidR="00937D72">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rsidR="00937D72">
        <w:fldChar w:fldCharType="separate"/>
      </w:r>
      <w:r w:rsidR="00937D72">
        <w:rPr>
          <w:noProof/>
        </w:rPr>
        <w:t>(Stan Development Team, 2023)</w:t>
      </w:r>
      <w:r w:rsidR="00937D72">
        <w:fldChar w:fldCharType="end"/>
      </w:r>
      <w:fldSimple w:instr=" PRINTDATE  \* MERGEFORMAT "/>
      <w:r>
        <w:t>, with weakly informative priors</w:t>
      </w:r>
      <w:hyperlink w:anchor="tab:gp_priors"/>
      <w:r>
        <w:t xml:space="preserve">, and the model in Eq. 6 was fitted using the </w:t>
      </w:r>
      <w:r>
        <w:rPr>
          <w:i/>
          <w:iCs/>
        </w:rPr>
        <w:t>lm()</w:t>
      </w:r>
      <w:r>
        <w:t xml:space="preserve"> function in R (R Core Team, 2024); sampler settings, convergence diagnostics and prior distributions are given in Appendix S1: Section S3 and Table S2.</w:t>
      </w:r>
    </w:p>
    <w:p w14:paraId="7CFCB80B" w14:textId="77777777" w:rsidR="00BD1D03" w:rsidRDefault="00000000">
      <w:pPr>
        <w:pStyle w:val="Heading2"/>
        <w:spacing w:before="0" w:after="0" w:line="480" w:lineRule="auto"/>
      </w:pPr>
      <w:r>
        <w:t>Implementation: the eDNA Survey Planner</w:t>
      </w:r>
    </w:p>
    <w:p w14:paraId="062D780F" w14:textId="77777777" w:rsidR="00BD1D03" w:rsidRDefault="00000000">
      <w:pPr>
        <w:pStyle w:val="BodyText"/>
        <w:spacing w:line="480" w:lineRule="auto"/>
        <w:ind w:firstLine="720"/>
      </w:pPr>
      <w:r>
        <w:t>To make Step 4 usable without statistical software, we implemented Eq. 6–7 in the eDNA Survey Planner, a self-contained browser application (a single HTML file) that runs offline, requires no installation and uploads no data (Appendix S1: Figure S6; Open Research statement). It answers the two questions survey designers most often face. “How many samples?” takes a target error (</w:t>
      </w:r>
      <w:r>
        <w:rPr>
          <w:i/>
        </w:rPr>
        <w:t>ε</w:t>
      </w:r>
      <w:r>
        <w:rPr>
          <w:vertAlign w:val="superscript"/>
        </w:rPr>
        <w:t>*</w:t>
      </w:r>
      <w:r>
        <w:t xml:space="preserve">), a prior estimate of </w:t>
      </w:r>
      <w:r>
        <w:rPr>
          <w:i/>
        </w:rPr>
        <w:t>ρ</w:t>
      </w:r>
      <w:r>
        <w:t xml:space="preserve">, the survey area per stratum and the number of strata, and returns the required sampling density, the samples per stratum and the total site–stratum observations. “How much area?” takes </w:t>
      </w:r>
      <w:r>
        <w:rPr>
          <w:i/>
        </w:rPr>
        <w:t>ε</w:t>
      </w:r>
      <w:r>
        <w:rPr>
          <w:vertAlign w:val="superscript"/>
        </w:rPr>
        <w:t>*</w:t>
      </w:r>
      <w:r>
        <w:t xml:space="preserve">, </w:t>
      </w:r>
      <w:r>
        <w:rPr>
          <w:i/>
        </w:rPr>
        <w:t>ρ</w:t>
      </w:r>
      <w:r>
        <w:t xml:space="preserve"> and a sample budget per stratum, and returns the area that budget can support at the target error.</w:t>
      </w:r>
    </w:p>
    <w:p w14:paraId="196386E2" w14:textId="77777777" w:rsidR="00BD1D03" w:rsidRDefault="00000000">
      <w:pPr>
        <w:pStyle w:val="BodyText"/>
        <w:spacing w:line="480" w:lineRule="auto"/>
        <w:ind w:firstLine="720"/>
      </w:pPr>
      <w:r>
        <w:t xml:space="preserve">Because </w:t>
      </w:r>
      <w:r>
        <w:rPr>
          <w:i/>
        </w:rPr>
        <w:t>ε</w:t>
      </w:r>
      <w:r>
        <w:t xml:space="preserve"> is a root mean squared error on the natural-log scale, the planner translates it into a concentration range: around a reference concentration </w:t>
      </w:r>
      <w:r>
        <w:rPr>
          <w:i/>
        </w:rPr>
        <w:t>C</w:t>
      </w:r>
      <w:r>
        <w:t xml:space="preserve">, predictions typically fall within </w:t>
      </w:r>
      <w:r>
        <w:lastRenderedPageBreak/>
        <w:t>exp(log(</w:t>
      </w:r>
      <w:r>
        <w:rPr>
          <w:i/>
        </w:rPr>
        <w:t>C</w:t>
      </w:r>
      <w:r>
        <w:t xml:space="preserve">) ± </w:t>
      </w:r>
      <w:r>
        <w:rPr>
          <w:i/>
        </w:rPr>
        <w:t>ε</w:t>
      </w:r>
      <w:r>
        <w:t>), a multiplicative factor of e</w:t>
      </w:r>
      <w:r>
        <w:rPr>
          <w:i/>
          <w:vertAlign w:val="superscript"/>
        </w:rPr>
        <w:t>ε</w:t>
      </w:r>
      <w:r>
        <w:t xml:space="preserve"> (e.g., </w:t>
      </w:r>
      <w:r>
        <w:rPr>
          <w:i/>
        </w:rPr>
        <w:t>ε</w:t>
      </w:r>
      <w:r>
        <w:t xml:space="preserve"> = 0.8 corresponds to about 45–223 copies/L around a true 100 copies/L; Appendix S1: Figure S3). An interactive error–effort curve shows where the target lies on the curve of diminishing returns, and a one-dimensional GP simulation displays a true field, the samples required to reach </w:t>
      </w:r>
      <w:r>
        <w:rPr>
          <w:i/>
        </w:rPr>
        <w:t>ε</w:t>
      </w:r>
      <w:r>
        <w:rPr>
          <w:vertAlign w:val="superscript"/>
        </w:rPr>
        <w:t>*</w:t>
      </w:r>
      <w:r>
        <w:t xml:space="preserve"> and the resulting reconstruction, alongside one quarter of that effort. Spatial autocorrelation can be entered directly or chosen from presets (25–1,000 km).</w:t>
      </w:r>
    </w:p>
    <w:p w14:paraId="1A3A3EC1" w14:textId="77777777" w:rsidR="00BD1D03" w:rsidRDefault="00000000">
      <w:pPr>
        <w:pStyle w:val="BodyText"/>
        <w:spacing w:line="480" w:lineRule="auto"/>
        <w:ind w:firstLine="720"/>
      </w:pPr>
      <w:r>
        <w:t xml:space="preserve">Default coefficients are those of Eq. 6 estimated from the simulations, but they can be edited, so that programs can substitute a calibration for their own region, taxa or assay by applying Steps 1–4 with the archived code. Results outside the calibrated range are calculated but flagged as extrapolations, and the planner states that </w:t>
      </w:r>
      <w:r>
        <w:rPr>
          <w:i/>
        </w:rPr>
        <w:t>ε</w:t>
      </w:r>
      <w:r>
        <w:t xml:space="preserve"> is an average error across the survey domain rather than a pointwise confidence interval. Recommendations follow the central fitted curve; uncertainty in the coefficients is not yet propagated.</w:t>
      </w:r>
    </w:p>
    <w:p w14:paraId="478643DC" w14:textId="77777777" w:rsidR="0032076E" w:rsidRDefault="00D04708" w:rsidP="001643E6">
      <w:pPr>
        <w:pStyle w:val="Heading1"/>
        <w:spacing w:before="0" w:after="0" w:line="480" w:lineRule="auto"/>
      </w:pPr>
      <w:bookmarkStart w:id="19" w:name="tab:gp_priors"/>
      <w:bookmarkStart w:id="20" w:name="fig:dag"/>
      <w:bookmarkStart w:id="21" w:name="results"/>
      <w:bookmarkEnd w:id="8"/>
      <w:bookmarkEnd w:id="16"/>
      <w:bookmarkEnd w:id="19"/>
      <w:bookmarkEnd w:id="20"/>
      <w:r>
        <w:t>Case study: a multispecies eDNA survey of the California Current</w:t>
      </w:r>
    </w:p>
    <w:p w14:paraId="04E62F49" w14:textId="77777777" w:rsidR="00BD1D03" w:rsidRDefault="00000000">
      <w:pPr>
        <w:pStyle w:val="BodyText"/>
        <w:spacing w:line="480" w:lineRule="auto"/>
        <w:ind w:firstLine="720"/>
      </w:pPr>
      <w:r>
        <w:t>The case study shows how each step is executed on real data and tests whether the simulation-based error model holds where the true field is unknown.</w:t>
      </w:r>
    </w:p>
    <w:p w14:paraId="0DB0A744" w14:textId="77777777" w:rsidR="00BD1D03" w:rsidRDefault="00000000">
      <w:pPr>
        <w:pStyle w:val="Heading2"/>
        <w:spacing w:before="0" w:after="0" w:line="480" w:lineRule="auto"/>
      </w:pPr>
      <w:r>
        <w:t>Study system and eDNA data</w:t>
      </w:r>
    </w:p>
    <w:p w14:paraId="4D0D8177" w14:textId="77777777" w:rsidR="00BD1D03" w:rsidRDefault="00000000">
      <w:pPr>
        <w:pStyle w:val="BodyText"/>
        <w:spacing w:line="480" w:lineRule="auto"/>
        <w:ind w:firstLine="720"/>
      </w:pPr>
      <w:r>
        <w:t xml:space="preserve">Environmental DNA samples were collected during the Joint U.S.-Canada Integrated Ecosystem and Pacific Hake Acoustic-Trawl Survey aboard the NOAA ship </w:t>
      </w:r>
      <w:r>
        <w:rPr>
          <w:i/>
        </w:rPr>
        <w:t>Bell M. Shimada</w:t>
      </w:r>
      <w:r>
        <w:t xml:space="preserve"> in summer 2019, from central California to northern Washington (38.36°–48.46° N, 123.53°–125.93° W; study domain of approximately 200,000 km</w:t>
      </w:r>
      <w:r>
        <w:rPr>
          <w:vertAlign w:val="superscript"/>
        </w:rPr>
        <w:t>2</w:t>
      </w:r>
      <w:r>
        <w:t xml:space="preserve">). Seawater was collected with Niskin bottles at five target depths (0, 50, 150, 300 and 500 m) and filtered onboard, yielding 358 site–depth samples from 152 sampling locations. Species-specific eDNA concentrations (log copies/L) were estimated for 12 fish species by jointly modeling 12S rRNA metabarcoding reads </w:t>
      </w:r>
      <w:r>
        <w:lastRenderedPageBreak/>
        <w:t xml:space="preserve">(MiFish primers), a mock community to correct for amplification bias and qPCR measurements of Pacific hake (Guri et al., 2024, 2025). The focal assemblage comprised pelagic, mesopelagic and demersal taxa characteristic of the California Current ecosystem: </w:t>
      </w:r>
      <w:r>
        <w:rPr>
          <w:i/>
        </w:rPr>
        <w:t>Clupea pallasii</w:t>
      </w:r>
      <w:r>
        <w:t xml:space="preserve">, </w:t>
      </w:r>
      <w:r>
        <w:rPr>
          <w:i/>
        </w:rPr>
        <w:t>Engraulis mordax</w:t>
      </w:r>
      <w:r>
        <w:t xml:space="preserve">, </w:t>
      </w:r>
      <w:r>
        <w:rPr>
          <w:i/>
        </w:rPr>
        <w:t>Leuroglossus stilbius</w:t>
      </w:r>
      <w:r>
        <w:t xml:space="preserve">, </w:t>
      </w:r>
      <w:r>
        <w:rPr>
          <w:i/>
        </w:rPr>
        <w:t>Microstomus pacificus</w:t>
      </w:r>
      <w:r>
        <w:t xml:space="preserve">, </w:t>
      </w:r>
      <w:r>
        <w:rPr>
          <w:i/>
        </w:rPr>
        <w:t>Sardinops sagax</w:t>
      </w:r>
      <w:r>
        <w:t xml:space="preserve">, </w:t>
      </w:r>
      <w:r>
        <w:rPr>
          <w:i/>
        </w:rPr>
        <w:t>Scomber japonicus</w:t>
      </w:r>
      <w:r>
        <w:t xml:space="preserve">, </w:t>
      </w:r>
      <w:r>
        <w:rPr>
          <w:i/>
        </w:rPr>
        <w:t>Sebastes entomelas</w:t>
      </w:r>
      <w:r>
        <w:t xml:space="preserve">, </w:t>
      </w:r>
      <w:r>
        <w:rPr>
          <w:i/>
        </w:rPr>
        <w:t>Stenobrachius leucopsarus</w:t>
      </w:r>
      <w:r>
        <w:t xml:space="preserve">, </w:t>
      </w:r>
      <w:r>
        <w:rPr>
          <w:i/>
        </w:rPr>
        <w:t>Tactostoma macropus</w:t>
      </w:r>
      <w:r>
        <w:t xml:space="preserve">, </w:t>
      </w:r>
      <w:r>
        <w:rPr>
          <w:i/>
        </w:rPr>
        <w:t>Tarletonbeania crenularis</w:t>
      </w:r>
      <w:r>
        <w:t xml:space="preserve">, </w:t>
      </w:r>
      <w:r>
        <w:rPr>
          <w:i/>
        </w:rPr>
        <w:t>Thaleichthys pacificus</w:t>
      </w:r>
      <w:r>
        <w:t xml:space="preserve"> and </w:t>
      </w:r>
      <w:r>
        <w:rPr>
          <w:i/>
        </w:rPr>
        <w:t>Trachurus symmetricus</w:t>
      </w:r>
      <w:r>
        <w:t>. Sampling, laboratory and bioinformatic details are given in Appendix S1: Section S1.</w:t>
      </w:r>
    </w:p>
    <w:p w14:paraId="1A2CA10D" w14:textId="77777777" w:rsidR="00823035" w:rsidRPr="00450784" w:rsidRDefault="00823035" w:rsidP="001643E6">
      <w:pPr>
        <w:pStyle w:val="BodyText"/>
        <w:spacing w:line="480" w:lineRule="auto"/>
      </w:pPr>
      <w:bookmarkStart w:id="22" w:name="fig:epsilon"/>
      <w:r>
        <w:rPr>
          <w:b/>
        </w:rPr>
        <w:t>Spatial structure of the focal species (Step 1)</w:t>
      </w:r>
    </w:p>
    <w:p w14:paraId="3D2B3C00" w14:textId="77777777" w:rsidR="00D31C68" w:rsidRDefault="000443C6" w:rsidP="001643E6">
      <w:pPr>
        <w:pStyle w:val="BodyText"/>
        <w:spacing w:line="480" w:lineRule="auto"/>
        <w:ind w:firstLine="720"/>
      </w:pPr>
      <w:r>
        <w:t>Across species, depth-specific global mean eDNA concentrations generally declined with increasing sampling depth (Figure 3). Species-specific length-scale estimates varied considerably across species (Figure 3A), likely reflecting differences in habitat use and movement behavior. Surface-dwelling species tended toward shorter spatial autocorrelation lengths and showed more pronounced differences between surface and deep mean eDNA concentrations (</w:t>
      </w:r>
      <w:r>
        <w:rPr>
          <w:i/>
          <w:iCs/>
        </w:rPr>
        <w:t>μ</w:t>
      </w:r>
      <w:r>
        <w:t xml:space="preserve">; Figure 3B), though exceptions were evident. Deep-dwelling species broadly exhibited longer spatial autocorrelations (Figure 3A) and relatively stable mean eDNA concentrations across depth strata, although this pattern was not universal. </w:t>
      </w:r>
      <w:r>
        <w:rPr>
          <w:i/>
          <w:iCs/>
        </w:rPr>
        <w:t>Tactostoma macropus</w:t>
      </w:r>
      <w:r>
        <w:t>, for instance, showed a comparatively short length-scale despite its deep-water affinity.</w:t>
      </w:r>
    </w:p>
    <w:bookmarkEnd w:id="22"/>
    <w:p w14:paraId="3EA9A265" w14:textId="77777777" w:rsidR="00A34072" w:rsidRPr="00450784" w:rsidRDefault="00A34072" w:rsidP="001643E6">
      <w:pPr>
        <w:pStyle w:val="BodyText"/>
        <w:spacing w:line="480" w:lineRule="auto"/>
      </w:pPr>
      <w:r>
        <w:rPr>
          <w:b/>
        </w:rPr>
        <w:t>Information loss in the observed data (Step 2)</w:t>
      </w:r>
    </w:p>
    <w:p w14:paraId="0CC7C0BB" w14:textId="77777777" w:rsidR="0037779D" w:rsidRDefault="0037779D" w:rsidP="001643E6">
      <w:pPr>
        <w:pStyle w:val="BodyText"/>
        <w:spacing w:line="480" w:lineRule="auto"/>
        <w:ind w:firstLine="720"/>
      </w:pPr>
      <w:r>
        <w:t xml:space="preserve">Prediction error in empirical data decreased with increasing sampling density across all species (Appendix S1: Figure S1 and S2). However, this reduction was strongly modulated by the degree of spatial autocorrelation (Appendix S1: Figure S2). Species characterized by short spatial autocorrelation (small </w:t>
      </w:r>
      <w:r>
        <w:rPr>
          <w:i/>
          <w:iCs/>
        </w:rPr>
        <w:t>ρ</w:t>
      </w:r>
      <w:r>
        <w:t xml:space="preserve"> values) consistently exhibited higher prediction error (</w:t>
      </w:r>
      <w:r>
        <w:rPr>
          <w:i/>
          <w:iCs/>
          <w:lang w:val="el-GR"/>
        </w:rPr>
        <w:t>ε</w:t>
      </w:r>
      <w:r>
        <w:rPr>
          <w:i/>
          <w:iCs/>
          <w:vertAlign w:val="subscript"/>
        </w:rPr>
        <w:t>1</w:t>
      </w:r>
      <w:r>
        <w:t xml:space="preserve">) across all sampling densities, whereas species with wider spatial autocorrelation structures (e.g., ρ &gt; </w:t>
      </w:r>
      <w:r>
        <w:lastRenderedPageBreak/>
        <w:t>500 km) showed substantially lower prediction errors (</w:t>
      </w:r>
      <w:r>
        <w:rPr>
          <w:i/>
          <w:iCs/>
          <w:lang w:val="el-GR"/>
        </w:rPr>
        <w:t>ε</w:t>
      </w:r>
      <w:r>
        <w:rPr>
          <w:i/>
          <w:iCs/>
          <w:vertAlign w:val="subscript"/>
        </w:rPr>
        <w:t>1</w:t>
      </w:r>
      <w:r>
        <w:t>) even under comparatively sparse sampling regimes.</w:t>
      </w:r>
    </w:p>
    <w:p w14:paraId="663976B6" w14:textId="77777777" w:rsidR="00CA5D0F" w:rsidRPr="003D6E81" w:rsidRDefault="00CA5D0F" w:rsidP="001643E6">
      <w:pPr>
        <w:pStyle w:val="BodyText"/>
        <w:spacing w:line="480" w:lineRule="auto"/>
        <w:rPr>
          <w:b/>
          <w:bCs w:val="0"/>
        </w:rPr>
      </w:pPr>
      <w:bookmarkStart w:id="23" w:name="OLE_LINK8"/>
      <w:r>
        <w:rPr>
          <w:b/>
        </w:rPr>
        <w:t>Information loss in simulated fields (Step 3)</w:t>
      </w:r>
    </w:p>
    <w:p w14:paraId="458C0779" w14:textId="77777777" w:rsidR="0070789F" w:rsidRPr="00120DF0" w:rsidRDefault="00D51BF3" w:rsidP="001643E6">
      <w:pPr>
        <w:pStyle w:val="BodyText"/>
        <w:spacing w:line="480" w:lineRule="auto"/>
        <w:ind w:firstLine="720"/>
      </w:pPr>
      <w:r>
        <w:t>Prediction error in simulation data (</w:t>
      </w:r>
      <w:r>
        <w:rPr>
          <w:i/>
          <w:iCs/>
          <w:lang w:val="el-GR"/>
        </w:rPr>
        <w:t>ε</w:t>
      </w:r>
      <w:r>
        <w:rPr>
          <w:i/>
          <w:iCs/>
          <w:vertAlign w:val="subscript"/>
        </w:rPr>
        <w:t>2</w:t>
      </w:r>
      <w:r>
        <w:t>) decreased non-linearly with increasing sampling effort and with higher spatial autocorrelation (Figure 4A). These patterns were supported by a log–log linear model where the prediction error (</w:t>
      </w:r>
      <w:r>
        <w:rPr>
          <w:i/>
          <w:iCs/>
          <w:lang w:val="el-GR"/>
        </w:rPr>
        <w:t>ε</w:t>
      </w:r>
      <w:r>
        <w:t>) decreased exponentially for every exponential increase in sampling density (</w:t>
      </w:r>
      <w:r>
        <w:rPr>
          <w:i/>
          <w:iCs/>
          <w:lang w:val="el-GR"/>
        </w:rPr>
        <w:t>β</w:t>
      </w:r>
      <w:r>
        <w:t xml:space="preserve"> = -0.176) and spatial autocorrelation (</w:t>
      </w:r>
      <w:r>
        <w:rPr>
          <w:i/>
          <w:iCs/>
          <w:lang w:val="el-GR"/>
        </w:rPr>
        <w:t>θ</w:t>
      </w:r>
      <w:r>
        <w:t xml:space="preserve"> = -0.228), with an additional negative interaction (</w:t>
      </w:r>
      <w:r>
        <w:rPr>
          <w:lang w:val="el-GR"/>
        </w:rPr>
        <w:t>γ</w:t>
      </w:r>
      <w:r>
        <w:t xml:space="preserve"> = -0.0684) and with an intercept of </w:t>
      </w:r>
      <w:r>
        <w:rPr>
          <w:i/>
          <w:iCs/>
          <w:lang w:val="el-GR"/>
        </w:rPr>
        <w:t>ω</w:t>
      </w:r>
      <w:r>
        <w:t xml:space="preserve"> = 1.65. For instance, at a sampling intensity of 6 samples per 10,000 km</w:t>
      </w:r>
      <w:r>
        <w:rPr>
          <w:vertAlign w:val="superscript"/>
        </w:rPr>
        <w:t>2</w:t>
      </w:r>
      <w:r>
        <w:t>, species with spatial autocorrelation values of 50 km had mean prediction errors of 1 (Figure 4A) indicating that on average every point predicted the eDNA concentration will differ from the predicted true concentration (</w:t>
      </w:r>
      <w:r>
        <w:rPr>
          <w:i/>
          <w:iCs/>
        </w:rPr>
        <w:t>Z</w:t>
      </w:r>
      <w:r>
        <w:t>) by a factor of 2.72 (for perspective a concentration of 100 copies/L will be predicted between 37-270 copies/L; Appendix S1: Figure S3). In contrast, for the same sampling effort (i.e., 6 samples per 10,000 km</w:t>
      </w:r>
      <w:r>
        <w:rPr>
          <w:vertAlign w:val="superscript"/>
        </w:rPr>
        <w:t>2</w:t>
      </w:r>
      <w:r>
        <w:t xml:space="preserve">) but species with spatial autocorrelation </w:t>
      </w:r>
      <w:r>
        <w:rPr>
          <w:i/>
          <w:iCs/>
          <w:lang w:val="el-GR"/>
        </w:rPr>
        <w:t>ρ</w:t>
      </w:r>
      <w:r>
        <w:t xml:space="preserve"> &gt; 500 km had errors below 0.4 indicating an average of over- and underestimation by a factor of 1.5 (for perspective a concentration of 100 copies/L will be predicted between 67-150 copies/L; Appendix S1: Figure S3). When quantifying the marginal reduction in prediction error (Δ</w:t>
      </w:r>
      <w:r>
        <w:rPr>
          <w:i/>
          <w:iCs/>
          <w:lang w:val="el-GR"/>
        </w:rPr>
        <w:t>ε</w:t>
      </w:r>
      <w:r>
        <w:rPr>
          <w:i/>
          <w:iCs/>
          <w:vertAlign w:val="subscript"/>
        </w:rPr>
        <w:t>2</w:t>
      </w:r>
      <w:r>
        <w:t>) across successive increases in sampling density (Δ</w:t>
      </w:r>
      <w:r>
        <w:rPr>
          <w:i/>
          <w:iCs/>
        </w:rPr>
        <w:t>E</w:t>
      </w:r>
      <w:r>
        <w:t>), improvements were greatest at low sampling effort and declined rapidly with additional sampling, with Δ</w:t>
      </w:r>
      <w:r>
        <w:rPr>
          <w:i/>
          <w:iCs/>
          <w:lang w:val="el-GR"/>
        </w:rPr>
        <w:t>ε</w:t>
      </w:r>
      <w:r>
        <w:rPr>
          <w:i/>
          <w:iCs/>
          <w:vertAlign w:val="subscript"/>
        </w:rPr>
        <w:t>2</w:t>
      </w:r>
      <w:r>
        <w:t xml:space="preserve"> approaching zero at higher sampling densities (Figure 4B). Marginal gains effectively plateaued when sampling effort increased above 10 samples per 10,000 km</w:t>
      </w:r>
      <w:r>
        <w:rPr>
          <w:vertAlign w:val="superscript"/>
        </w:rPr>
        <w:t>2</w:t>
      </w:r>
      <w:r>
        <w:t xml:space="preserve">, depending on the </w:t>
      </w:r>
      <w:r>
        <w:rPr>
          <w:i/>
          <w:iCs/>
          <w:lang w:val="el-GR"/>
        </w:rPr>
        <w:t>ρ</w:t>
      </w:r>
      <w:r>
        <w:t xml:space="preserve"> (Figure 4B). Importantly, diagnostic checks revealed no systematic bias in the predictions, so the observed variation reflects pure precision (Appendix S1: Figure S4). For interpretative purposes, we adopt an arbitrary threshold of </w:t>
      </w:r>
      <w:r>
        <w:rPr>
          <w:lang w:val="el-GR"/>
        </w:rPr>
        <w:t>Δ</w:t>
      </w:r>
      <w:r>
        <w:rPr>
          <w:i/>
          <w:iCs/>
          <w:lang w:val="el-GR"/>
        </w:rPr>
        <w:t>ε</w:t>
      </w:r>
      <w:r>
        <w:rPr>
          <w:vertAlign w:val="subscript"/>
        </w:rPr>
        <w:t>2</w:t>
      </w:r>
      <w:r>
        <w:t>/</w:t>
      </w:r>
      <w:r>
        <w:rPr>
          <w:lang w:val="el-GR"/>
        </w:rPr>
        <w:t>Δ</w:t>
      </w:r>
      <w:r>
        <w:rPr>
          <w:i/>
          <w:iCs/>
        </w:rPr>
        <w:t>E</w:t>
      </w:r>
      <w:r>
        <w:rPr>
          <w:vertAlign w:val="subscript"/>
        </w:rPr>
        <w:t xml:space="preserve"> </w:t>
      </w:r>
      <w:r>
        <w:t xml:space="preserve">= -0.05 to </w:t>
      </w:r>
      <w:r>
        <w:lastRenderedPageBreak/>
        <w:t>denote negligible marginal gains. However, this value is arbitrary and may be redefined according to study-specific accuracy requirements.</w:t>
      </w:r>
    </w:p>
    <w:bookmarkEnd w:id="23"/>
    <w:p w14:paraId="28078141" w14:textId="77777777" w:rsidR="007B0B48" w:rsidRPr="00450784" w:rsidRDefault="007B0B48" w:rsidP="001643E6">
      <w:pPr>
        <w:pStyle w:val="BodyText"/>
        <w:spacing w:line="480" w:lineRule="auto"/>
      </w:pPr>
      <w:r>
        <w:rPr>
          <w:b/>
          <w:bCs w:val="0"/>
        </w:rPr>
        <w:t>GP parameter</w:t>
      </w:r>
      <w:r>
        <w:t xml:space="preserve"> </w:t>
      </w:r>
      <w:r>
        <w:rPr>
          <w:b/>
          <w:bCs w:val="0"/>
        </w:rPr>
        <w:t>recovery</w:t>
      </w:r>
      <w:r>
        <w:rPr>
          <w:b/>
        </w:rPr>
        <w:t xml:space="preserve"> (Step 3)</w:t>
      </w:r>
    </w:p>
    <w:p w14:paraId="42F65B5A" w14:textId="77777777" w:rsidR="003F2203" w:rsidRDefault="00D366A8" w:rsidP="001643E6">
      <w:pPr>
        <w:pStyle w:val="p1"/>
        <w:spacing w:before="0" w:beforeAutospacing="0" w:after="0" w:afterAutospacing="0" w:line="480" w:lineRule="auto"/>
        <w:ind w:firstLine="720"/>
      </w:pPr>
      <w:r>
        <w:t>Sampling effort and spatial autocorrelation strongly influenced the ability of the GP model to recover the parameters used to generate the simulated spatial fields (Figure 5). Estimation error for the depth-specific mean (</w:t>
      </w:r>
      <w:r>
        <w:rPr>
          <w:i/>
          <w:iCs/>
        </w:rPr>
        <w:t>μ</w:t>
      </w:r>
      <w:r>
        <w:rPr>
          <w:i/>
          <w:iCs/>
          <w:vertAlign w:val="subscript"/>
        </w:rPr>
        <w:t>d</w:t>
      </w:r>
      <w:r>
        <w:t xml:space="preserve">) decreased with increasing sampling density for simulated fields with small spatial autocorrelation but showed the opposite pattern for fields with large spatial ranges (Figure 5C). Specifically, </w:t>
      </w:r>
      <w:r>
        <w:rPr>
          <w:i/>
          <w:iCs/>
          <w:lang w:val="el-GR"/>
        </w:rPr>
        <w:t>τ</w:t>
      </w:r>
      <w:r>
        <w:t xml:space="preserve"> (root mean squared error between estimated and simulated) for </w:t>
      </w:r>
      <w:r>
        <w:rPr>
          <w:i/>
          <w:iCs/>
        </w:rPr>
        <w:t>μ</w:t>
      </w:r>
      <w:r>
        <w:rPr>
          <w:i/>
          <w:iCs/>
          <w:vertAlign w:val="subscript"/>
        </w:rPr>
        <w:t>d</w:t>
      </w:r>
      <w:r>
        <w:t xml:space="preserve"> increased with sampling effort when spatial autocorrelation exceeded 400 km, indicating that mean estimates became increasingly biased in highly spatially structured fields. Additionally, the recovery of the spatial autocorrelation length-scale (</w:t>
      </w:r>
      <w:r>
        <w:rPr>
          <w:i/>
          <w:iCs/>
        </w:rPr>
        <w:t>ρ</w:t>
      </w:r>
      <w:r>
        <w:t>) was highly sensitive to sampling density (Figure 5A). At low sampling effort (</w:t>
      </w:r>
      <w:r>
        <w:rPr>
          <w:i/>
          <w:iCs/>
        </w:rPr>
        <w:t>E</w:t>
      </w:r>
      <w:r>
        <w:t xml:space="preserve"> &lt; 4), estimates of </w:t>
      </w:r>
      <w:r>
        <w:rPr>
          <w:i/>
          <w:iCs/>
        </w:rPr>
        <w:t>ρ</w:t>
      </w:r>
      <w:r>
        <w:t xml:space="preserve"> showed substantial error, particularly for simulations with large spatial ranges. However, estimation accuracy improved rapidly as sampling effort increased, with </w:t>
      </w:r>
      <w:r>
        <w:rPr>
          <w:i/>
          <w:iCs/>
          <w:lang w:val="el-GR"/>
        </w:rPr>
        <w:t>τ</w:t>
      </w:r>
      <w:r>
        <w:t xml:space="preserve"> declining sharply and stabilizing once sampling densities were higher than 6 samples per 10,000 km</w:t>
      </w:r>
      <w:r>
        <w:rPr>
          <w:vertAlign w:val="superscript"/>
        </w:rPr>
        <w:t>2</w:t>
      </w:r>
      <w:r>
        <w:t>, beyond which additional sampling produced only marginal improvements in ρ estimation.</w:t>
      </w:r>
    </w:p>
    <w:p w14:paraId="001B6324" w14:textId="77777777" w:rsidR="00EF7D10" w:rsidRDefault="00F70DB9" w:rsidP="001643E6">
      <w:pPr>
        <w:pStyle w:val="p1"/>
        <w:spacing w:before="0" w:beforeAutospacing="0" w:after="0" w:afterAutospacing="0" w:line="480" w:lineRule="auto"/>
        <w:ind w:firstLine="720"/>
      </w:pPr>
      <w:r>
        <w:t>Estimation error for the amplitude parameter (</w:t>
      </w:r>
      <w:r>
        <w:rPr>
          <w:i/>
          <w:iCs/>
        </w:rPr>
        <w:t>α</w:t>
      </w:r>
      <w:r>
        <w:rPr>
          <w:i/>
          <w:iCs/>
          <w:vertAlign w:val="superscript"/>
        </w:rPr>
        <w:t>2</w:t>
      </w:r>
      <w:r>
        <w:t xml:space="preserve">) declined with increasing sampling density for simulations with small spatial autocorrelation, while remaining relatively stable across sampling densities for simulations with larger spatial ranges (Figure 5D). Overall improvements in </w:t>
      </w:r>
      <w:r>
        <w:rPr>
          <w:i/>
          <w:iCs/>
        </w:rPr>
        <w:t>α</w:t>
      </w:r>
      <w:r>
        <w:rPr>
          <w:i/>
          <w:iCs/>
          <w:vertAlign w:val="superscript"/>
        </w:rPr>
        <w:t>2</w:t>
      </w:r>
      <w:r>
        <w:t xml:space="preserve"> estimation were therefore limited once sampling effort increased above 6 samples per 10,000 km</w:t>
      </w:r>
      <w:r>
        <w:rPr>
          <w:vertAlign w:val="superscript"/>
        </w:rPr>
        <w:t>2</w:t>
      </w:r>
      <w:r>
        <w:t>. The non-spatial variance parameter (</w:t>
      </w:r>
      <w:r>
        <w:rPr>
          <w:i/>
          <w:iCs/>
        </w:rPr>
        <w:t>σ</w:t>
      </w:r>
      <w:r>
        <w:rPr>
          <w:i/>
          <w:iCs/>
          <w:vertAlign w:val="superscript"/>
        </w:rPr>
        <w:t>2</w:t>
      </w:r>
      <w:r>
        <w:t xml:space="preserve">) was consistently well recovered across sampling densities (Figure 5B). </w:t>
      </w:r>
      <w:r>
        <w:rPr>
          <w:lang w:val="el-GR"/>
        </w:rPr>
        <w:t>τ</w:t>
      </w:r>
      <w:r>
        <w:t xml:space="preserve"> declined sharply with increasing sampling density and approached near-zero values once sampling densities exceeded 6 samples per 10,000 km</w:t>
      </w:r>
      <w:r>
        <w:rPr>
          <w:vertAlign w:val="superscript"/>
        </w:rPr>
        <w:t>2</w:t>
      </w:r>
      <w:r>
        <w:t>.</w:t>
      </w:r>
    </w:p>
    <w:p w14:paraId="35B70E95" w14:textId="77777777" w:rsidR="00A62458" w:rsidRDefault="00A62458" w:rsidP="001643E6">
      <w:pPr>
        <w:pStyle w:val="BodyText"/>
        <w:spacing w:line="480" w:lineRule="auto"/>
      </w:pPr>
      <w:r>
        <w:rPr>
          <w:b/>
        </w:rPr>
        <w:lastRenderedPageBreak/>
        <w:t>Agreement</w:t>
      </w:r>
      <w:r>
        <w:rPr>
          <w:b/>
          <w:bCs w:val="0"/>
        </w:rPr>
        <w:t xml:space="preserve"> between </w:t>
      </w:r>
      <w:r>
        <w:rPr>
          <w:b/>
        </w:rPr>
        <w:t>simulated and observed error models</w:t>
      </w:r>
      <w:r>
        <w:t xml:space="preserve"> </w:t>
      </w:r>
    </w:p>
    <w:p w14:paraId="4AB72DF1" w14:textId="77777777" w:rsidR="00D974B6" w:rsidRPr="00101BFB" w:rsidRDefault="00D974B6" w:rsidP="001643E6">
      <w:pPr>
        <w:pStyle w:val="BodyText"/>
        <w:spacing w:line="480" w:lineRule="auto"/>
        <w:ind w:firstLine="720"/>
      </w:pPr>
      <w:r w:rsidRPr="00101BFB">
        <w:t>Prediction error (</w:t>
      </w:r>
      <w:r w:rsidRPr="008F4FF2">
        <w:rPr>
          <w:i/>
          <w:iCs/>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8F4FF2">
        <w:rPr>
          <w:i/>
          <w:iCs/>
        </w:rPr>
        <w:t>ω</w:t>
      </w:r>
      <w:r w:rsidR="00E1401A" w:rsidRPr="00101BFB">
        <w:t>), the influence of sampling effort (</w:t>
      </w:r>
      <w:r w:rsidR="00236C3C" w:rsidRPr="008F4FF2">
        <w:rPr>
          <w:i/>
          <w:iCs/>
          <w:lang w:val="el-GR"/>
        </w:rPr>
        <w:t>β</w:t>
      </w:r>
      <w:r w:rsidR="00E1401A" w:rsidRPr="00101BFB">
        <w:t>), the effect of spatial autocorrelation (</w:t>
      </w:r>
      <w:r w:rsidR="00E1401A" w:rsidRPr="008F4FF2">
        <w:rPr>
          <w:i/>
          <w:iCs/>
        </w:rPr>
        <w:t>θ</w:t>
      </w:r>
      <w:r w:rsidR="00E1401A" w:rsidRPr="00101BFB">
        <w:t>), and their interaction term (</w:t>
      </w:r>
      <w:r w:rsidR="00E1401A" w:rsidRPr="008F4FF2">
        <w:rPr>
          <w:i/>
          <w:iCs/>
        </w:rPr>
        <w:t>γ</w:t>
      </w:r>
      <w:r w:rsidR="00E1401A" w:rsidRPr="00101BFB">
        <w:t>) all showed consistent directional effects and aligned closely with the 1:1 line, demonstrating a high degree of structural agreement between the empirical and simulated error models</w:t>
      </w:r>
      <w:r w:rsidR="00C446E8" w:rsidRPr="00101BFB">
        <w:t xml:space="preserve"> (</w:t>
      </w:r>
      <w:r w:rsidR="00322184">
        <w:t xml:space="preserve">Appendix S1: </w:t>
      </w:r>
      <w:r w:rsidR="00C446E8" w:rsidRPr="00101BFB">
        <w:t>Figure S</w:t>
      </w:r>
      <w:r w:rsidR="00C55B9C" w:rsidRPr="00101BFB">
        <w:t>1</w:t>
      </w:r>
      <w:r w:rsidR="00C446E8" w:rsidRPr="00101BFB">
        <w:t>)</w:t>
      </w:r>
      <w:r w:rsidR="00E1401A" w:rsidRPr="00101BFB">
        <w:t>.</w:t>
      </w:r>
      <w:r w:rsidR="00236C3C" w:rsidRPr="00101BFB">
        <w:t xml:space="preserve"> </w:t>
      </w:r>
      <w:r w:rsidR="0041396A" w:rsidRPr="00101BFB">
        <w:t xml:space="preserve"> </w:t>
      </w:r>
    </w:p>
    <w:p w14:paraId="706A472C" w14:textId="77777777" w:rsidR="00BD1D03" w:rsidRDefault="00000000">
      <w:pPr>
        <w:pStyle w:val="Heading2"/>
        <w:spacing w:before="0" w:after="0" w:line="480" w:lineRule="auto"/>
      </w:pPr>
      <w:r>
        <w:t>Applying the planner (Step 4)</w:t>
      </w:r>
    </w:p>
    <w:p w14:paraId="38394DE8" w14:textId="77777777" w:rsidR="00BD1D03" w:rsidRDefault="00000000">
      <w:pPr>
        <w:pStyle w:val="BodyText"/>
        <w:spacing w:line="480" w:lineRule="auto"/>
        <w:ind w:firstLine="720"/>
      </w:pPr>
      <w:r>
        <w:t>To illustrate Step 4, consider a survey of the case-study domain (200,000 km</w:t>
      </w:r>
      <w:r>
        <w:rPr>
          <w:vertAlign w:val="superscript"/>
        </w:rPr>
        <w:t>2</w:t>
      </w:r>
      <w:r>
        <w:t xml:space="preserve"> per depth layer, five layers) that aims to predict eDNA concentrations to within a typical factor of about 2.2 of the reference field (</w:t>
      </w:r>
      <w:r>
        <w:rPr>
          <w:i/>
        </w:rPr>
        <w:t>ε</w:t>
      </w:r>
      <w:r>
        <w:rPr>
          <w:vertAlign w:val="superscript"/>
        </w:rPr>
        <w:t>*</w:t>
      </w:r>
      <w:r>
        <w:t xml:space="preserve"> = 0.8). For a patchy taxon (</w:t>
      </w:r>
      <w:r>
        <w:rPr>
          <w:i/>
        </w:rPr>
        <w:t>ρ</w:t>
      </w:r>
      <w:r>
        <w:t xml:space="preserve"> = 50 km), Eq. 7 returns </w:t>
      </w:r>
      <w:r>
        <w:rPr>
          <w:i/>
        </w:rPr>
        <w:t>E</w:t>
      </w:r>
      <w:r>
        <w:rPr>
          <w:vertAlign w:val="superscript"/>
        </w:rPr>
        <w:t>*</w:t>
      </w:r>
      <w:r>
        <w:t xml:space="preserve"> ≈ 9.1 samples per 10,000 km</w:t>
      </w:r>
      <w:r>
        <w:rPr>
          <w:vertAlign w:val="superscript"/>
        </w:rPr>
        <w:t>2</w:t>
      </w:r>
      <w:r>
        <w:t xml:space="preserve"> per depth layer, or 183 samples per layer (915 site–depth samples in total); for a smoothly distributed taxon (</w:t>
      </w:r>
      <w:r>
        <w:rPr>
          <w:i/>
        </w:rPr>
        <w:t>ρ</w:t>
      </w:r>
      <w:r>
        <w:t xml:space="preserve"> = 500 km), the same target requires </w:t>
      </w:r>
      <w:r>
        <w:rPr>
          <w:i/>
        </w:rPr>
        <w:t>E</w:t>
      </w:r>
      <w:r>
        <w:rPr>
          <w:vertAlign w:val="superscript"/>
        </w:rPr>
        <w:t>*</w:t>
      </w:r>
      <w:r>
        <w:t xml:space="preserve"> ≈ 2.1, or 43 samples per layer (215 in total). The 2019 survey (</w:t>
      </w:r>
      <w:r>
        <w:rPr>
          <w:i/>
        </w:rPr>
        <w:t>E</w:t>
      </w:r>
      <w:r>
        <w:t xml:space="preserve"> ≈ 3.6) is therefore expected to meet this target for smooth taxa (</w:t>
      </w:r>
      <w:r>
        <w:rPr>
          <w:i/>
        </w:rPr>
        <w:t>ε</w:t>
      </w:r>
      <w:r>
        <w:t xml:space="preserve"> ≈ 0.59) but not for patchy ones (</w:t>
      </w:r>
      <w:r>
        <w:rPr>
          <w:i/>
        </w:rPr>
        <w:t>ε</w:t>
      </w:r>
      <w:r>
        <w:t xml:space="preserve"> ≈ 1.2). Run in reverse, its budget of about 72 samples per layer would achieve </w:t>
      </w:r>
      <w:r>
        <w:rPr>
          <w:i/>
        </w:rPr>
        <w:t>ε</w:t>
      </w:r>
      <w:r>
        <w:rPr>
          <w:vertAlign w:val="superscript"/>
        </w:rPr>
        <w:t>*</w:t>
      </w:r>
      <w:r>
        <w:t xml:space="preserve"> = 0.8 for a patchy taxon over approximately 79,000 km</w:t>
      </w:r>
      <w:r>
        <w:rPr>
          <w:vertAlign w:val="superscript"/>
        </w:rPr>
        <w:t>2</w:t>
      </w:r>
      <w:r>
        <w:t>, about 40% of the domain. The planner performs these calculations interactively (Appendix S1: Figure S6).</w:t>
      </w:r>
    </w:p>
    <w:p w14:paraId="096E9EEB" w14:textId="77777777" w:rsidR="0032076E" w:rsidRDefault="00D04708" w:rsidP="001643E6">
      <w:pPr>
        <w:pStyle w:val="Heading1"/>
        <w:spacing w:before="0" w:after="0" w:line="480" w:lineRule="auto"/>
      </w:pPr>
      <w:bookmarkStart w:id="24" w:name="fig:epsilon_sp"/>
      <w:bookmarkStart w:id="25" w:name="discussion"/>
      <w:bookmarkEnd w:id="21"/>
      <w:bookmarkEnd w:id="24"/>
      <w:r>
        <w:t>Discussion</w:t>
      </w:r>
    </w:p>
    <w:p w14:paraId="73D3447B" w14:textId="77777777" w:rsidR="00390A6F" w:rsidRDefault="00101BFB" w:rsidP="001643E6">
      <w:pPr>
        <w:pStyle w:val="p2"/>
        <w:spacing w:before="0" w:beforeAutospacing="0" w:after="0" w:afterAutospacing="0" w:line="480" w:lineRule="auto"/>
        <w:ind w:firstLine="720"/>
      </w:pPr>
      <w:bookmarkStart w:id="26" w:name="sampling-optimisaion"/>
      <w:r>
        <w:t xml:space="preserve">We present a method, and a planner that implements it, for translating species-specific spatial autocorrelation into the sampling effort required by eDNA spatial surveys. The case study shows that optimal sampling effort is not universal but depends critically on both the spatial autocorrelation of target species and the specific inferential objectives of the survey. </w:t>
      </w:r>
    </w:p>
    <w:p w14:paraId="0AF71BD9" w14:textId="77777777" w:rsidR="005A387E" w:rsidRPr="00E812EC" w:rsidRDefault="005A387E" w:rsidP="001643E6">
      <w:pPr>
        <w:pStyle w:val="BodyText"/>
        <w:spacing w:line="480" w:lineRule="auto"/>
      </w:pPr>
      <w:bookmarkStart w:id="27" w:name="OLE_LINK2"/>
      <w:r w:rsidRPr="004A324F">
        <w:rPr>
          <w:b/>
          <w:bCs w:val="0"/>
        </w:rPr>
        <w:t xml:space="preserve">Diminishing </w:t>
      </w:r>
      <w:r w:rsidR="00866250" w:rsidRPr="004A324F">
        <w:rPr>
          <w:b/>
          <w:bCs w:val="0"/>
        </w:rPr>
        <w:t>r</w:t>
      </w:r>
      <w:r w:rsidRPr="004A324F">
        <w:rPr>
          <w:b/>
          <w:bCs w:val="0"/>
        </w:rPr>
        <w:t xml:space="preserve">eturns of </w:t>
      </w:r>
      <w:r w:rsidR="00866250" w:rsidRPr="004A324F">
        <w:rPr>
          <w:b/>
          <w:bCs w:val="0"/>
        </w:rPr>
        <w:t>s</w:t>
      </w:r>
      <w:r w:rsidRPr="004A324F">
        <w:rPr>
          <w:b/>
          <w:bCs w:val="0"/>
        </w:rPr>
        <w:t xml:space="preserve">ampling </w:t>
      </w:r>
      <w:r w:rsidR="00866250" w:rsidRPr="004A324F">
        <w:rPr>
          <w:b/>
          <w:bCs w:val="0"/>
        </w:rPr>
        <w:t>e</w:t>
      </w:r>
      <w:r w:rsidRPr="004A324F">
        <w:rPr>
          <w:b/>
          <w:bCs w:val="0"/>
        </w:rPr>
        <w:t>ffort</w:t>
      </w:r>
      <w:r w:rsidR="00C65663" w:rsidRPr="004A324F">
        <w:rPr>
          <w:b/>
          <w:bCs w:val="0"/>
        </w:rPr>
        <w:t xml:space="preserve"> on prediction accuracy</w:t>
      </w:r>
    </w:p>
    <w:p w14:paraId="44F3FC5E" w14:textId="77777777" w:rsidR="0064556D" w:rsidRDefault="002D4B65" w:rsidP="001643E6">
      <w:pPr>
        <w:pStyle w:val="p3"/>
        <w:spacing w:before="0" w:beforeAutospacing="0" w:after="0" w:afterAutospacing="0" w:line="480" w:lineRule="auto"/>
        <w:ind w:firstLine="720"/>
      </w:pPr>
      <w:r w:rsidRPr="002D4B65">
        <w:lastRenderedPageBreak/>
        <w:t>The value of additional sampling effort is not fixed but depends on the spatial structure of the target species</w:t>
      </w:r>
      <w:r>
        <w:t xml:space="preserve"> </w:t>
      </w:r>
      <w:r w:rsidR="00BC4F42">
        <w:fldChar w:fldCharType="begin"/>
      </w:r>
      <w:r w:rsidR="00AA6C90">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BC4F42">
        <w:fldChar w:fldCharType="separate"/>
      </w:r>
      <w:r w:rsidR="00BC31E5">
        <w:rPr>
          <w:noProof/>
        </w:rPr>
        <w:t>(Xu et al., 2015; Zhao et al., 2022)</w:t>
      </w:r>
      <w:r w:rsidR="00BC4F42">
        <w:fldChar w:fldCharType="end"/>
      </w:r>
      <w:r>
        <w:t>.</w:t>
      </w:r>
      <w:r w:rsidR="004961BF" w:rsidRPr="00693C81">
        <w:t xml:space="preserve"> </w:t>
      </w:r>
      <w:r w:rsidRPr="002D4B65">
        <w:t>Prediction error decreased non-linearly with sampling effort and with increasing spatial autocorrelation, confirming that homogeneously distributed species are inherently easier to reconstruct than patchier ones at equivalent effort</w:t>
      </w:r>
      <w:r w:rsidR="00593FCD">
        <w:t xml:space="preserve"> </w:t>
      </w:r>
      <w:r w:rsidR="00BC31E5">
        <w:fldChar w:fldCharType="begin"/>
      </w:r>
      <w:r w:rsidR="00BC31E5">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BC31E5">
        <w:fldChar w:fldCharType="separate"/>
      </w:r>
      <w:r w:rsidR="00BC31E5">
        <w:rPr>
          <w:noProof/>
        </w:rPr>
        <w:t>(Wagner &amp; Fortin, 2005)</w:t>
      </w:r>
      <w:r w:rsidR="00BC31E5">
        <w:fldChar w:fldCharType="end"/>
      </w:r>
      <w:r w:rsidR="006143E9">
        <w:t xml:space="preserve">. </w:t>
      </w:r>
      <w:r w:rsidRPr="002D4B65">
        <w:t xml:space="preserve">This interaction matters because it shows the value of additional samples is not universal, </w:t>
      </w:r>
      <w:r w:rsidR="006143E9">
        <w:t xml:space="preserve">where the same increase in effort can produce substantial gains for one species and only marginal gains for another </w:t>
      </w:r>
      <w:r w:rsidR="00BC31E5">
        <w:fldChar w:fldCharType="begin"/>
      </w:r>
      <w:r w:rsidR="00BC31E5">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r>
      <w:r w:rsidR="00BC31E5">
        <w:fldChar w:fldCharType="separate"/>
      </w:r>
      <w:r w:rsidR="006143E9">
        <w:t>(García‐Machado et al., 2024)</w:t>
      </w:r>
      <w:r w:rsidR="00BC31E5">
        <w:fldChar w:fldCharType="end"/>
      </w:r>
      <w:r w:rsidR="006143E9">
        <w:t xml:space="preserve">. </w:t>
      </w:r>
      <w:r>
        <w:t>O</w:t>
      </w:r>
      <w:r w:rsidR="006143E9">
        <w:t>ur results move beyond a general statement of sampling efficiency</w:t>
      </w:r>
      <w:r>
        <w:t xml:space="preserve">, </w:t>
      </w:r>
      <w:r w:rsidR="006143E9">
        <w:t>provid</w:t>
      </w:r>
      <w:r w:rsidR="000B644D">
        <w:t>ing</w:t>
      </w:r>
      <w:r w:rsidR="006143E9">
        <w:t xml:space="preserve"> a quantitative framework for understanding when additional effort is informative and when it yields diminishing returns.</w:t>
      </w:r>
    </w:p>
    <w:p w14:paraId="5F258640" w14:textId="77777777" w:rsidR="00F44773" w:rsidRDefault="0064556D" w:rsidP="001643E6">
      <w:pPr>
        <w:pStyle w:val="p3"/>
        <w:spacing w:before="0" w:beforeAutospacing="0" w:after="0" w:afterAutospacing="0" w:line="480" w:lineRule="auto"/>
        <w:ind w:firstLine="720"/>
      </w:pPr>
      <w:r>
        <w:t>Our adopted threshold for negligible marginal gains (</w:t>
      </w:r>
      <w:r>
        <w:rPr>
          <w:i/>
          <w:iCs/>
        </w:rPr>
        <w:t>Δ</w:t>
      </w:r>
      <w:r>
        <w:rPr>
          <w:i/>
          <w:iCs/>
          <w:lang w:val="el-GR"/>
        </w:rPr>
        <w:t>ε</w:t>
      </w:r>
      <w:r>
        <w:rPr>
          <w:i/>
          <w:iCs/>
          <w:vertAlign w:val="subscript"/>
        </w:rPr>
        <w:t>2</w:t>
      </w:r>
      <w:r>
        <w:t xml:space="preserve"> = -0.05) serves as a practical heuristic, but acceptable error is inherently context dependent. For instance, studies requiring high-resolution quantitative estimates might justify high sampling effort to achieve stricter precision, while, broad-scale biodiversity screenings might tolerate looser precision, allowing for even sparser sampling </w:t>
      </w:r>
      <w:r w:rsidR="00BC31E5">
        <w:fldChar w:fldCharType="begin"/>
      </w:r>
      <w:r w:rsidR="00A817FC">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rsidR="00BC31E5">
        <w:fldChar w:fldCharType="separate"/>
      </w:r>
      <w:r>
        <w:rPr>
          <w:noProof/>
        </w:rPr>
        <w:t>(Perkins et al., 2021; Radinger et al., 2019)</w:t>
      </w:r>
      <w:r w:rsidR="00BC31E5">
        <w:fldChar w:fldCharType="end"/>
      </w:r>
      <w:r>
        <w:t xml:space="preserve">. Moreover, the species spatial autocorrelation parameter plays an additional role in defining the decision on sampling effort. Highly autocorrelated species (e.g., </w:t>
      </w:r>
      <w:r>
        <w:rPr>
          <w:i/>
          <w:iCs/>
        </w:rPr>
        <w:t>ρ</w:t>
      </w:r>
      <w:r>
        <w:t xml:space="preserve"> &gt; 500 km) reach the precision threshold of negligible improvement at much lower sampling densities (roughly 4 to 5 samples per 10,000 km²), conversely, patchily distributed species (</w:t>
      </w:r>
      <w:r>
        <w:rPr>
          <w:i/>
          <w:iCs/>
        </w:rPr>
        <w:t>ρ</w:t>
      </w:r>
      <w:r>
        <w:t xml:space="preserve"> &lt; 50 km) require a denser sampling network (roughly 8 to 11 samples per 10,000 km²) before the marginal gains drop below the threshold.  Once the required precision and ρ are known (from prior literature, pilot sampling or expert judgement), the fitted log–log model</w:t>
      </w:r>
      <w:r w:rsidRPr="003D7556">
        <w:t xml:space="preserve"> (</w:t>
      </w:r>
      <w:r>
        <w:t xml:space="preserve">Eq. 6; Figure 4B; Appendix S1: Figure S5) can be inverted (Eq. 7) to solve for the minimum sampling density </w:t>
      </w:r>
      <w:r>
        <w:rPr>
          <w:i/>
          <w:iCs/>
        </w:rPr>
        <w:t>E</w:t>
      </w:r>
      <w:r>
        <w:t xml:space="preserve"> required to </w:t>
      </w:r>
      <w:r w:rsidRPr="003D7556">
        <w:t>reach a target error, a calculation the planner performs interactively</w:t>
      </w:r>
      <w:r>
        <w:t xml:space="preserve">. </w:t>
      </w:r>
    </w:p>
    <w:p w14:paraId="3D9C38DD" w14:textId="77777777" w:rsidR="00B9718F" w:rsidRDefault="00BA4DE0" w:rsidP="001643E6">
      <w:pPr>
        <w:pStyle w:val="p3"/>
        <w:spacing w:before="0" w:beforeAutospacing="0" w:after="0" w:afterAutospacing="0" w:line="480" w:lineRule="auto"/>
        <w:ind w:firstLine="720"/>
      </w:pPr>
      <w:bookmarkStart w:id="28" w:name="OLE_LINK13"/>
      <w:r w:rsidRPr="00BA4DE0">
        <w:lastRenderedPageBreak/>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w:t>
      </w:r>
      <w:r w:rsidR="008751E1">
        <w:t xml:space="preserve"> (with high</w:t>
      </w:r>
      <w:r w:rsidR="008751E1" w:rsidRPr="00BA4DE0">
        <w:t xml:space="preserve"> spatial</w:t>
      </w:r>
      <w:r w:rsidR="008751E1">
        <w:t xml:space="preserve"> autocorrelations)</w:t>
      </w:r>
      <w:r w:rsidRPr="00BA4DE0">
        <w:t xml:space="preserve"> such as </w:t>
      </w:r>
      <w:r w:rsidRPr="00C83611">
        <w:rPr>
          <w:i/>
          <w:iCs/>
        </w:rPr>
        <w:t>Leuroglossus stilbius</w:t>
      </w:r>
      <w:r w:rsidRPr="00BA4DE0">
        <w:t xml:space="preserve"> and </w:t>
      </w:r>
      <w:r w:rsidRPr="00C83611">
        <w:rPr>
          <w:i/>
          <w:iCs/>
        </w:rPr>
        <w:t>Microstomus pacificus</w:t>
      </w:r>
      <w:r w:rsidR="00C83611">
        <w:t xml:space="preserve"> </w:t>
      </w:r>
      <w:r w:rsidRPr="00BA4DE0">
        <w:t>would require only 4 samples per 10,000 km</w:t>
      </w:r>
      <w:r w:rsidR="00C83611" w:rsidRPr="00C83611">
        <w:rPr>
          <w:vertAlign w:val="superscript"/>
        </w:rPr>
        <w:t>2</w:t>
      </w:r>
      <w:r w:rsidRPr="00BA4DE0">
        <w:t xml:space="preserve"> to achieve a negligible marginal gain in precision</w:t>
      </w:r>
      <w:r w:rsidR="00C83611">
        <w:t xml:space="preserve"> (defined here arbitrary as </w:t>
      </w:r>
      <w:r w:rsidR="00C83611" w:rsidRPr="00EF344D">
        <w:rPr>
          <w:i/>
          <w:iCs/>
          <w:lang w:val="el-GR"/>
        </w:rPr>
        <w:t>Δε</w:t>
      </w:r>
      <w:r w:rsidR="00C83611">
        <w:t xml:space="preserve"> = </w:t>
      </w:r>
      <w:r w:rsidR="00A3319D">
        <w:t>-</w:t>
      </w:r>
      <w:r w:rsidR="00C83611">
        <w:t>0.05)</w:t>
      </w:r>
      <w:r w:rsidRPr="00BA4DE0">
        <w:t>. In contrast</w:t>
      </w:r>
      <w:r w:rsidR="00C83611">
        <w:t xml:space="preserve"> </w:t>
      </w:r>
      <w:r w:rsidRPr="00BA4DE0">
        <w:t xml:space="preserve">such as </w:t>
      </w:r>
      <w:r w:rsidRPr="00C83611">
        <w:rPr>
          <w:i/>
          <w:iCs/>
        </w:rPr>
        <w:t>Trachurus symmetricus</w:t>
      </w:r>
      <w:r w:rsidRPr="00BA4DE0">
        <w:t xml:space="preserve">, </w:t>
      </w:r>
      <w:r w:rsidRPr="00C83611">
        <w:rPr>
          <w:i/>
          <w:iCs/>
        </w:rPr>
        <w:t>Thaleichthys pacificus</w:t>
      </w:r>
      <w:r w:rsidRPr="00BA4DE0">
        <w:t xml:space="preserve">, </w:t>
      </w:r>
      <w:r w:rsidRPr="00C83611">
        <w:rPr>
          <w:i/>
          <w:iCs/>
        </w:rPr>
        <w:t>Stenobrachius leucopsarus</w:t>
      </w:r>
      <w:r w:rsidRPr="00BA4DE0">
        <w:t xml:space="preserve">, and </w:t>
      </w:r>
      <w:r w:rsidRPr="00C83611">
        <w:rPr>
          <w:i/>
          <w:iCs/>
        </w:rPr>
        <w:t>Tarletonbeania crenularis</w:t>
      </w:r>
      <w:r w:rsidR="00C83611">
        <w:t xml:space="preserve"> (</w:t>
      </w:r>
      <w:r w:rsidR="00A03F1E">
        <w:t xml:space="preserve">species with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to reach the same relative threshold</w:t>
      </w:r>
      <w:r w:rsidR="001A0C00">
        <w:t xml:space="preserve"> </w:t>
      </w:r>
      <w:r w:rsidR="00A817FC">
        <w:fldChar w:fldCharType="begin"/>
      </w:r>
      <w:r w:rsidR="00A817FC">
        <w:instrText xml:space="preserve"> ADDIN ZOTERO_ITEM CSL_CITATION {"citationID":"RH8yS48b","properties":{"unsorted":false,"formattedCitation":"(Liu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A817FC">
        <w:fldChar w:fldCharType="separate"/>
      </w:r>
      <w:r w:rsidR="00A817FC">
        <w:rPr>
          <w:noProof/>
        </w:rPr>
        <w:t>(Liu et al., 2026)</w:t>
      </w:r>
      <w:r w:rsidR="00A817FC">
        <w:fldChar w:fldCharType="end"/>
      </w:r>
      <w:r>
        <w:t xml:space="preserve">. </w:t>
      </w:r>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w:t>
      </w:r>
      <w:r w:rsidR="00FF7D1B">
        <w:t xml:space="preserve"> (</w:t>
      </w:r>
      <w:r w:rsidR="00FF7D1B" w:rsidRPr="00FF7D1B">
        <w:t xml:space="preserve">for context this is slightly higher than our current empirical </w:t>
      </w:r>
      <w:r w:rsidR="00FF7D1B">
        <w:t xml:space="preserve">grid and </w:t>
      </w:r>
      <w:r w:rsidR="00FF7D1B" w:rsidRPr="00FF7D1B">
        <w:t>CalCOFI's standard 75-station grid</w:t>
      </w:r>
      <w:r w:rsidR="00FF7D1B">
        <w:t xml:space="preserve"> with</w:t>
      </w:r>
      <w:r w:rsidR="00FF7D1B" w:rsidRPr="00FF7D1B">
        <w:t xml:space="preserve"> 3.6 </w:t>
      </w:r>
      <w:r w:rsidR="00FF7D1B">
        <w:t>and 3.4</w:t>
      </w:r>
      <w:r w:rsidR="00CE2CA0">
        <w:t xml:space="preserve"> </w:t>
      </w:r>
      <w:r w:rsidR="00FF7D1B" w:rsidRPr="00FF7D1B">
        <w:t xml:space="preserve">samples </w:t>
      </w:r>
      <w:r w:rsidR="00FF7D1B">
        <w:t xml:space="preserve">per </w:t>
      </w:r>
      <w:r w:rsidR="00FF7D1B" w:rsidRPr="00FF7D1B">
        <w:t>10000 k</w:t>
      </w:r>
      <w:r w:rsidR="00FF7D1B">
        <w:t>m</w:t>
      </w:r>
      <w:r w:rsidR="00FF7D1B" w:rsidRPr="00FF7D1B">
        <w:rPr>
          <w:vertAlign w:val="superscript"/>
        </w:rPr>
        <w:t>2</w:t>
      </w:r>
      <w:r w:rsidR="00FF7D1B" w:rsidRPr="00FF7D1B">
        <w:t xml:space="preserve"> </w:t>
      </w:r>
      <w:r w:rsidR="00FF7D1B">
        <w:t>respectively)</w:t>
      </w:r>
      <w:r w:rsidR="00B9718F" w:rsidRPr="00B9718F">
        <w:t>, consistent with their intermediate spatial autocorrelation values</w:t>
      </w:r>
      <w:r w:rsidR="00B9718F">
        <w:t>.</w:t>
      </w:r>
      <w:r w:rsidR="00C568AC">
        <w:t xml:space="preserve"> </w:t>
      </w:r>
      <w:r>
        <w:t xml:space="preserve">However, given that our analysis is based </w:t>
      </w:r>
      <w:r w:rsidR="0017095B" w:rsidRPr="0017095B">
        <w:t>on 12 fish species, extending this conclusion to other taxa or ecosystems should be done with caution, and additional species may exhibit different scaling relationships.</w:t>
      </w:r>
    </w:p>
    <w:bookmarkEnd w:id="28"/>
    <w:p w14:paraId="2D3E5A8A" w14:textId="77777777" w:rsidR="008751E1" w:rsidRDefault="008751E1" w:rsidP="008751E1">
      <w:pPr>
        <w:pStyle w:val="p3"/>
        <w:spacing w:before="0" w:beforeAutospacing="0" w:after="0" w:afterAutospacing="0" w:line="480" w:lineRule="auto"/>
        <w:ind w:firstLine="720"/>
      </w:pPr>
      <w:r w:rsidRPr="009F7803">
        <w:t>Although we report effort per 10,000 km</w:t>
      </w:r>
      <w:r w:rsidRPr="009F7803">
        <w:rPr>
          <w:vertAlign w:val="superscript"/>
        </w:rPr>
        <w:t>2</w:t>
      </w:r>
      <w:r w:rsidRPr="009F7803">
        <w:t xml:space="preserve">, the underlying point is simpler: what matters is how far apart samples are relative to a species' </w:t>
      </w:r>
      <w:r>
        <w:t>autocorrelation</w:t>
      </w:r>
      <w:r w:rsidRPr="009F7803">
        <w:t xml:space="preserve">. </w:t>
      </w:r>
      <w:r>
        <w:t>A sampling effort</w:t>
      </w:r>
      <w:r w:rsidRPr="009F7803">
        <w:t xml:space="preserve"> E puts samples roughly </w:t>
      </w:r>
      <w:r>
        <w:sym w:font="Symbol" w:char="F0D6"/>
      </w:r>
      <w:r w:rsidRPr="009F7803">
        <w:t xml:space="preserve">(10,000/E) km apart, </w:t>
      </w:r>
      <w:r w:rsidRPr="00376B55">
        <w:t>so the thresholds above can equivalently be stated as a ratio of sample spacing to length-scale: d/ρ ≈ 0.1 for smoothly distributed species (E ≈ 4–5 with ρ ≈ 500 km), but d/ρ ≈ 0.6–0.7 for patchily distributed ones (E ≈ 8–11 with ρ ≈ 50 km).</w:t>
      </w:r>
      <w:r w:rsidRPr="009F7803">
        <w:t xml:space="preserve"> The same reasoning should therefore carry to other systems and scales, though the ratio is not a single fixed number, because error depends on E and ρ jointly (Eq. 6).</w:t>
      </w:r>
    </w:p>
    <w:bookmarkEnd w:id="27"/>
    <w:p w14:paraId="4C243B52" w14:textId="77777777" w:rsidR="00A318B1" w:rsidRPr="000D2BF7" w:rsidRDefault="000F7C17" w:rsidP="001643E6">
      <w:pPr>
        <w:pStyle w:val="Heading3"/>
        <w:spacing w:before="0" w:after="0" w:line="480" w:lineRule="auto"/>
        <w:rPr>
          <w:i w:val="0"/>
          <w:iCs/>
        </w:rPr>
      </w:pPr>
      <w:r>
        <w:t>Assumptions and limitations of the method</w:t>
      </w:r>
    </w:p>
    <w:p w14:paraId="250494CE" w14:textId="77777777" w:rsidR="0092112F" w:rsidRDefault="00275178" w:rsidP="0092112F">
      <w:pPr>
        <w:pStyle w:val="p3"/>
        <w:spacing w:before="0" w:beforeAutospacing="0" w:after="0" w:afterAutospacing="0" w:line="480" w:lineRule="auto"/>
        <w:ind w:firstLine="720"/>
      </w:pPr>
      <w:r>
        <w:t xml:space="preserve">Extrapolating directly from simulations to natural systems requires care because real eDNA fields may violate the simplifying assumptions of the stationary, isotropic squared </w:t>
      </w:r>
      <w:r>
        <w:lastRenderedPageBreak/>
        <w:t xml:space="preserve">exponential kernel. Spatial structure may vary across the domain (non-stationarity), differ by direction (anisotropy), or include sharp transitions (fronts, plume boundaries, shelf-break structure) that are not well represented by a globally smooth covariance function </w:t>
      </w:r>
      <w:r w:rsidR="00D06D96">
        <w:fldChar w:fldCharType="begin"/>
      </w:r>
      <w:r w:rsidR="00D06D96">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rsidR="00D06D96">
        <w:fldChar w:fldCharType="separate"/>
      </w:r>
      <w:r w:rsidR="00D06D96">
        <w:rPr>
          <w:noProof/>
        </w:rPr>
        <w:t>(Paciorek &amp; Schervish, 2006)</w:t>
      </w:r>
      <w:r w:rsidR="00D06D96">
        <w:fldChar w:fldCharType="end"/>
      </w:r>
      <w:r>
        <w:t xml:space="preserve">. In addition, eDNA observation error is unlikely to be purely Gaussian, with variability arising from sources such as PCR bias, compositional constraints, incomplete calibration, and heterogeneity in filtration or extraction efficiency </w:t>
      </w:r>
      <w:r w:rsidR="008B42C2">
        <w:fldChar w:fldCharType="begin"/>
      </w:r>
      <w:r w:rsidR="0092112F">
        <w:instrText xml:space="preserve"> ADDIN ZOTERO_ITEM CSL_CITATION {"citationID":"fPxeMHcR","properties":{"unsorted":false,"formattedCitation":"(Bessey et al., 2020; Gloor et al., 2017; Kelly et al., 2019; Shaffer et al., 2025)","plainCitation":"(Bessey et al., 2020; Gloor et al., 2017; Kelly et al., 2019; Shaffer et al., 2025)","noteIndex":0},"citationItems":[{"id":769,"uris":["http://zotero.org/users/9456007/items/NCKWQDSK"],"itemData":{"id":769,"type":"article-journal","abstract":"Fish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rsidR="008B42C2">
        <w:fldChar w:fldCharType="separate"/>
      </w:r>
      <w:r w:rsidR="0092112F">
        <w:rPr>
          <w:noProof/>
        </w:rPr>
        <w:t>(Bessey et al., 2020; Gloor et al., 2017; Kelly et al., 2019; Shaffer et al., 2025)</w:t>
      </w:r>
      <w:r w:rsidR="008B42C2">
        <w:fldChar w:fldCharType="end"/>
      </w:r>
      <w:r>
        <w:t xml:space="preserve">. The modelling framework used here accounts for these sources </w:t>
      </w:r>
      <w:r w:rsidR="00CC3174">
        <w:fldChar w:fldCharType="begin"/>
      </w:r>
      <w:r w:rsidR="00CC3174">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CC3174">
        <w:fldChar w:fldCharType="separate"/>
      </w:r>
      <w:r w:rsidR="00CC3174">
        <w:rPr>
          <w:noProof/>
        </w:rPr>
        <w:t>(Guri et al., 2025)</w:t>
      </w:r>
      <w:r w:rsidR="00CC3174">
        <w:fldChar w:fldCharType="end"/>
      </w:r>
      <w:r>
        <w:t xml:space="preserve">, so they are unlikely to bias the results presented here. Finally, ecological processes such as migration, schooling, habitat discontinuities, or patchy prey fields can generate multi-scale patterns that depart from a single characteristic length-scale </w:t>
      </w:r>
      <w:r w:rsidR="008B42C2">
        <w:fldChar w:fldCharType="begin"/>
      </w:r>
      <w:r w:rsidR="008B42C2">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8B42C2">
        <w:fldChar w:fldCharType="separate"/>
      </w:r>
      <w:r w:rsidR="008B42C2">
        <w:rPr>
          <w:noProof/>
        </w:rPr>
        <w:t>(Wagner &amp; Fortin, 2005)</w:t>
      </w:r>
      <w:r w:rsidR="008B42C2">
        <w:fldChar w:fldCharType="end"/>
      </w:r>
      <w:r>
        <w:t>. These features may help explain elevated prediction error at intermediate autocorrelation levels in the empirical data relative to simulations, where additional sources of spatial complexity are not represented.</w:t>
      </w:r>
    </w:p>
    <w:p w14:paraId="3BCD5869" w14:textId="77777777" w:rsidR="00D62DEA" w:rsidRDefault="00D62DEA" w:rsidP="001643E6">
      <w:pPr>
        <w:pStyle w:val="p2"/>
        <w:spacing w:before="0" w:beforeAutospacing="0" w:after="0" w:afterAutospacing="0" w:line="480" w:lineRule="auto"/>
        <w:ind w:firstLine="720"/>
      </w:pPr>
      <w:r w:rsidRPr="00D62DEA">
        <w:t xml:space="preserve">Furthermore, the simulation assumes a stationary GP with fixed amplitude and noise and a single length-scale across depths, whereas real eDNA fields may have variable variance structure, multiple characteristic scales, and dependence on environmental covariates such as temperature, salinity, chlorophyll, and bathymetry </w:t>
      </w:r>
      <w:r>
        <w:fldChar w:fldCharType="begin"/>
      </w:r>
      <w:r>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xml:space="preserve">. </w:t>
      </w:r>
      <w:r w:rsidRPr="00D62DEA">
        <w:t>Our prediction error (ε2) is also computed against a "complete" prediction from a 4,000-point subset (Z) rather than the full grid, a limitation most visible in the secondary thinning comparison, where the reference field is constrained to N = 358 samples, making prediction error higher and more stochastic.</w:t>
      </w:r>
    </w:p>
    <w:p w14:paraId="4FC5891D" w14:textId="77777777" w:rsidR="00A318B1" w:rsidRDefault="00C74135" w:rsidP="001643E6">
      <w:pPr>
        <w:pStyle w:val="p2"/>
        <w:spacing w:before="0" w:beforeAutospacing="0" w:after="0" w:afterAutospacing="0" w:line="480" w:lineRule="auto"/>
        <w:ind w:firstLine="720"/>
      </w:pPr>
      <w:r>
        <w:t xml:space="preserve">Intrinsically, eDNA integrates ecological information through space and across time via transport and decay </w:t>
      </w:r>
      <w:r w:rsidR="006170C4">
        <w:fldChar w:fldCharType="begin"/>
      </w:r>
      <w:r w:rsidR="006170C4">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rsidR="006170C4">
        <w:fldChar w:fldCharType="separate"/>
      </w:r>
      <w:r w:rsidR="006170C4" w:rsidRPr="006170C4">
        <w:t>(Brandão‐Dias et al., 2023; Fukaya et al., 2021)</w:t>
      </w:r>
      <w:r w:rsidR="006170C4">
        <w:fldChar w:fldCharType="end"/>
      </w:r>
      <w:r>
        <w:t xml:space="preserve">. This means that even if organisms are locally patchy, the observed eDNA field may be smoother than the organism field, </w:t>
      </w:r>
      <w:r>
        <w:lastRenderedPageBreak/>
        <w:t xml:space="preserve">depending on hydrodynamic conditions and degradation rates. In our framework, such integration is embedded within the inferred length-scale, reinforcing that </w:t>
      </w:r>
      <w:r>
        <w:rPr>
          <w:i/>
          <w:iCs/>
          <w:lang w:val="el-GR"/>
        </w:rPr>
        <w:t>ρ</w:t>
      </w:r>
      <w:r>
        <w:t xml:space="preserve"> should be interpreted as an effective length scale of the observed eDNA field rather than a purely ecological niche parameter </w:t>
      </w:r>
      <w:r w:rsidR="006170C4">
        <w:fldChar w:fldCharType="begin"/>
      </w:r>
      <w:r w:rsidR="006170C4">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rsidR="006170C4">
        <w:fldChar w:fldCharType="separate"/>
      </w:r>
      <w:r w:rsidR="006170C4">
        <w:rPr>
          <w:noProof/>
        </w:rPr>
        <w:t>(Jo et al., 2025)</w:t>
      </w:r>
      <w:r w:rsidR="006170C4">
        <w:fldChar w:fldCharType="end"/>
      </w:r>
      <w:r>
        <w:t xml:space="preserve">. Integrating eDNA observations with independent abundance data (trawl, acoustics) would allow some degree of separation of the spatial autocorrelation parameter, enabling clearer ecological interpretation of </w:t>
      </w:r>
      <w:r>
        <w:rPr>
          <w:i/>
          <w:iCs/>
          <w:lang w:val="el-GR"/>
        </w:rPr>
        <w:t>ρ</w:t>
      </w:r>
      <w:r>
        <w:t xml:space="preserve"> and improving the transferability of sampling-effort recommendations </w:t>
      </w:r>
      <w:r w:rsidR="0065487C">
        <w:fldChar w:fldCharType="begin"/>
      </w:r>
      <w:r w:rsidR="0065487C">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65487C">
        <w:fldChar w:fldCharType="separate"/>
      </w:r>
      <w:r w:rsidR="0065487C">
        <w:rPr>
          <w:noProof/>
        </w:rPr>
        <w:t>(Guri et al., 2024)</w:t>
      </w:r>
      <w:r w:rsidR="0065487C">
        <w:fldChar w:fldCharType="end"/>
      </w:r>
      <w:r>
        <w:t>.</w:t>
      </w:r>
    </w:p>
    <w:p w14:paraId="6829F69F" w14:textId="77777777" w:rsidR="00D34C42" w:rsidRDefault="005A5E64" w:rsidP="001643E6">
      <w:pPr>
        <w:pStyle w:val="p2"/>
        <w:spacing w:before="0" w:beforeAutospacing="0" w:after="0" w:afterAutospacing="0" w:line="480" w:lineRule="auto"/>
        <w:ind w:firstLine="720"/>
      </w:pPr>
      <w:bookmarkStart w:id="29"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ED6538">
        <w:t xml:space="preserve"> </w:t>
      </w:r>
      <w:r>
        <w:t xml:space="preserve">In a small study domain, the autocorrelation scale of the observed eDNA field may exceed the survey extent, causing the field to appear nearly uniform and making </w:t>
      </w:r>
      <w:r w:rsidR="007A5C24" w:rsidRPr="006A3BF7">
        <w:rPr>
          <w:i/>
          <w:iCs/>
          <w:lang w:val="el-GR"/>
        </w:rPr>
        <w:t>μ</w:t>
      </w:r>
      <w:r w:rsidR="007A5C24" w:rsidRPr="006A3BF7">
        <w:rPr>
          <w:i/>
          <w:iCs/>
          <w:vertAlign w:val="subscript"/>
        </w:rPr>
        <w:t>d</w:t>
      </w:r>
      <w:r w:rsidR="007A5C24" w:rsidRPr="00CC24BD">
        <w:t xml:space="preserve"> difficult to estimate independently of the spatial process</w:t>
      </w:r>
      <w:r w:rsidR="006A3BF7">
        <w:t xml:space="preserve"> </w:t>
      </w:r>
      <w:r w:rsidR="0065487C">
        <w:fldChar w:fldCharType="begin"/>
      </w:r>
      <w:r w:rsidR="00AA6C90">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4660B7">
        <w:rPr>
          <w:noProof/>
        </w:rPr>
        <w:t>(Paciorek, 2010; Redfern et al., 2006)</w:t>
      </w:r>
      <w:r w:rsidR="0065487C">
        <w:fldChar w:fldCharType="end"/>
      </w:r>
      <w:r w:rsidR="00773AFD">
        <w:t>.</w:t>
      </w:r>
      <w:r>
        <w:t xml:space="preserve"> </w:t>
      </w:r>
    </w:p>
    <w:p w14:paraId="2CE730D7" w14:textId="77777777" w:rsidR="00BD1D03" w:rsidRDefault="00000000">
      <w:pPr>
        <w:pStyle w:val="Heading1"/>
        <w:spacing w:before="0" w:after="0" w:line="480" w:lineRule="auto"/>
      </w:pPr>
      <w:r>
        <w:t>Perspectives and applications</w:t>
      </w:r>
    </w:p>
    <w:p w14:paraId="3C498458" w14:textId="77777777" w:rsidR="00BD1D03" w:rsidRDefault="00000000">
      <w:pPr>
        <w:pStyle w:val="BodyText"/>
        <w:spacing w:line="480" w:lineRule="auto"/>
        <w:ind w:firstLine="720"/>
      </w:pPr>
      <w:r>
        <w:t xml:space="preserve">The method turns a single estimable quantity, the spatial autocorrelation of the target taxon, into a defensible sampling design, and the planner places that calculation in the hands of those who allocate ship time. For data collection, a survey can be designed before a vessel leaves port by combining a prior estimate of </w:t>
      </w:r>
      <w:r>
        <w:rPr>
          <w:i/>
        </w:rPr>
        <w:t>ρ</w:t>
      </w:r>
      <w:r>
        <w:t xml:space="preserve"> with the precision a program requires, converting a fixed budget of ship time into a station count or identifying the effort needed to reach a target precision. For monitoring and management, the same inversion shows where existing programs are over- or under-sampled relative to their objectives. For policy and reporting, the planner documents the assumptions (</w:t>
      </w:r>
      <w:r>
        <w:rPr>
          <w:i/>
        </w:rPr>
        <w:t>ρ</w:t>
      </w:r>
      <w:r>
        <w:t xml:space="preserve">, </w:t>
      </w:r>
      <w:r>
        <w:rPr>
          <w:i/>
        </w:rPr>
        <w:t>ε</w:t>
      </w:r>
      <w:r>
        <w:t xml:space="preserve"> and calibration) behind a chosen effort, so that sampling </w:t>
      </w:r>
      <w:r>
        <w:lastRenderedPageBreak/>
        <w:t>requirements in monitoring plans, survey proposals and emerging eDNA reporting standards can be stated transparently and revisited as new data accumulate.</w:t>
      </w:r>
    </w:p>
    <w:p w14:paraId="6B66EE72" w14:textId="77777777" w:rsidR="00F04F50" w:rsidRPr="00D12FC8" w:rsidRDefault="009A110E" w:rsidP="001643E6">
      <w:pPr>
        <w:spacing w:after="0" w:line="480" w:lineRule="auto"/>
        <w:ind w:firstLine="720"/>
        <w:rPr>
          <w:rFonts w:ascii="Times New Roman" w:eastAsia="Times New Roman" w:hAnsi="Times New Roman" w:cs="Times New Roman"/>
        </w:rPr>
      </w:pPr>
      <w:bookmarkStart w:id="30" w:name="OLE_LINK1"/>
      <w:bookmarkStart w:id="31" w:name="OLE_LINK4"/>
      <w:bookmarkEnd w:id="29"/>
      <w:bookmarkEnd w:id="30"/>
      <w:r>
        <w:rPr>
          <w:rFonts w:ascii="Times New Roman" w:eastAsia="Times New Roman" w:hAnsi="Times New Roman" w:cs="Times New Roman"/>
        </w:rPr>
        <w:t>Sampling effort required for eDNA surveys should be matched to the intended inferential goal. When the objective is to estimate GP parameters such as the mean (</w:t>
      </w:r>
      <w:r>
        <w:rPr>
          <w:rFonts w:ascii="Times New Roman" w:eastAsia="Times New Roman" w:hAnsi="Times New Roman" w:cs="Times New Roman"/>
          <w:i/>
          <w:iCs/>
        </w:rPr>
        <w:t>μ</w:t>
      </w:r>
      <w:r>
        <w:rPr>
          <w:rFonts w:ascii="Times New Roman" w:eastAsia="Times New Roman" w:hAnsi="Times New Roman" w:cs="Times New Roman"/>
          <w:i/>
          <w:iCs/>
          <w:vertAlign w:val="subscript"/>
        </w:rPr>
        <w:t>d</w:t>
      </w:r>
      <w:r>
        <w:rPr>
          <w:rFonts w:ascii="Times New Roman" w:eastAsia="Times New Roman" w:hAnsi="Times New Roman" w:cs="Times New Roman"/>
        </w:rPr>
        <w:t xml:space="preserve">) for deriving depth-specific or region-specific abundance indices typically used in stock assessment indices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(Shelton et al., 2022)</w:t>
      </w:r>
      <w:r w:rsidR="001365D9">
        <w:rPr>
          <w:rFonts w:ascii="Times New Roman" w:eastAsia="Times New Roman" w:hAnsi="Times New Roman" w:cs="Times New Roman"/>
        </w:rPr>
        <w:fldChar w:fldCharType="end"/>
      </w:r>
      <w:r>
        <w:rPr>
          <w:rFonts w:ascii="Times New Roman" w:eastAsia="Times New Roman" w:hAnsi="Times New Roman" w:cs="Times New Roman"/>
        </w:rPr>
        <w:t>, the autocorrelation (</w:t>
      </w:r>
      <w:r>
        <w:rPr>
          <w:rFonts w:ascii="Times New Roman" w:eastAsia="Times New Roman" w:hAnsi="Times New Roman" w:cs="Times New Roman"/>
          <w:i/>
          <w:iCs/>
          <w:lang w:val="el-GR"/>
        </w:rPr>
        <w:t>ρ</w:t>
      </w:r>
      <w:r>
        <w:rPr>
          <w:rFonts w:ascii="Times New Roman" w:eastAsia="Times New Roman" w:hAnsi="Times New Roman" w:cs="Times New Roman"/>
        </w:rPr>
        <w:t xml:space="preserve">) for applied ecological questions, like implementing protected area networks or monitoring programs </w:t>
      </w:r>
      <w:r w:rsidR="004660B7">
        <w:rPr>
          <w:rFonts w:ascii="Times New Roman" w:eastAsia="Times New Roman" w:hAnsi="Times New Roman" w:cs="Times New Roman"/>
        </w:rPr>
        <w:fldChar w:fldCharType="begin"/>
      </w:r>
      <w:r w:rsidR="004660B7">
        <w:rPr>
          <w:rFonts w:ascii="Times New Roman" w:eastAsia="Times New Roman" w:hAnsi="Times New Roman" w:cs="Times New Roman"/>
        </w:rPr>
        <w: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instrText>
      </w:r>
      <w:r w:rsidR="004660B7">
        <w:rPr>
          <w:rFonts w:ascii="Times New Roman" w:eastAsia="Times New Roman" w:hAnsi="Times New Roman" w:cs="Times New Roman"/>
        </w:rPr>
        <w:fldChar w:fldCharType="separate"/>
      </w:r>
      <w:r w:rsidR="004660B7">
        <w:rPr>
          <w:rFonts w:ascii="Times New Roman" w:eastAsia="Times New Roman" w:hAnsi="Times New Roman" w:cs="Times New Roman"/>
          <w:noProof/>
        </w:rPr>
        <w:t>(Laroche, 2024)</w:t>
      </w:r>
      <w:r w:rsidR="004660B7">
        <w:rPr>
          <w:rFonts w:ascii="Times New Roman" w:eastAsia="Times New Roman" w:hAnsi="Times New Roman" w:cs="Times New Roman"/>
        </w:rPr>
        <w:fldChar w:fldCharType="end"/>
      </w:r>
      <w:r>
        <w:rPr>
          <w:rFonts w:ascii="Times New Roman" w:eastAsia="Times New Roman" w:hAnsi="Times New Roman" w:cs="Times New Roman"/>
        </w:rPr>
        <w:t>, or the variance parameter (</w:t>
      </w:r>
      <w:r>
        <w:rPr>
          <w:rFonts w:ascii="Times New Roman" w:eastAsia="Times New Roman" w:hAnsi="Times New Roman" w:cs="Times New Roman"/>
          <w:i/>
          <w:iCs/>
        </w:rPr>
        <w:t>α</w:t>
      </w:r>
      <w:r>
        <w:rPr>
          <w:rFonts w:ascii="Times New Roman" w:eastAsia="Times New Roman" w:hAnsi="Times New Roman" w:cs="Times New Roman"/>
          <w:i/>
          <w:iCs/>
          <w:vertAlign w:val="superscript"/>
        </w:rPr>
        <w:t>2</w:t>
      </w:r>
      <w:r>
        <w:rPr>
          <w:rFonts w:ascii="Times New Roman" w:eastAsia="Times New Roman" w:hAnsi="Times New Roman" w:cs="Times New Roman"/>
        </w:rPr>
        <w:t xml:space="preserve">), random sampling designs that adequately cover the full spatial domain of the species spatial autocorrelation are likely to be sufficient </w:t>
      </w:r>
      <w:r w:rsidR="00CC72E8">
        <w:rPr>
          <w:rFonts w:ascii="Times New Roman" w:eastAsia="Times New Roman" w:hAnsi="Times New Roman" w:cs="Times New Roman"/>
        </w:rPr>
        <w:fldChar w:fldCharType="begin"/>
      </w:r>
      <w:r w:rsidR="00CC72E8">
        <w:rPr>
          <w:rFonts w:ascii="Times New Roman" w:eastAsia="Times New Roman" w:hAnsi="Times New Roman" w:cs="Times New Roman"/>
        </w:rPr>
        <w: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CC72E8">
        <w:rPr>
          <w:rFonts w:ascii="Times New Roman" w:eastAsia="Times New Roman" w:hAnsi="Times New Roman" w:cs="Times New Roman"/>
        </w:rPr>
        <w:fldChar w:fldCharType="separate"/>
      </w:r>
      <w:r w:rsidR="00CC72E8">
        <w:rPr>
          <w:rFonts w:ascii="Times New Roman" w:eastAsia="Times New Roman" w:hAnsi="Times New Roman" w:cs="Times New Roman"/>
          <w:noProof/>
        </w:rPr>
        <w:t>(Rocha et al., 2021)</w:t>
      </w:r>
      <w:r w:rsidR="00CC72E8">
        <w:rPr>
          <w:rFonts w:ascii="Times New Roman" w:eastAsia="Times New Roman" w:hAnsi="Times New Roman" w:cs="Times New Roman"/>
        </w:rPr>
        <w:fldChar w:fldCharType="end"/>
      </w:r>
      <w:r>
        <w:rPr>
          <w:rFonts w:ascii="Times New Roman" w:eastAsia="Times New Roman" w:hAnsi="Times New Roman" w:cs="Times New Roman"/>
        </w:rPr>
        <w:t xml:space="preserve">, as sampling effort appears to have relatively limited influence on parameter estimation (Figure 5; Appendix S1: Section S4). In contrast, when the objective shifts toward predicting spatial distributions - such as identifying hotspots, mapping species occurrence, or quantifying spatial niche breadth - the accuracy of these predictions is much more sensitive to both sampling effort and the underlying spatial autocorrelation of the species (Figure 4A). Prediction is the more demanding of the two because it requires both accurate covariance parameters (Eq. 1–2) and observed points close enough to the location being predicted (Eq. 3). </w:t>
      </w:r>
    </w:p>
    <w:bookmarkEnd w:id="31"/>
    <w:p w14:paraId="66D67A61" w14:textId="77777777" w:rsidR="002E285D" w:rsidRDefault="002E285D" w:rsidP="001643E6">
      <w:pPr>
        <w:spacing w:after="0" w:line="480" w:lineRule="auto"/>
        <w:ind w:firstLine="720"/>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w:t>
      </w:r>
      <w:r w:rsidR="009F6320">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(Rocha et al., 2021)</w:t>
      </w:r>
      <w:r w:rsidR="001365D9">
        <w:rPr>
          <w:rFonts w:ascii="Times New Roman" w:eastAsia="Times New Roman" w:hAnsi="Times New Roman" w:cs="Times New Roman"/>
        </w:rPr>
        <w:fldChar w:fldCharType="end"/>
      </w:r>
      <w:r w:rsidRPr="00870EEE">
        <w:rPr>
          <w:rFonts w:ascii="Times New Roman" w:eastAsia="Times New Roman" w:hAnsi="Times New Roman" w:cs="Times New Roman"/>
        </w:rPr>
        <w:t xml:space="preserve">. </w:t>
      </w:r>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002D6BB3">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(Kaufman &amp; Shaby, 2013)</w:t>
      </w:r>
      <w:r w:rsidR="001365D9">
        <w:rPr>
          <w:rFonts w:ascii="Times New Roman" w:eastAsia="Times New Roman" w:hAnsi="Times New Roman" w:cs="Times New Roman"/>
        </w:rPr>
        <w:fldChar w:fldCharType="end"/>
      </w:r>
      <w:r w:rsidRPr="00F335A6">
        <w:rPr>
          <w:rFonts w:ascii="Times New Roman" w:eastAsia="Times New Roman" w:hAnsi="Times New Roman" w:cs="Times New Roman"/>
        </w:rPr>
        <w:t>.</w:t>
      </w:r>
      <w:r>
        <w:rPr>
          <w:rFonts w:ascii="Times New Roman" w:eastAsia="Times New Roman" w:hAnsi="Times New Roman" w:cs="Times New Roman"/>
        </w:rPr>
        <w:t xml:space="preserve"> </w:t>
      </w:r>
    </w:p>
    <w:p w14:paraId="4D21DBE4" w14:textId="77777777" w:rsidR="00CE2CA0" w:rsidRDefault="00CE2CA0" w:rsidP="001643E6">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In practice, the starting point is a clear statement of the inferential objective and the precision it demands, since this determines whether effort should prioritize spatial coverage or the resolution of fine-scale autocorrelation. This is complemented by a prior estimate of the target taxon's spatial autocorrelation, drawn from published geostatistical fits, a pilot survey, or the depth-related pattern reported here, which the planner uses (Eq. 6–7) to characterize the relationship between sampling density (E) and expected accuracy. From this relationship, a sampling density can be identified beyond which additional effort yields diminishing returns relative to the precision required. Because the length-scale parameter cannot be recovered from a uniformly thinned grid, the resulting design should also be assessed for its inclusion of both widely and closely spaced station pairs. In multispecies programmes, these considerations are most appropriately governed by the patchiest taxon the survey is intended to resolve.</w:t>
      </w:r>
    </w:p>
    <w:p w14:paraId="26FD8EF3" w14:textId="77777777" w:rsidR="00820F4B" w:rsidRDefault="00000000" w:rsidP="00CE2CA0">
      <w:pPr>
        <w:pStyle w:val="p3"/>
        <w:spacing w:line="480" w:lineRule="auto"/>
        <w:ind w:firstLine="720"/>
      </w:pPr>
      <w:r>
        <w:t>Applied to existing programs this yields a concrete conclusion. The West Coast eDNA grid analy</w:t>
      </w:r>
      <w:r w:rsidR="00CE2CA0">
        <w:t>z</w:t>
      </w:r>
      <w:r>
        <w:t>ed here (3.6 samples per 10,000 km</w:t>
      </w:r>
      <w:r>
        <w:rPr>
          <w:vertAlign w:val="superscript"/>
        </w:rPr>
        <w:t>2</w:t>
      </w:r>
      <w:r>
        <w:t xml:space="preserve"> per depth layer) and the CalCOFI 75-station grid (3.4 samples per 10,000 km</w:t>
      </w:r>
      <w:r>
        <w:rPr>
          <w:vertAlign w:val="superscript"/>
        </w:rPr>
        <w:t>2</w:t>
      </w:r>
      <w:r>
        <w:t>) already sit close to the effort at which returns diminish for smoothly distributed species and for estimating depth-specific means, so programs whose primary product is an abundance index need not expand. Programs intended to map patchily distributed taxa, including several forage and mesopelagic species examined here, are under-sampled by a factor of roughly two to three, and that shortfall is spatial rather than analytical</w:t>
      </w:r>
      <w:r w:rsidR="00820F4B">
        <w:t xml:space="preserve"> (</w:t>
      </w:r>
      <w:r>
        <w:t>it cannot be recovered by sequencing more deeply or filtering more water at stations already occupied</w:t>
      </w:r>
      <w:r w:rsidR="00820F4B">
        <w:t>)</w:t>
      </w:r>
      <w:r>
        <w:t xml:space="preserve">. </w:t>
      </w:r>
    </w:p>
    <w:p w14:paraId="6861C0F0" w14:textId="77777777" w:rsidR="002E285D" w:rsidRDefault="00CE2CA0" w:rsidP="00CE2CA0">
      <w:pPr>
        <w:pStyle w:val="p3"/>
        <w:spacing w:line="480" w:lineRule="auto"/>
        <w:ind w:firstLine="720"/>
      </w:pPr>
      <w:r>
        <w:t xml:space="preserve">For managers and survey designers the practical message is that effort should be set by the patchiness of the taxa a programme is required to resolve and by the decision the data must </w:t>
      </w:r>
      <w:r>
        <w:lastRenderedPageBreak/>
        <w:t>support, and that both can be specified in advance rather than discovered afterwards. Nevertheless, across the scenarios considered here and the spatial domain used in this study, sampling effort of 4 - 9 samples per 10,000 km</w:t>
      </w:r>
      <w:r>
        <w:rPr>
          <w:vertAlign w:val="superscript"/>
        </w:rPr>
        <w:t>2</w:t>
      </w:r>
      <w:r>
        <w:t xml:space="preserve"> per depth layer marked the point at which diminishing returns became apparent given species-specific spatial autocorrelation. We therefore recommend that eDNA surveys report estimated length-scales alongside detection or concentration results; as such estimates accumulate, taxon- and region-specific priors will make prospective design routine rather than bespoke, and recalibrated coefficients can be entered directly into the planner. </w:t>
      </w:r>
    </w:p>
    <w:p w14:paraId="0933AE07" w14:textId="77777777" w:rsidR="00BD1D03" w:rsidRDefault="00000000">
      <w:pPr>
        <w:pStyle w:val="Heading1"/>
        <w:spacing w:before="0" w:after="0" w:line="480" w:lineRule="auto"/>
      </w:pPr>
      <w:r>
        <w:t>Acknowledgments</w:t>
      </w:r>
    </w:p>
    <w:p w14:paraId="1EA7F92B" w14:textId="77777777" w:rsidR="00BD1D03" w:rsidRDefault="00000000">
      <w:pPr>
        <w:pStyle w:val="BodyText"/>
        <w:spacing w:line="480" w:lineRule="auto"/>
        <w:ind w:firstLine="720"/>
      </w:pPr>
      <w:r>
        <w:t>This material is based upon research supported by the Office of Naval Research under Award Number N00014-22-1-2719 and support from the National Marine Fisheries Service’s Genomic Strategic Initiative. Any use of trade, firm, or product names is for descriptive purposes only and does not imply endorsement by the U.S. Government.</w:t>
      </w:r>
    </w:p>
    <w:p w14:paraId="2D0EAA0F" w14:textId="77777777" w:rsidR="00BD1D03" w:rsidRDefault="00000000">
      <w:pPr>
        <w:pStyle w:val="Heading1"/>
        <w:spacing w:before="0" w:after="0" w:line="480" w:lineRule="auto"/>
      </w:pPr>
      <w:r>
        <w:t>Author contributions</w:t>
      </w:r>
    </w:p>
    <w:p w14:paraId="269EC736" w14:textId="77777777" w:rsidR="00BD1D03" w:rsidRDefault="00000000">
      <w:pPr>
        <w:pStyle w:val="BodyText"/>
        <w:spacing w:line="480" w:lineRule="auto"/>
        <w:ind w:firstLine="720"/>
      </w:pPr>
      <w:r>
        <w:t>Gledis Guri conceived the study, developed the methodology and the survey planner, performed the analyses and wrote the manuscript; Andrew O. Shelton contributed to the methodology, funding acquisition, data interpretation and discussion; Ryan P. Kelly contributed to conceptualization, funding acquisition, data interpretation and discussion; Owen R. Liu contributed to data interpretation and discussion; Krista M. Nichols contributed to conceptualization, funding acquisition and discussion. All authors contributed critically to the drafts and gave final approval for publication.</w:t>
      </w:r>
    </w:p>
    <w:p w14:paraId="344D1A37" w14:textId="77777777" w:rsidR="00BD1D03" w:rsidRDefault="00000000">
      <w:pPr>
        <w:pStyle w:val="Heading1"/>
        <w:spacing w:before="0" w:after="0" w:line="480" w:lineRule="auto"/>
      </w:pPr>
      <w:r>
        <w:lastRenderedPageBreak/>
        <w:t>Conflict of interest statement</w:t>
      </w:r>
    </w:p>
    <w:p w14:paraId="0CF38148" w14:textId="77777777" w:rsidR="00BD1D03" w:rsidRDefault="00000000">
      <w:pPr>
        <w:pStyle w:val="BodyText"/>
        <w:spacing w:line="480" w:lineRule="auto"/>
        <w:ind w:firstLine="720"/>
      </w:pPr>
      <w:r>
        <w:t>The authors declare no conflicts of interest.</w:t>
      </w:r>
    </w:p>
    <w:p w14:paraId="74B35DB3" w14:textId="77777777" w:rsidR="0032076E" w:rsidRPr="002877EE" w:rsidRDefault="00625110" w:rsidP="001643E6">
      <w:pPr>
        <w:spacing w:after="0" w:line="480" w:lineRule="auto"/>
        <w:rPr>
          <w:rFonts w:ascii="Times New Roman" w:eastAsiaTheme="majorEastAsia" w:hAnsi="Times New Roman" w:cstheme="majorBidi"/>
          <w:b/>
          <w:sz w:val="28"/>
          <w:szCs w:val="40"/>
        </w:rPr>
      </w:pPr>
      <w:bookmarkStart w:id="32" w:name="fig:mu_rho_N"/>
      <w:bookmarkStart w:id="33" w:name="appendix"/>
      <w:bookmarkEnd w:id="25"/>
      <w:bookmarkEnd w:id="26"/>
      <w:r w:rsidRPr="00625110">
        <w:rPr>
          <w:b/>
          <w:bCs/>
          <w:iCs/>
          <w:szCs w:val="28"/>
        </w:rPr>
        <w:t>Refere</w:t>
      </w:r>
      <w:r w:rsidR="00C10BA1">
        <w:rPr>
          <w:b/>
          <w:bCs/>
          <w:iCs/>
          <w:szCs w:val="28"/>
        </w:rPr>
        <w:t>n</w:t>
      </w:r>
      <w:r w:rsidRPr="00625110">
        <w:rPr>
          <w:b/>
          <w:bCs/>
          <w:iCs/>
          <w:szCs w:val="28"/>
        </w:rPr>
        <w:t>ces</w:t>
      </w:r>
    </w:p>
    <w:bookmarkEnd w:id="32"/>
    <w:bookmarkEnd w:id="33"/>
    <w:p w14:paraId="201EA539" w14:textId="77777777" w:rsidR="0092112F" w:rsidRPr="0092112F" w:rsidRDefault="00F553D1" w:rsidP="00DF3B3E">
      <w:pPr>
        <w:pStyle w:val="Bibliography"/>
        <w:rPr>
          <w:rFonts w:cs="Times New Roman"/>
        </w:rPr>
      </w:pPr>
      <w:r w:rsidRPr="007A589B">
        <w:fldChar w:fldCharType="begin"/>
      </w:r>
      <w:r w:rsidR="001C4DF2">
        <w:instrText xml:space="preserve"> ADDIN ZOTERO_BIBL {"uncited":[],"omitted":[],"custom":[]} CSL_BIBLIOGRAPHY </w:instrText>
      </w:r>
      <w:r w:rsidRPr="007A589B">
        <w:fldChar w:fldCharType="separate"/>
      </w:r>
      <w:r w:rsidR="0092112F" w:rsidRPr="0092112F">
        <w:rPr>
          <w:rFonts w:cs="Times New Roman"/>
        </w:rPr>
        <w:t xml:space="preserve">Baetscher, D. S., Omori, K. L., Goethel, D. R., Shelton, A. O., Berger, A. M., Ledger, K. J., Nichols, K. M., &amp; Larson, W. A. (2025). The Pragmatic Sceptic: A Practical Approach for Integrating Environmental </w:t>
      </w:r>
      <w:r w:rsidR="0092112F" w:rsidRPr="0092112F">
        <w:rPr>
          <w:rFonts w:cs="Times New Roman"/>
          <w:smallCaps/>
        </w:rPr>
        <w:t>DNA</w:t>
      </w:r>
      <w:r w:rsidR="0092112F" w:rsidRPr="0092112F">
        <w:rPr>
          <w:rFonts w:cs="Times New Roman"/>
        </w:rPr>
        <w:t xml:space="preserve"> Into Marine Stock Assessment and Fisheries Management. </w:t>
      </w:r>
      <w:r w:rsidR="0092112F" w:rsidRPr="0092112F">
        <w:rPr>
          <w:rFonts w:cs="Times New Roman"/>
          <w:i/>
          <w:iCs/>
        </w:rPr>
        <w:t>Fish and Fisheries</w:t>
      </w:r>
      <w:r w:rsidR="0092112F" w:rsidRPr="0092112F">
        <w:rPr>
          <w:rFonts w:cs="Times New Roman"/>
        </w:rPr>
        <w:t>, faf.70001. https://doi.org/10.1111/faf.70001</w:t>
      </w:r>
    </w:p>
    <w:p w14:paraId="52B545A9" w14:textId="77777777" w:rsidR="0092112F" w:rsidRPr="0092112F" w:rsidRDefault="0092112F" w:rsidP="00DF3B3E">
      <w:pPr>
        <w:pStyle w:val="Bibliography"/>
        <w:rPr>
          <w:rFonts w:cs="Times New Roman"/>
        </w:rPr>
      </w:pPr>
      <w:r w:rsidRPr="0092112F">
        <w:rPr>
          <w:rFonts w:cs="Times New Roman"/>
        </w:rPr>
        <w:t xml:space="preserve">Bessey, C., Jarman, S. N., Berry, O., Olsen, Y. S., Bunce, M., Simpson, T., Power, M., McLaughlin, J., Edgar, G. J., &amp; Keesing, J. (2020). Maximizing fish detection with eDNA metabarcoding. </w:t>
      </w:r>
      <w:r w:rsidRPr="0092112F">
        <w:rPr>
          <w:rFonts w:cs="Times New Roman"/>
          <w:i/>
          <w:iCs/>
        </w:rPr>
        <w:t>Environmental DNA</w:t>
      </w:r>
      <w:r w:rsidRPr="0092112F">
        <w:rPr>
          <w:rFonts w:cs="Times New Roman"/>
        </w:rPr>
        <w:t xml:space="preserve">, </w:t>
      </w:r>
      <w:r w:rsidRPr="0092112F">
        <w:rPr>
          <w:rFonts w:cs="Times New Roman"/>
          <w:i/>
          <w:iCs/>
        </w:rPr>
        <w:t>2</w:t>
      </w:r>
      <w:r w:rsidRPr="0092112F">
        <w:rPr>
          <w:rFonts w:cs="Times New Roman"/>
        </w:rPr>
        <w:t>(4), 493–504. https://doi.org/10.1002/edn3.74</w:t>
      </w:r>
    </w:p>
    <w:p w14:paraId="0F3E48F4" w14:textId="77777777" w:rsidR="0092112F" w:rsidRPr="0092112F" w:rsidRDefault="0092112F" w:rsidP="00DF3B3E">
      <w:pPr>
        <w:pStyle w:val="Bibliography"/>
        <w:rPr>
          <w:rFonts w:cs="Times New Roman"/>
        </w:rPr>
      </w:pPr>
      <w:r w:rsidRPr="0092112F">
        <w:rPr>
          <w:rFonts w:cs="Times New Roman"/>
        </w:rPr>
        <w:t xml:space="preserve">Brandão‐Dias, P. F. P., Hallack, D. M. C., Snyder, E. D., Tank, J. L., Bolster, D., Volponi, S., Shogren, A. J., Lamberti, G. A., Bibby, K., &amp; Egan, S. P. (2023). Particle size influences decay rates of environmental DNA in aquatic systems. </w:t>
      </w:r>
      <w:r w:rsidRPr="0092112F">
        <w:rPr>
          <w:rFonts w:cs="Times New Roman"/>
          <w:i/>
          <w:iCs/>
        </w:rPr>
        <w:t>Molecular Ecology Resources</w:t>
      </w:r>
      <w:r w:rsidRPr="0092112F">
        <w:rPr>
          <w:rFonts w:cs="Times New Roman"/>
        </w:rPr>
        <w:t xml:space="preserve">, </w:t>
      </w:r>
      <w:r w:rsidRPr="0092112F">
        <w:rPr>
          <w:rFonts w:cs="Times New Roman"/>
          <w:i/>
          <w:iCs/>
        </w:rPr>
        <w:t>23</w:t>
      </w:r>
      <w:r w:rsidRPr="0092112F">
        <w:rPr>
          <w:rFonts w:cs="Times New Roman"/>
        </w:rPr>
        <w:t>(4), 756–770. https://doi.org/10.1111/1755-0998.13751</w:t>
      </w:r>
    </w:p>
    <w:p w14:paraId="638162F9" w14:textId="77777777" w:rsidR="0092112F" w:rsidRPr="0092112F" w:rsidRDefault="0092112F" w:rsidP="00DF3B3E">
      <w:pPr>
        <w:pStyle w:val="Bibliography"/>
        <w:rPr>
          <w:rFonts w:cs="Times New Roman"/>
        </w:rPr>
      </w:pPr>
      <w:r w:rsidRPr="0092112F">
        <w:rPr>
          <w:rFonts w:cs="Times New Roman"/>
        </w:rPr>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sidRPr="0092112F">
        <w:rPr>
          <w:rFonts w:cs="Times New Roman"/>
          <w:i/>
          <w:iCs/>
        </w:rPr>
        <w:t>Ecography</w:t>
      </w:r>
      <w:r w:rsidRPr="0092112F">
        <w:rPr>
          <w:rFonts w:cs="Times New Roman"/>
        </w:rPr>
        <w:t xml:space="preserve">, </w:t>
      </w:r>
      <w:r w:rsidRPr="0092112F">
        <w:rPr>
          <w:rFonts w:cs="Times New Roman"/>
          <w:i/>
          <w:iCs/>
        </w:rPr>
        <w:t>30</w:t>
      </w:r>
      <w:r w:rsidRPr="0092112F">
        <w:rPr>
          <w:rFonts w:cs="Times New Roman"/>
        </w:rPr>
        <w:t>(5), 609–628. https://doi.org/10.1111/j.2007.0906-7590.05171.x</w:t>
      </w:r>
    </w:p>
    <w:p w14:paraId="75BEDC58" w14:textId="77777777" w:rsidR="0092112F" w:rsidRPr="0092112F" w:rsidRDefault="0092112F" w:rsidP="00DF3B3E">
      <w:pPr>
        <w:pStyle w:val="Bibliography"/>
        <w:rPr>
          <w:rFonts w:cs="Times New Roman"/>
        </w:rPr>
      </w:pPr>
      <w:r w:rsidRPr="0092112F">
        <w:rPr>
          <w:rFonts w:cs="Times New Roman"/>
        </w:rPr>
        <w:t xml:space="preserve">Fortin, M.-J., Drapeau, P., &amp; Legendre, P. (1989). Spatial autocorrelation and sampling design in plant ecology. </w:t>
      </w:r>
      <w:r w:rsidRPr="0092112F">
        <w:rPr>
          <w:rFonts w:cs="Times New Roman"/>
          <w:i/>
          <w:iCs/>
        </w:rPr>
        <w:t>Vegetatio</w:t>
      </w:r>
      <w:r w:rsidRPr="0092112F">
        <w:rPr>
          <w:rFonts w:cs="Times New Roman"/>
        </w:rPr>
        <w:t xml:space="preserve">, </w:t>
      </w:r>
      <w:r w:rsidRPr="0092112F">
        <w:rPr>
          <w:rFonts w:cs="Times New Roman"/>
          <w:i/>
          <w:iCs/>
        </w:rPr>
        <w:t>83</w:t>
      </w:r>
      <w:r w:rsidRPr="0092112F">
        <w:rPr>
          <w:rFonts w:cs="Times New Roman"/>
        </w:rPr>
        <w:t>(1–2), 209–222. https://doi.org/10.1007/BF00031693</w:t>
      </w:r>
    </w:p>
    <w:p w14:paraId="36181FC5" w14:textId="77777777" w:rsidR="0092112F" w:rsidRPr="0092112F" w:rsidRDefault="0092112F" w:rsidP="00DF3B3E">
      <w:pPr>
        <w:pStyle w:val="Bibliography"/>
        <w:rPr>
          <w:rFonts w:cs="Times New Roman"/>
        </w:rPr>
      </w:pPr>
      <w:r w:rsidRPr="0092112F">
        <w:rPr>
          <w:rFonts w:cs="Times New Roman"/>
        </w:rPr>
        <w:lastRenderedPageBreak/>
        <w:t xml:space="preserve">Fukaya, K., Murakami, H., Yoon, S., Minami, K., Osada, Y., Yamamoto, S., Masuda, R., Kasai, A., Miyashita, K., Minamoto, T., &amp; Kondoh, M. (2021). Estimating fish population abundance by integrating quantitative data on environmental DNA and hydrodynamic modelling. </w:t>
      </w:r>
      <w:r w:rsidRPr="0092112F">
        <w:rPr>
          <w:rFonts w:cs="Times New Roman"/>
          <w:i/>
          <w:iCs/>
        </w:rPr>
        <w:t>Molecular Ecology</w:t>
      </w:r>
      <w:r w:rsidRPr="0092112F">
        <w:rPr>
          <w:rFonts w:cs="Times New Roman"/>
        </w:rPr>
        <w:t xml:space="preserve">, </w:t>
      </w:r>
      <w:r w:rsidRPr="0092112F">
        <w:rPr>
          <w:rFonts w:cs="Times New Roman"/>
          <w:i/>
          <w:iCs/>
        </w:rPr>
        <w:t>30</w:t>
      </w:r>
      <w:r w:rsidRPr="0092112F">
        <w:rPr>
          <w:rFonts w:cs="Times New Roman"/>
        </w:rPr>
        <w:t>(13), 3057–3067. https://doi.org/10.1111/mec.15530</w:t>
      </w:r>
    </w:p>
    <w:p w14:paraId="56878F86" w14:textId="77777777" w:rsidR="0092112F" w:rsidRPr="0092112F" w:rsidRDefault="0092112F" w:rsidP="00DF3B3E">
      <w:pPr>
        <w:pStyle w:val="Bibliography"/>
        <w:rPr>
          <w:rFonts w:cs="Times New Roman"/>
        </w:rPr>
      </w:pPr>
      <w:r w:rsidRPr="0092112F">
        <w:rPr>
          <w:rFonts w:cs="Times New Roman"/>
        </w:rPr>
        <w:t xml:space="preserve">García‐Machado, E., Normandeau, E., Côté, G., Caza‐Allard, I., Babin, C., &amp; Bernatchez, L. (2024). Evaluating Sampling Designs to Survey Fish Diversity in Lakes From Northern Temperate Zones. </w:t>
      </w:r>
      <w:r w:rsidRPr="0092112F">
        <w:rPr>
          <w:rFonts w:cs="Times New Roman"/>
          <w:i/>
          <w:iCs/>
        </w:rPr>
        <w:t>Environmental DNA</w:t>
      </w:r>
      <w:r w:rsidRPr="0092112F">
        <w:rPr>
          <w:rFonts w:cs="Times New Roman"/>
        </w:rPr>
        <w:t xml:space="preserve">, </w:t>
      </w:r>
      <w:r w:rsidRPr="0092112F">
        <w:rPr>
          <w:rFonts w:cs="Times New Roman"/>
          <w:i/>
          <w:iCs/>
        </w:rPr>
        <w:t>6</w:t>
      </w:r>
      <w:r w:rsidRPr="0092112F">
        <w:rPr>
          <w:rFonts w:cs="Times New Roman"/>
        </w:rPr>
        <w:t>(6), e70015. https://doi.org/10.1002/edn3.70015</w:t>
      </w:r>
    </w:p>
    <w:p w14:paraId="2999E20B" w14:textId="77777777" w:rsidR="0092112F" w:rsidRPr="0092112F" w:rsidRDefault="0092112F" w:rsidP="00DF3B3E">
      <w:pPr>
        <w:pStyle w:val="Bibliography"/>
        <w:rPr>
          <w:rFonts w:cs="Times New Roman"/>
        </w:rPr>
      </w:pPr>
      <w:r w:rsidRPr="0092112F">
        <w:rPr>
          <w:rFonts w:cs="Times New Roman"/>
        </w:rPr>
        <w:t xml:space="preserve">Gloor, G. B., Macklaim, J. M., Pawlowsky-Glahn, V., &amp; Egozcue, J. J. (2017). Microbiome Datasets Are Compositional: And This Is Not Optional. </w:t>
      </w:r>
      <w:r w:rsidRPr="0092112F">
        <w:rPr>
          <w:rFonts w:cs="Times New Roman"/>
          <w:i/>
          <w:iCs/>
        </w:rPr>
        <w:t>Frontiers in Microbiology</w:t>
      </w:r>
      <w:r w:rsidRPr="0092112F">
        <w:rPr>
          <w:rFonts w:cs="Times New Roman"/>
        </w:rPr>
        <w:t xml:space="preserve">, </w:t>
      </w:r>
      <w:r w:rsidRPr="0092112F">
        <w:rPr>
          <w:rFonts w:cs="Times New Roman"/>
          <w:i/>
          <w:iCs/>
        </w:rPr>
        <w:t>8</w:t>
      </w:r>
      <w:r w:rsidRPr="0092112F">
        <w:rPr>
          <w:rFonts w:cs="Times New Roman"/>
        </w:rPr>
        <w:t>, 2224. https://doi.org/10.3389/fmicb.2017.02224</w:t>
      </w:r>
    </w:p>
    <w:p w14:paraId="0F819C16" w14:textId="77777777" w:rsidR="0092112F" w:rsidRPr="0092112F" w:rsidRDefault="0092112F" w:rsidP="00DF3B3E">
      <w:pPr>
        <w:pStyle w:val="Bibliography"/>
        <w:rPr>
          <w:rFonts w:cs="Times New Roman"/>
        </w:rPr>
      </w:pPr>
      <w:r w:rsidRPr="0092112F">
        <w:rPr>
          <w:rFonts w:cs="Times New Roman"/>
        </w:rPr>
        <w:t xml:space="preserve">Gold, Z., Sprague, J., Kushner, D. J., Marin, E. Z., &amp; Barber, P. H. (2021). eDNA metabarcoding as a biomonitoring tool for marine protected areas. </w:t>
      </w:r>
      <w:r w:rsidRPr="0092112F">
        <w:rPr>
          <w:rFonts w:cs="Times New Roman"/>
          <w:i/>
          <w:iCs/>
        </w:rPr>
        <w:t>PLoS ONE</w:t>
      </w:r>
      <w:r w:rsidRPr="0092112F">
        <w:rPr>
          <w:rFonts w:cs="Times New Roman"/>
        </w:rPr>
        <w:t xml:space="preserve">, </w:t>
      </w:r>
      <w:r w:rsidRPr="0092112F">
        <w:rPr>
          <w:rFonts w:cs="Times New Roman"/>
          <w:i/>
          <w:iCs/>
        </w:rPr>
        <w:t>16</w:t>
      </w:r>
      <w:r w:rsidRPr="0092112F">
        <w:rPr>
          <w:rFonts w:cs="Times New Roman"/>
        </w:rPr>
        <w:t>(2 February 2021), 1–19. https://doi.org/10.1371/journal.pone.0238557</w:t>
      </w:r>
    </w:p>
    <w:p w14:paraId="7A4DB488" w14:textId="77777777" w:rsidR="00BD1D03" w:rsidRDefault="00000000">
      <w:pPr>
        <w:pStyle w:val="Bibliography"/>
      </w:pPr>
      <w:r>
        <w:t xml:space="preserve">Guri, G. (2026). </w:t>
      </w:r>
      <w:r>
        <w:rPr>
          <w:i/>
        </w:rPr>
        <w:t>Smart eDNA sampling strategies: Spatial autocorrelation can guide efficient survey design</w:t>
      </w:r>
      <w:r>
        <w:t xml:space="preserve"> [Data set]. Zenodo. https://doi.org/10.5281/zenodo.21141367</w:t>
      </w:r>
    </w:p>
    <w:p w14:paraId="1213BC9F" w14:textId="77777777" w:rsidR="0092112F" w:rsidRPr="0092112F" w:rsidRDefault="0092112F" w:rsidP="00DF3B3E">
      <w:pPr>
        <w:pStyle w:val="Bibliography"/>
        <w:rPr>
          <w:rFonts w:cs="Times New Roman"/>
        </w:rPr>
      </w:pPr>
      <w:r w:rsidRPr="0092112F">
        <w:rPr>
          <w:rFonts w:cs="Times New Roman"/>
        </w:rPr>
        <w:t xml:space="preserve">Guri, G., Liu, O. R., Kelly, R. P., Shaffer, M. R., Parsons, K. M., Ramón-Laca, A., Nichols, K. M., Brandão-Dias, P. F. P., Wells, A., &amp; Shelton, A. O. (2025). </w:t>
      </w:r>
      <w:r w:rsidRPr="0092112F">
        <w:rPr>
          <w:rFonts w:cs="Times New Roman"/>
          <w:i/>
          <w:iCs/>
        </w:rPr>
        <w:t>Quantitative, Multispecies Monitoring at a Continental Scale</w:t>
      </w:r>
      <w:r w:rsidRPr="0092112F">
        <w:rPr>
          <w:rFonts w:cs="Times New Roman"/>
        </w:rPr>
        <w:t>. Ecology. https://doi.org/10.1101/2025.10.30.685180</w:t>
      </w:r>
    </w:p>
    <w:p w14:paraId="1A37D2F1" w14:textId="77777777" w:rsidR="0092112F" w:rsidRPr="0092112F" w:rsidRDefault="0092112F" w:rsidP="00DF3B3E">
      <w:pPr>
        <w:pStyle w:val="Bibliography"/>
        <w:rPr>
          <w:rFonts w:cs="Times New Roman"/>
        </w:rPr>
      </w:pPr>
      <w:r w:rsidRPr="0092112F">
        <w:rPr>
          <w:rFonts w:cs="Times New Roman"/>
        </w:rPr>
        <w:t xml:space="preserve">Guri, G., Shelton, A. O., Kelly, R. P., Yoccoz, N., Johansen, T., Præbel, K., Hanebrekke, T., Ray, J. L., Fall, J., &amp; Westgaard, J.-I. (2024). Predicting trawl catches using environmental DNA. </w:t>
      </w:r>
      <w:r w:rsidRPr="0092112F">
        <w:rPr>
          <w:rFonts w:cs="Times New Roman"/>
          <w:i/>
          <w:iCs/>
        </w:rPr>
        <w:t>ICES Journal of Marine Science</w:t>
      </w:r>
      <w:r w:rsidRPr="0092112F">
        <w:rPr>
          <w:rFonts w:cs="Times New Roman"/>
        </w:rPr>
        <w:t>, fsae097. https://doi.org/10.1093/icesjms/fsae097</w:t>
      </w:r>
    </w:p>
    <w:p w14:paraId="6AA41D59" w14:textId="77777777" w:rsidR="0092112F" w:rsidRPr="0092112F" w:rsidRDefault="0092112F" w:rsidP="00DF3B3E">
      <w:pPr>
        <w:pStyle w:val="Bibliography"/>
        <w:rPr>
          <w:rFonts w:cs="Times New Roman"/>
        </w:rPr>
      </w:pPr>
      <w:r w:rsidRPr="0092112F">
        <w:rPr>
          <w:rFonts w:cs="Times New Roman"/>
        </w:rPr>
        <w:lastRenderedPageBreak/>
        <w:t xml:space="preserve">Jo, T. S., Murakami, H., &amp; Nakadai, R. (2025). Spatial dispersal of environmental DNA particles in lentic and marine ecosystems: An overview and synthesis. </w:t>
      </w:r>
      <w:r w:rsidRPr="0092112F">
        <w:rPr>
          <w:rFonts w:cs="Times New Roman"/>
          <w:i/>
          <w:iCs/>
        </w:rPr>
        <w:t>Ecological Indicators</w:t>
      </w:r>
      <w:r w:rsidRPr="0092112F">
        <w:rPr>
          <w:rFonts w:cs="Times New Roman"/>
        </w:rPr>
        <w:t xml:space="preserve">, </w:t>
      </w:r>
      <w:r w:rsidRPr="0092112F">
        <w:rPr>
          <w:rFonts w:cs="Times New Roman"/>
          <w:i/>
          <w:iCs/>
        </w:rPr>
        <w:t>174</w:t>
      </w:r>
      <w:r w:rsidRPr="0092112F">
        <w:rPr>
          <w:rFonts w:cs="Times New Roman"/>
        </w:rPr>
        <w:t>, 113469. https://doi.org/10.1016/j.ecolind.2025.113469</w:t>
      </w:r>
    </w:p>
    <w:p w14:paraId="3506C935" w14:textId="77777777" w:rsidR="0092112F" w:rsidRPr="0092112F" w:rsidRDefault="0092112F" w:rsidP="00DF3B3E">
      <w:pPr>
        <w:pStyle w:val="Bibliography"/>
        <w:rPr>
          <w:rFonts w:cs="Times New Roman"/>
        </w:rPr>
      </w:pPr>
      <w:r w:rsidRPr="0092112F">
        <w:rPr>
          <w:rFonts w:cs="Times New Roman"/>
        </w:rPr>
        <w:t xml:space="preserve">Kaufman, C. G., &amp; Shaby, B. A. (2013). The role of the range parameter for estimation and prediction in geostatistics. </w:t>
      </w:r>
      <w:r w:rsidRPr="0092112F">
        <w:rPr>
          <w:rFonts w:cs="Times New Roman"/>
          <w:i/>
          <w:iCs/>
        </w:rPr>
        <w:t>Biometrika</w:t>
      </w:r>
      <w:r w:rsidRPr="0092112F">
        <w:rPr>
          <w:rFonts w:cs="Times New Roman"/>
        </w:rPr>
        <w:t xml:space="preserve">, </w:t>
      </w:r>
      <w:r w:rsidRPr="0092112F">
        <w:rPr>
          <w:rFonts w:cs="Times New Roman"/>
          <w:i/>
          <w:iCs/>
        </w:rPr>
        <w:t>100</w:t>
      </w:r>
      <w:r w:rsidRPr="0092112F">
        <w:rPr>
          <w:rFonts w:cs="Times New Roman"/>
        </w:rPr>
        <w:t>(2), 473–484. https://doi.org/10.1093/biomet/ass079</w:t>
      </w:r>
    </w:p>
    <w:p w14:paraId="6061C2FB" w14:textId="77777777" w:rsidR="0092112F" w:rsidRPr="0092112F" w:rsidRDefault="0092112F" w:rsidP="00DF3B3E">
      <w:pPr>
        <w:pStyle w:val="Bibliography"/>
        <w:rPr>
          <w:rFonts w:cs="Times New Roman"/>
        </w:rPr>
      </w:pPr>
      <w:r w:rsidRPr="0092112F">
        <w:rPr>
          <w:rFonts w:cs="Times New Roman"/>
        </w:rPr>
        <w:t xml:space="preserve">Kelly, R. P., Shelton, A. O., &amp; Gallego, R. (2019). Understanding PCR Processes to Draw Meaningful Conclusions from Environmental DNA Studies. </w:t>
      </w:r>
      <w:r w:rsidRPr="0092112F">
        <w:rPr>
          <w:rFonts w:cs="Times New Roman"/>
          <w:i/>
          <w:iCs/>
        </w:rPr>
        <w:t>Scientific Reports</w:t>
      </w:r>
      <w:r w:rsidRPr="0092112F">
        <w:rPr>
          <w:rFonts w:cs="Times New Roman"/>
        </w:rPr>
        <w:t xml:space="preserve">, </w:t>
      </w:r>
      <w:r w:rsidRPr="0092112F">
        <w:rPr>
          <w:rFonts w:cs="Times New Roman"/>
          <w:i/>
          <w:iCs/>
        </w:rPr>
        <w:t>9</w:t>
      </w:r>
      <w:r w:rsidRPr="0092112F">
        <w:rPr>
          <w:rFonts w:cs="Times New Roman"/>
        </w:rPr>
        <w:t>(1), 1–14. https://doi.org/10.1038/s41598-019-48546-x</w:t>
      </w:r>
    </w:p>
    <w:p w14:paraId="2181F106" w14:textId="77777777" w:rsidR="0092112F" w:rsidRPr="0092112F" w:rsidRDefault="0092112F" w:rsidP="00DF3B3E">
      <w:pPr>
        <w:pStyle w:val="Bibliography"/>
        <w:rPr>
          <w:rFonts w:cs="Times New Roman"/>
        </w:rPr>
      </w:pPr>
      <w:r w:rsidRPr="0092112F">
        <w:rPr>
          <w:rFonts w:cs="Times New Roman"/>
        </w:rPr>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sidRPr="0092112F">
        <w:rPr>
          <w:rFonts w:cs="Times New Roman"/>
          <w:i/>
          <w:iCs/>
        </w:rPr>
        <w:t>Environmental DNA</w:t>
      </w:r>
      <w:r w:rsidRPr="0092112F">
        <w:rPr>
          <w:rFonts w:cs="Times New Roman"/>
        </w:rPr>
        <w:t xml:space="preserve">, </w:t>
      </w:r>
      <w:r w:rsidRPr="0092112F">
        <w:rPr>
          <w:rFonts w:cs="Times New Roman"/>
          <w:i/>
          <w:iCs/>
        </w:rPr>
        <w:t>3</w:t>
      </w:r>
      <w:r w:rsidRPr="0092112F">
        <w:rPr>
          <w:rFonts w:cs="Times New Roman"/>
        </w:rPr>
        <w:t>(6), 1142–1155. https://doi.org/10.1002/edn3.236</w:t>
      </w:r>
    </w:p>
    <w:p w14:paraId="110844DB" w14:textId="77777777" w:rsidR="0092112F" w:rsidRPr="0092112F" w:rsidRDefault="0092112F" w:rsidP="00DF3B3E">
      <w:pPr>
        <w:pStyle w:val="Bibliography"/>
        <w:rPr>
          <w:rFonts w:cs="Times New Roman"/>
        </w:rPr>
      </w:pPr>
      <w:r w:rsidRPr="0092112F">
        <w:rPr>
          <w:rFonts w:cs="Times New Roman"/>
        </w:rPr>
        <w:t xml:space="preserve">Laroche, F. (2024). Efficient sampling designs to assess biodiversity spatial autocorrelation: Should we go fractal? </w:t>
      </w:r>
      <w:r w:rsidRPr="0092112F">
        <w:rPr>
          <w:rFonts w:cs="Times New Roman"/>
          <w:i/>
          <w:iCs/>
        </w:rPr>
        <w:t>Peer Community Journal</w:t>
      </w:r>
      <w:r w:rsidRPr="0092112F">
        <w:rPr>
          <w:rFonts w:cs="Times New Roman"/>
        </w:rPr>
        <w:t xml:space="preserve">, </w:t>
      </w:r>
      <w:r w:rsidRPr="0092112F">
        <w:rPr>
          <w:rFonts w:cs="Times New Roman"/>
          <w:i/>
          <w:iCs/>
        </w:rPr>
        <w:t>4</w:t>
      </w:r>
      <w:r w:rsidRPr="0092112F">
        <w:rPr>
          <w:rFonts w:cs="Times New Roman"/>
        </w:rPr>
        <w:t>, e76. https://doi.org/10.24072/pcjournal.454</w:t>
      </w:r>
    </w:p>
    <w:p w14:paraId="05463897" w14:textId="77777777" w:rsidR="0092112F" w:rsidRPr="0092112F" w:rsidRDefault="0092112F" w:rsidP="00DF3B3E">
      <w:pPr>
        <w:pStyle w:val="Bibliography"/>
        <w:rPr>
          <w:rFonts w:cs="Times New Roman"/>
        </w:rPr>
      </w:pPr>
      <w:r w:rsidRPr="0092112F">
        <w:rPr>
          <w:rFonts w:cs="Times New Roman"/>
        </w:rPr>
        <w:t xml:space="preserve">Lewy, P., &amp; Kristensen, K. (2009). Modelling the distribution of fish accounting for spatial correlation and overdispersion. </w:t>
      </w:r>
      <w:r w:rsidRPr="0092112F">
        <w:rPr>
          <w:rFonts w:cs="Times New Roman"/>
          <w:i/>
          <w:iCs/>
        </w:rPr>
        <w:t>Canadian Journal of Fisheries and Aquatic Sciences</w:t>
      </w:r>
      <w:r w:rsidRPr="0092112F">
        <w:rPr>
          <w:rFonts w:cs="Times New Roman"/>
        </w:rPr>
        <w:t xml:space="preserve">, </w:t>
      </w:r>
      <w:r w:rsidRPr="0092112F">
        <w:rPr>
          <w:rFonts w:cs="Times New Roman"/>
          <w:i/>
          <w:iCs/>
        </w:rPr>
        <w:t>66</w:t>
      </w:r>
      <w:r w:rsidRPr="0092112F">
        <w:rPr>
          <w:rFonts w:cs="Times New Roman"/>
        </w:rPr>
        <w:t>(10), 1809–1820. https://doi.org/10.1139/F09-114</w:t>
      </w:r>
    </w:p>
    <w:p w14:paraId="71F5A0B7" w14:textId="77777777" w:rsidR="0092112F" w:rsidRPr="0092112F" w:rsidRDefault="0092112F" w:rsidP="00DF3B3E">
      <w:pPr>
        <w:pStyle w:val="Bibliography"/>
        <w:rPr>
          <w:rFonts w:cs="Times New Roman"/>
        </w:rPr>
      </w:pPr>
      <w:r w:rsidRPr="0092112F">
        <w:rPr>
          <w:rFonts w:cs="Times New Roman"/>
        </w:rPr>
        <w:t xml:space="preserve">Liu, O. R., Shelton, A. O., Ramón-Laca, A., Nichols, K. M., Ward, E. J., Phillips, E. M., Zamon, J. E., Wells, A., &amp; Kelly, R. P. (2026). Mapping the marine distribution of eulachon </w:t>
      </w:r>
      <w:r w:rsidRPr="0092112F">
        <w:rPr>
          <w:rFonts w:cs="Times New Roman"/>
        </w:rPr>
        <w:lastRenderedPageBreak/>
        <w:t xml:space="preserve">(Thaleichthys pacificus) in the Northeast Pacific using environmental DNA. </w:t>
      </w:r>
      <w:r w:rsidRPr="0092112F">
        <w:rPr>
          <w:rFonts w:cs="Times New Roman"/>
          <w:i/>
          <w:iCs/>
        </w:rPr>
        <w:t>Communications Biology</w:t>
      </w:r>
      <w:r w:rsidRPr="0092112F">
        <w:rPr>
          <w:rFonts w:cs="Times New Roman"/>
        </w:rPr>
        <w:t xml:space="preserve">, </w:t>
      </w:r>
      <w:r w:rsidRPr="0092112F">
        <w:rPr>
          <w:rFonts w:cs="Times New Roman"/>
          <w:i/>
          <w:iCs/>
        </w:rPr>
        <w:t>9</w:t>
      </w:r>
      <w:r w:rsidRPr="0092112F">
        <w:rPr>
          <w:rFonts w:cs="Times New Roman"/>
        </w:rPr>
        <w:t>(1), 465. https://doi.org/10.1038/s42003-026-09733-5</w:t>
      </w:r>
    </w:p>
    <w:p w14:paraId="77237E98" w14:textId="77777777" w:rsidR="0092112F" w:rsidRPr="0092112F" w:rsidRDefault="0092112F" w:rsidP="00DF3B3E">
      <w:pPr>
        <w:pStyle w:val="Bibliography"/>
        <w:rPr>
          <w:rFonts w:cs="Times New Roman"/>
        </w:rPr>
      </w:pPr>
      <w:r w:rsidRPr="0092112F">
        <w:rPr>
          <w:rFonts w:cs="Times New Roman"/>
        </w:rPr>
        <w:t xml:space="preserve">Paciorek, C. J. (2010). The Importance of Scale for Spatial-Confounding Bias and Precision of Spatial Regression Estimators. </w:t>
      </w:r>
      <w:r w:rsidRPr="0092112F">
        <w:rPr>
          <w:rFonts w:cs="Times New Roman"/>
          <w:i/>
          <w:iCs/>
        </w:rPr>
        <w:t>Statistical Science</w:t>
      </w:r>
      <w:r w:rsidRPr="0092112F">
        <w:rPr>
          <w:rFonts w:cs="Times New Roman"/>
        </w:rPr>
        <w:t xml:space="preserve">, </w:t>
      </w:r>
      <w:r w:rsidRPr="0092112F">
        <w:rPr>
          <w:rFonts w:cs="Times New Roman"/>
          <w:i/>
          <w:iCs/>
        </w:rPr>
        <w:t>25</w:t>
      </w:r>
      <w:r w:rsidRPr="0092112F">
        <w:rPr>
          <w:rFonts w:cs="Times New Roman"/>
        </w:rPr>
        <w:t>(1). https://doi.org/10.1214/10-STS326</w:t>
      </w:r>
    </w:p>
    <w:p w14:paraId="27BC7FA3" w14:textId="77777777" w:rsidR="0092112F" w:rsidRPr="0092112F" w:rsidRDefault="0092112F" w:rsidP="00DF3B3E">
      <w:pPr>
        <w:pStyle w:val="Bibliography"/>
        <w:rPr>
          <w:rFonts w:cs="Times New Roman"/>
        </w:rPr>
      </w:pPr>
      <w:r w:rsidRPr="0092112F">
        <w:rPr>
          <w:rFonts w:cs="Times New Roman"/>
        </w:rPr>
        <w:t xml:space="preserve">Paciorek, C. J., &amp; Schervish, M. J. (2006). Spatial modelling using a new class of nonstationary covariance functions. </w:t>
      </w:r>
      <w:r w:rsidRPr="0092112F">
        <w:rPr>
          <w:rFonts w:cs="Times New Roman"/>
          <w:i/>
          <w:iCs/>
        </w:rPr>
        <w:t>Environmetrics</w:t>
      </w:r>
      <w:r w:rsidRPr="0092112F">
        <w:rPr>
          <w:rFonts w:cs="Times New Roman"/>
        </w:rPr>
        <w:t xml:space="preserve">, </w:t>
      </w:r>
      <w:r w:rsidRPr="0092112F">
        <w:rPr>
          <w:rFonts w:cs="Times New Roman"/>
          <w:i/>
          <w:iCs/>
        </w:rPr>
        <w:t>17</w:t>
      </w:r>
      <w:r w:rsidRPr="0092112F">
        <w:rPr>
          <w:rFonts w:cs="Times New Roman"/>
        </w:rPr>
        <w:t>(5), 483–506. https://doi.org/10.1002/env.785</w:t>
      </w:r>
    </w:p>
    <w:p w14:paraId="057951C8" w14:textId="77777777" w:rsidR="0092112F" w:rsidRPr="0092112F" w:rsidRDefault="0092112F" w:rsidP="00DF3B3E">
      <w:pPr>
        <w:pStyle w:val="Bibliography"/>
        <w:rPr>
          <w:rFonts w:cs="Times New Roman"/>
        </w:rPr>
      </w:pPr>
      <w:r w:rsidRPr="0092112F">
        <w:rPr>
          <w:rFonts w:cs="Times New Roman"/>
        </w:rPr>
        <w:t xml:space="preserve">Perkins, N. R., Prall, M., Chakraborty, A., White, J. W., Baskett, M. L., &amp; Morgan, S. G. (2021). Quantifying the statistical power of monitoring programs for marine protected areas. </w:t>
      </w:r>
      <w:r w:rsidRPr="0092112F">
        <w:rPr>
          <w:rFonts w:cs="Times New Roman"/>
          <w:i/>
          <w:iCs/>
        </w:rPr>
        <w:t>Ecological Applications</w:t>
      </w:r>
      <w:r w:rsidRPr="0092112F">
        <w:rPr>
          <w:rFonts w:cs="Times New Roman"/>
        </w:rPr>
        <w:t xml:space="preserve">, </w:t>
      </w:r>
      <w:r w:rsidRPr="0092112F">
        <w:rPr>
          <w:rFonts w:cs="Times New Roman"/>
          <w:i/>
          <w:iCs/>
        </w:rPr>
        <w:t>31</w:t>
      </w:r>
      <w:r w:rsidRPr="0092112F">
        <w:rPr>
          <w:rFonts w:cs="Times New Roman"/>
        </w:rPr>
        <w:t>(1), e2215. https://doi.org/10.1002/eap.2215</w:t>
      </w:r>
    </w:p>
    <w:p w14:paraId="1A4316A9" w14:textId="77777777" w:rsidR="0092112F" w:rsidRPr="0092112F" w:rsidRDefault="0092112F" w:rsidP="00DF3B3E">
      <w:pPr>
        <w:pStyle w:val="Bibliography"/>
        <w:rPr>
          <w:rFonts w:cs="Times New Roman"/>
        </w:rPr>
      </w:pPr>
      <w:r w:rsidRPr="0092112F">
        <w:rPr>
          <w:rFonts w:cs="Times New Roman"/>
        </w:rPr>
        <w:t xml:space="preserve">Perret, J., Charpentier, A., Pradel, R., Papuga, G., &amp; Besnard, A. (2022). Spatially balanced sampling methods are always more precise than random ones for estimating the size of aggregated populations. </w:t>
      </w:r>
      <w:r w:rsidRPr="0092112F">
        <w:rPr>
          <w:rFonts w:cs="Times New Roman"/>
          <w:i/>
          <w:iCs/>
        </w:rPr>
        <w:t>Methods in Ecology and Evolution</w:t>
      </w:r>
      <w:r w:rsidRPr="0092112F">
        <w:rPr>
          <w:rFonts w:cs="Times New Roman"/>
        </w:rPr>
        <w:t xml:space="preserve">, </w:t>
      </w:r>
      <w:r w:rsidRPr="0092112F">
        <w:rPr>
          <w:rFonts w:cs="Times New Roman"/>
          <w:i/>
          <w:iCs/>
        </w:rPr>
        <w:t>13</w:t>
      </w:r>
      <w:r w:rsidRPr="0092112F">
        <w:rPr>
          <w:rFonts w:cs="Times New Roman"/>
        </w:rPr>
        <w:t>(12), 2743–2756. https://doi.org/10.1111/2041-210X.14015</w:t>
      </w:r>
    </w:p>
    <w:p w14:paraId="1AC9234B" w14:textId="77777777" w:rsidR="00BD1D03" w:rsidRDefault="00000000">
      <w:pPr>
        <w:pStyle w:val="Bibliography"/>
      </w:pPr>
      <w:r>
        <w:t xml:space="preserve">R Core Team. (2024). </w:t>
      </w:r>
      <w:r>
        <w:rPr>
          <w:i/>
        </w:rPr>
        <w:t>R: A language and environment for statistical computing</w:t>
      </w:r>
      <w:r>
        <w:t>. R Foundation for Statistical Computing, Vienna, Austria. https://www.R-project.org/</w:t>
      </w:r>
    </w:p>
    <w:p w14:paraId="315BBC2E" w14:textId="77777777" w:rsidR="0092112F" w:rsidRPr="0092112F" w:rsidRDefault="0092112F" w:rsidP="00DF3B3E">
      <w:pPr>
        <w:pStyle w:val="Bibliography"/>
        <w:rPr>
          <w:rFonts w:cs="Times New Roman"/>
        </w:rPr>
      </w:pPr>
      <w:r w:rsidRPr="0092112F">
        <w:rPr>
          <w:rFonts w:cs="Times New Roman"/>
        </w:rPr>
        <w:t xml:space="preserve">Radinger, J., Britton, J. R., Carlson, S. M., Magurran, A. E., Alcaraz‐Hernández, J. D., Almodóvar, A., Benejam, L., Fernández‐Delgado, C., Nicola, G. G., Oliva‐Paterna, F. J., Torralva, M., &amp; García‐Berthou, E. (2019). Effective monitoring of freshwater fish. </w:t>
      </w:r>
      <w:r w:rsidRPr="0092112F">
        <w:rPr>
          <w:rFonts w:cs="Times New Roman"/>
          <w:i/>
          <w:iCs/>
        </w:rPr>
        <w:t>Fish and Fisheries</w:t>
      </w:r>
      <w:r w:rsidRPr="0092112F">
        <w:rPr>
          <w:rFonts w:cs="Times New Roman"/>
        </w:rPr>
        <w:t xml:space="preserve">, </w:t>
      </w:r>
      <w:r w:rsidRPr="0092112F">
        <w:rPr>
          <w:rFonts w:cs="Times New Roman"/>
          <w:i/>
          <w:iCs/>
        </w:rPr>
        <w:t>20</w:t>
      </w:r>
      <w:r w:rsidRPr="0092112F">
        <w:rPr>
          <w:rFonts w:cs="Times New Roman"/>
        </w:rPr>
        <w:t>(4), 729–747. https://doi.org/10.1111/faf.12373</w:t>
      </w:r>
    </w:p>
    <w:p w14:paraId="274EF293" w14:textId="77777777" w:rsidR="0092112F" w:rsidRPr="0092112F" w:rsidRDefault="0092112F" w:rsidP="00DF3B3E">
      <w:pPr>
        <w:pStyle w:val="Bibliography"/>
        <w:rPr>
          <w:rFonts w:cs="Times New Roman"/>
        </w:rPr>
      </w:pPr>
      <w:r w:rsidRPr="0092112F">
        <w:rPr>
          <w:rFonts w:cs="Times New Roman"/>
        </w:rPr>
        <w:t xml:space="preserve">Redfern, J., Ferguson, M., Becker, E., Hyrenbach, K., Good, C., Barlow, J., Kaschner, K., Baumgartner, M., Forney, K., Ballance, L., Fauchald, P., Halpin, P., Hamazaki, T., Pershing, A., Qian, S., Read, A., Reilly, S., Torres, L., &amp; Werne, F. (2006). Techniques </w:t>
      </w:r>
      <w:r w:rsidRPr="0092112F">
        <w:rPr>
          <w:rFonts w:cs="Times New Roman"/>
        </w:rPr>
        <w:lastRenderedPageBreak/>
        <w:t xml:space="preserve">for cetaceanhabitat modeling. </w:t>
      </w:r>
      <w:r w:rsidRPr="0092112F">
        <w:rPr>
          <w:rFonts w:cs="Times New Roman"/>
          <w:i/>
          <w:iCs/>
        </w:rPr>
        <w:t>Marine Ecology Progress Series</w:t>
      </w:r>
      <w:r w:rsidRPr="0092112F">
        <w:rPr>
          <w:rFonts w:cs="Times New Roman"/>
        </w:rPr>
        <w:t xml:space="preserve">, </w:t>
      </w:r>
      <w:r w:rsidRPr="0092112F">
        <w:rPr>
          <w:rFonts w:cs="Times New Roman"/>
          <w:i/>
          <w:iCs/>
        </w:rPr>
        <w:t>310</w:t>
      </w:r>
      <w:r w:rsidRPr="0092112F">
        <w:rPr>
          <w:rFonts w:cs="Times New Roman"/>
        </w:rPr>
        <w:t>, 271–295. https://doi.org/10.3354/meps310271</w:t>
      </w:r>
    </w:p>
    <w:p w14:paraId="1ABCBE48" w14:textId="77777777" w:rsidR="0092112F" w:rsidRPr="0092112F" w:rsidRDefault="0092112F" w:rsidP="00DF3B3E">
      <w:pPr>
        <w:pStyle w:val="Bibliography"/>
        <w:rPr>
          <w:rFonts w:cs="Times New Roman"/>
        </w:rPr>
      </w:pPr>
      <w:r w:rsidRPr="0092112F">
        <w:rPr>
          <w:rFonts w:cs="Times New Roman"/>
        </w:rPr>
        <w:t xml:space="preserve">Rocha, A. D., Groen, T. A., Skidmore, A. K., &amp; Willemen, L. (2021). Role of Sampling Design When Predicting Spatially Dependent Ecological Data With Remote Sensing. </w:t>
      </w:r>
      <w:r w:rsidRPr="0092112F">
        <w:rPr>
          <w:rFonts w:cs="Times New Roman"/>
          <w:i/>
          <w:iCs/>
        </w:rPr>
        <w:t>IEEE Transactions on Geoscience and Remote Sensing</w:t>
      </w:r>
      <w:r w:rsidRPr="0092112F">
        <w:rPr>
          <w:rFonts w:cs="Times New Roman"/>
        </w:rPr>
        <w:t xml:space="preserve">, </w:t>
      </w:r>
      <w:r w:rsidRPr="0092112F">
        <w:rPr>
          <w:rFonts w:cs="Times New Roman"/>
          <w:i/>
          <w:iCs/>
        </w:rPr>
        <w:t>59</w:t>
      </w:r>
      <w:r w:rsidRPr="0092112F">
        <w:rPr>
          <w:rFonts w:cs="Times New Roman"/>
        </w:rPr>
        <w:t>(1), 663–674. https://doi.org/10.1109/TGRS.2020.2989216</w:t>
      </w:r>
    </w:p>
    <w:p w14:paraId="55DC9191" w14:textId="77777777" w:rsidR="0092112F" w:rsidRPr="0092112F" w:rsidRDefault="0092112F" w:rsidP="00DF3B3E">
      <w:pPr>
        <w:pStyle w:val="Bibliography"/>
        <w:rPr>
          <w:rFonts w:cs="Times New Roman"/>
        </w:rPr>
      </w:pPr>
      <w:r w:rsidRPr="0092112F">
        <w:rPr>
          <w:rFonts w:cs="Times New Roman"/>
        </w:rPr>
        <w:t xml:space="preserve">Salter, I., Brandner, M., Djurhuus, A., Præbel, K., &amp; Wangensteen, O. (2026). Comparison of Environmental </w:t>
      </w:r>
      <w:r w:rsidRPr="0092112F">
        <w:rPr>
          <w:rFonts w:cs="Times New Roman"/>
          <w:smallCaps/>
        </w:rPr>
        <w:t>DNA</w:t>
      </w:r>
      <w:r w:rsidRPr="0092112F">
        <w:rPr>
          <w:rFonts w:cs="Times New Roman"/>
        </w:rPr>
        <w:t xml:space="preserve"> Metabarcoding and Trawl Data Highlights Gear Selectivity of Marine Demersal Fish Surveys on the Faroese Plateau. </w:t>
      </w:r>
      <w:r w:rsidRPr="0092112F">
        <w:rPr>
          <w:rFonts w:cs="Times New Roman"/>
          <w:i/>
          <w:iCs/>
        </w:rPr>
        <w:t>Environmental DNA</w:t>
      </w:r>
      <w:r w:rsidRPr="0092112F">
        <w:rPr>
          <w:rFonts w:cs="Times New Roman"/>
        </w:rPr>
        <w:t xml:space="preserve">, </w:t>
      </w:r>
      <w:r w:rsidRPr="0092112F">
        <w:rPr>
          <w:rFonts w:cs="Times New Roman"/>
          <w:i/>
          <w:iCs/>
        </w:rPr>
        <w:t>8</w:t>
      </w:r>
      <w:r w:rsidRPr="0092112F">
        <w:rPr>
          <w:rFonts w:cs="Times New Roman"/>
        </w:rPr>
        <w:t>(2), e70253. https://doi.org/10.1002/edn3.70253</w:t>
      </w:r>
    </w:p>
    <w:p w14:paraId="09C95779" w14:textId="77777777" w:rsidR="0092112F" w:rsidRPr="0092112F" w:rsidRDefault="0092112F" w:rsidP="00DF3B3E">
      <w:pPr>
        <w:pStyle w:val="Bibliography"/>
        <w:rPr>
          <w:rFonts w:cs="Times New Roman"/>
        </w:rPr>
      </w:pPr>
      <w:r w:rsidRPr="0092112F">
        <w:rPr>
          <w:rFonts w:cs="Times New Roman"/>
        </w:rPr>
        <w:t xml:space="preserve">Schweiger, A. H., Irl, S. D. H., Steinbauer, M. J., Dengler, J., &amp; Beierkuhnlein, C. (2016). Optimizing sampling approaches along ecological gradients. </w:t>
      </w:r>
      <w:r w:rsidRPr="0092112F">
        <w:rPr>
          <w:rFonts w:cs="Times New Roman"/>
          <w:i/>
          <w:iCs/>
        </w:rPr>
        <w:t>Methods in Ecology and Evolution</w:t>
      </w:r>
      <w:r w:rsidRPr="0092112F">
        <w:rPr>
          <w:rFonts w:cs="Times New Roman"/>
        </w:rPr>
        <w:t xml:space="preserve">, </w:t>
      </w:r>
      <w:r w:rsidRPr="0092112F">
        <w:rPr>
          <w:rFonts w:cs="Times New Roman"/>
          <w:i/>
          <w:iCs/>
        </w:rPr>
        <w:t>7</w:t>
      </w:r>
      <w:r w:rsidRPr="0092112F">
        <w:rPr>
          <w:rFonts w:cs="Times New Roman"/>
        </w:rPr>
        <w:t>(4), 463–471. https://doi.org/10.1111/2041-210X.12495</w:t>
      </w:r>
    </w:p>
    <w:p w14:paraId="0C2D70BC" w14:textId="77777777" w:rsidR="0092112F" w:rsidRPr="0092112F" w:rsidRDefault="0092112F" w:rsidP="00DF3B3E">
      <w:pPr>
        <w:pStyle w:val="Bibliography"/>
        <w:rPr>
          <w:rFonts w:cs="Times New Roman"/>
        </w:rPr>
      </w:pPr>
      <w:r w:rsidRPr="0092112F">
        <w:rPr>
          <w:rFonts w:cs="Times New Roman"/>
        </w:rPr>
        <w:t xml:space="preserve">Shaffer, M. R., Andruszkiewicz Allan, E., Van Cise, A. M., Parsons, K. M., Shelton, A. O., &amp; Kelly, R. P. (2025). Observation Bias in Metabarcoding. </w:t>
      </w:r>
      <w:r w:rsidRPr="0092112F">
        <w:rPr>
          <w:rFonts w:cs="Times New Roman"/>
          <w:i/>
          <w:iCs/>
        </w:rPr>
        <w:t>Molecular Ecology Resources</w:t>
      </w:r>
      <w:r w:rsidRPr="0092112F">
        <w:rPr>
          <w:rFonts w:cs="Times New Roman"/>
        </w:rPr>
        <w:t xml:space="preserve">, </w:t>
      </w:r>
      <w:r w:rsidRPr="0092112F">
        <w:rPr>
          <w:rFonts w:cs="Times New Roman"/>
          <w:i/>
          <w:iCs/>
        </w:rPr>
        <w:t>25</w:t>
      </w:r>
      <w:r w:rsidRPr="0092112F">
        <w:rPr>
          <w:rFonts w:cs="Times New Roman"/>
        </w:rPr>
        <w:t>(7), e14119. https://doi.org/10.1111/1755-0998.14119</w:t>
      </w:r>
    </w:p>
    <w:p w14:paraId="464AA37B" w14:textId="77777777" w:rsidR="0092112F" w:rsidRPr="0092112F" w:rsidRDefault="0092112F" w:rsidP="00DF3B3E">
      <w:pPr>
        <w:pStyle w:val="Bibliography"/>
        <w:rPr>
          <w:rFonts w:cs="Times New Roman"/>
        </w:rPr>
      </w:pPr>
      <w:r w:rsidRPr="0092112F">
        <w:rPr>
          <w:rFonts w:cs="Times New Roman"/>
        </w:rPr>
        <w:t xml:space="preserve">Shelton, A. O., Ramón-Laca, A., Wells, A., Clemons, J., Chu, D., Feist, B. E., Kelly, R. P., Parker-Stetter, S. L., Thomas, R., Nichols, K. M., &amp; Park, L. (2022). Environmental DNA provides quantitative estimates of Pacific hake abundance and distribution in the open ocean. </w:t>
      </w:r>
      <w:r w:rsidRPr="0092112F">
        <w:rPr>
          <w:rFonts w:cs="Times New Roman"/>
          <w:i/>
          <w:iCs/>
        </w:rPr>
        <w:t>Proceedings of the Royal Society B: Biological Sciences</w:t>
      </w:r>
      <w:r w:rsidRPr="0092112F">
        <w:rPr>
          <w:rFonts w:cs="Times New Roman"/>
        </w:rPr>
        <w:t xml:space="preserve">, </w:t>
      </w:r>
      <w:r w:rsidRPr="0092112F">
        <w:rPr>
          <w:rFonts w:cs="Times New Roman"/>
          <w:i/>
          <w:iCs/>
        </w:rPr>
        <w:t>289</w:t>
      </w:r>
      <w:r w:rsidRPr="0092112F">
        <w:rPr>
          <w:rFonts w:cs="Times New Roman"/>
        </w:rPr>
        <w:t>(1971), 20212613. https://doi.org/https://doi.org/10.1098/rspb.2021.2613</w:t>
      </w:r>
    </w:p>
    <w:p w14:paraId="386E6E97" w14:textId="77777777" w:rsidR="0092112F" w:rsidRPr="0092112F" w:rsidRDefault="0092112F" w:rsidP="00DF3B3E">
      <w:pPr>
        <w:pStyle w:val="Bibliography"/>
        <w:rPr>
          <w:rFonts w:cs="Times New Roman"/>
        </w:rPr>
      </w:pPr>
      <w:r w:rsidRPr="0092112F">
        <w:rPr>
          <w:rFonts w:cs="Times New Roman"/>
        </w:rPr>
        <w:t xml:space="preserve">Stan Development Team. (2023). </w:t>
      </w:r>
      <w:r w:rsidRPr="0092112F">
        <w:rPr>
          <w:rFonts w:cs="Times New Roman"/>
          <w:i/>
          <w:iCs/>
        </w:rPr>
        <w:t>Stan Modeling Language Users Guide and Reference Manual</w:t>
      </w:r>
      <w:r w:rsidRPr="0092112F">
        <w:rPr>
          <w:rFonts w:cs="Times New Roman"/>
        </w:rPr>
        <w:t xml:space="preserve"> (Version 2.26.1) [Computer software]. https://mc-stan.org/</w:t>
      </w:r>
    </w:p>
    <w:p w14:paraId="7F956693" w14:textId="77777777" w:rsidR="0092112F" w:rsidRPr="0092112F" w:rsidRDefault="0092112F" w:rsidP="00DF3B3E">
      <w:pPr>
        <w:pStyle w:val="Bibliography"/>
        <w:rPr>
          <w:rFonts w:cs="Times New Roman"/>
        </w:rPr>
      </w:pPr>
      <w:r w:rsidRPr="0092112F">
        <w:rPr>
          <w:rFonts w:cs="Times New Roman"/>
        </w:rPr>
        <w:lastRenderedPageBreak/>
        <w:t xml:space="preserve">Stein, A., &amp; Ettema, C. (2003). An overview of spatial sampling procedures and experimental design of spatial studies for ecosystem comparisons. </w:t>
      </w:r>
      <w:r w:rsidRPr="0092112F">
        <w:rPr>
          <w:rFonts w:cs="Times New Roman"/>
          <w:i/>
          <w:iCs/>
        </w:rPr>
        <w:t>Agriculture, Ecosystems &amp; Environment</w:t>
      </w:r>
      <w:r w:rsidRPr="0092112F">
        <w:rPr>
          <w:rFonts w:cs="Times New Roman"/>
        </w:rPr>
        <w:t xml:space="preserve">, </w:t>
      </w:r>
      <w:r w:rsidRPr="0092112F">
        <w:rPr>
          <w:rFonts w:cs="Times New Roman"/>
          <w:i/>
          <w:iCs/>
        </w:rPr>
        <w:t>94</w:t>
      </w:r>
      <w:r w:rsidRPr="0092112F">
        <w:rPr>
          <w:rFonts w:cs="Times New Roman"/>
        </w:rPr>
        <w:t>(1), 31–47. https://doi.org/10.1016/S0167-8809(02)00013-0</w:t>
      </w:r>
    </w:p>
    <w:p w14:paraId="218D1FCC" w14:textId="77777777" w:rsidR="0092112F" w:rsidRPr="0092112F" w:rsidRDefault="0092112F" w:rsidP="00DF3B3E">
      <w:pPr>
        <w:pStyle w:val="Bibliography"/>
        <w:rPr>
          <w:rFonts w:cs="Times New Roman"/>
        </w:rPr>
      </w:pPr>
      <w:r w:rsidRPr="0092112F">
        <w:rPr>
          <w:rFonts w:cs="Times New Roman"/>
        </w:rPr>
        <w:t xml:space="preserve">Taberlet, P., Coissac, E., Hajibabaei, M., &amp; Rieseberg, L. H. (2012). Environmental DNA. </w:t>
      </w:r>
      <w:r w:rsidRPr="0092112F">
        <w:rPr>
          <w:rFonts w:cs="Times New Roman"/>
          <w:i/>
          <w:iCs/>
        </w:rPr>
        <w:t>Molecular Ecology</w:t>
      </w:r>
      <w:r w:rsidRPr="0092112F">
        <w:rPr>
          <w:rFonts w:cs="Times New Roman"/>
        </w:rPr>
        <w:t xml:space="preserve">, </w:t>
      </w:r>
      <w:r w:rsidRPr="0092112F">
        <w:rPr>
          <w:rFonts w:cs="Times New Roman"/>
          <w:i/>
          <w:iCs/>
        </w:rPr>
        <w:t>21</w:t>
      </w:r>
      <w:r w:rsidRPr="0092112F">
        <w:rPr>
          <w:rFonts w:cs="Times New Roman"/>
        </w:rPr>
        <w:t>(8), 1789–1793. https://doi.org/10.1111/j.1365-294X.2012.05542.x</w:t>
      </w:r>
    </w:p>
    <w:p w14:paraId="3E099B78" w14:textId="77777777" w:rsidR="0092112F" w:rsidRPr="0092112F" w:rsidRDefault="0092112F" w:rsidP="00DF3B3E">
      <w:pPr>
        <w:pStyle w:val="Bibliography"/>
        <w:rPr>
          <w:rFonts w:cs="Times New Roman"/>
        </w:rPr>
      </w:pPr>
      <w:r w:rsidRPr="0092112F">
        <w:rPr>
          <w:rFonts w:cs="Times New Roman"/>
        </w:rPr>
        <w:t xml:space="preserve">Thorson, J. T., Shelton, A. O., Ward, E. J., &amp; Skaug, H. J. (2015). Geostatistical delta-generalized linear mixed models improve precision for estimated abundance indices for West Coast groundfishes. </w:t>
      </w:r>
      <w:r w:rsidRPr="0092112F">
        <w:rPr>
          <w:rFonts w:cs="Times New Roman"/>
          <w:i/>
          <w:iCs/>
        </w:rPr>
        <w:t>ICES Journal of Marine Science</w:t>
      </w:r>
      <w:r w:rsidRPr="0092112F">
        <w:rPr>
          <w:rFonts w:cs="Times New Roman"/>
        </w:rPr>
        <w:t xml:space="preserve">, </w:t>
      </w:r>
      <w:r w:rsidRPr="0092112F">
        <w:rPr>
          <w:rFonts w:cs="Times New Roman"/>
          <w:i/>
          <w:iCs/>
        </w:rPr>
        <w:t>72</w:t>
      </w:r>
      <w:r w:rsidRPr="0092112F">
        <w:rPr>
          <w:rFonts w:cs="Times New Roman"/>
        </w:rPr>
        <w:t>(5), 1297–1310. https://doi.org/10.1093/icesjms/fsu243</w:t>
      </w:r>
    </w:p>
    <w:p w14:paraId="119E1394" w14:textId="77777777" w:rsidR="0092112F" w:rsidRPr="0092112F" w:rsidRDefault="0092112F" w:rsidP="00DF3B3E">
      <w:pPr>
        <w:pStyle w:val="Bibliography"/>
        <w:rPr>
          <w:rFonts w:cs="Times New Roman"/>
        </w:rPr>
      </w:pPr>
      <w:r w:rsidRPr="0092112F">
        <w:rPr>
          <w:rFonts w:cs="Times New Roman"/>
        </w:rPr>
        <w:t xml:space="preserve">Wagner, H. H., &amp; Fortin, M.-J. (2005). Spatial analysis of landscapes: Concepts and statistics. </w:t>
      </w:r>
      <w:r w:rsidRPr="0092112F">
        <w:rPr>
          <w:rFonts w:cs="Times New Roman"/>
          <w:i/>
          <w:iCs/>
        </w:rPr>
        <w:t>Ecology</w:t>
      </w:r>
      <w:r w:rsidRPr="0092112F">
        <w:rPr>
          <w:rFonts w:cs="Times New Roman"/>
        </w:rPr>
        <w:t xml:space="preserve">, </w:t>
      </w:r>
      <w:r w:rsidRPr="0092112F">
        <w:rPr>
          <w:rFonts w:cs="Times New Roman"/>
          <w:i/>
          <w:iCs/>
        </w:rPr>
        <w:t>86</w:t>
      </w:r>
      <w:r w:rsidRPr="0092112F">
        <w:rPr>
          <w:rFonts w:cs="Times New Roman"/>
        </w:rPr>
        <w:t>(8), 1975–1987. https://doi.org/10.1890/04-0914</w:t>
      </w:r>
    </w:p>
    <w:p w14:paraId="7861C517" w14:textId="77777777" w:rsidR="0092112F" w:rsidRPr="0092112F" w:rsidRDefault="0092112F" w:rsidP="00DF3B3E">
      <w:pPr>
        <w:pStyle w:val="Bibliography"/>
        <w:rPr>
          <w:rFonts w:cs="Times New Roman"/>
        </w:rPr>
      </w:pPr>
      <w:r w:rsidRPr="0092112F">
        <w:rPr>
          <w:rFonts w:cs="Times New Roman"/>
        </w:rPr>
        <w:t xml:space="preserve">Xu, B., Zhang, C., Xue, Y., Ren, Y., &amp; Chen, Y. (2015). Optimization of sampling effort for a fishery-independent survey with multiple goals. </w:t>
      </w:r>
      <w:r w:rsidRPr="0092112F">
        <w:rPr>
          <w:rFonts w:cs="Times New Roman"/>
          <w:i/>
          <w:iCs/>
        </w:rPr>
        <w:t>Environmental Monitoring and Assessment</w:t>
      </w:r>
      <w:r w:rsidRPr="0092112F">
        <w:rPr>
          <w:rFonts w:cs="Times New Roman"/>
        </w:rPr>
        <w:t xml:space="preserve">, </w:t>
      </w:r>
      <w:r w:rsidRPr="0092112F">
        <w:rPr>
          <w:rFonts w:cs="Times New Roman"/>
          <w:i/>
          <w:iCs/>
        </w:rPr>
        <w:t>187</w:t>
      </w:r>
      <w:r w:rsidRPr="0092112F">
        <w:rPr>
          <w:rFonts w:cs="Times New Roman"/>
        </w:rPr>
        <w:t>(5). https://doi.org/10.1007/s10661-015-4483-9</w:t>
      </w:r>
    </w:p>
    <w:p w14:paraId="59D309A0" w14:textId="77777777" w:rsidR="0092112F" w:rsidRPr="0092112F" w:rsidRDefault="0092112F" w:rsidP="00DF3B3E">
      <w:pPr>
        <w:pStyle w:val="Bibliography"/>
        <w:rPr>
          <w:rFonts w:cs="Times New Roman"/>
        </w:rPr>
      </w:pPr>
      <w:r w:rsidRPr="0092112F">
        <w:rPr>
          <w:rFonts w:cs="Times New Roman"/>
        </w:rPr>
        <w:t xml:space="preserve">Yoccoz, N. G., Nichols, J. D., &amp; Boulinier, T. (2001). Monitoring of biological diversity in space and time. </w:t>
      </w:r>
      <w:r w:rsidRPr="0092112F">
        <w:rPr>
          <w:rFonts w:cs="Times New Roman"/>
          <w:i/>
          <w:iCs/>
        </w:rPr>
        <w:t>Trends in Ecology &amp; Evolution</w:t>
      </w:r>
      <w:r w:rsidRPr="0092112F">
        <w:rPr>
          <w:rFonts w:cs="Times New Roman"/>
        </w:rPr>
        <w:t xml:space="preserve">, </w:t>
      </w:r>
      <w:r w:rsidRPr="0092112F">
        <w:rPr>
          <w:rFonts w:cs="Times New Roman"/>
          <w:i/>
          <w:iCs/>
        </w:rPr>
        <w:t>16</w:t>
      </w:r>
      <w:r w:rsidRPr="0092112F">
        <w:rPr>
          <w:rFonts w:cs="Times New Roman"/>
        </w:rPr>
        <w:t>(8), 446–453. https://doi.org/10.1016/S0169-5347(01)02205-4</w:t>
      </w:r>
    </w:p>
    <w:p w14:paraId="10252C26" w14:textId="77777777" w:rsidR="0092112F" w:rsidRPr="0092112F" w:rsidRDefault="0092112F" w:rsidP="00DF3B3E">
      <w:pPr>
        <w:pStyle w:val="Bibliography"/>
        <w:rPr>
          <w:rFonts w:cs="Times New Roman"/>
        </w:rPr>
      </w:pPr>
      <w:r w:rsidRPr="0092112F">
        <w:rPr>
          <w:rFonts w:cs="Times New Roman"/>
        </w:rPr>
        <w:t xml:space="preserve">Zhao, J., Yang, K., &amp; Ma, J. (2022). Optimization of Sampling Effort for Different Fishery Groups in the Yangtze River Estuary, China. </w:t>
      </w:r>
      <w:r w:rsidRPr="0092112F">
        <w:rPr>
          <w:rFonts w:cs="Times New Roman"/>
          <w:i/>
          <w:iCs/>
        </w:rPr>
        <w:t>Marine and Coastal Fisheries</w:t>
      </w:r>
      <w:r w:rsidRPr="0092112F">
        <w:rPr>
          <w:rFonts w:cs="Times New Roman"/>
        </w:rPr>
        <w:t xml:space="preserve">, </w:t>
      </w:r>
      <w:r w:rsidRPr="0092112F">
        <w:rPr>
          <w:rFonts w:cs="Times New Roman"/>
          <w:i/>
          <w:iCs/>
        </w:rPr>
        <w:t>14</w:t>
      </w:r>
      <w:r w:rsidRPr="0092112F">
        <w:rPr>
          <w:rFonts w:cs="Times New Roman"/>
        </w:rPr>
        <w:t>(4). https://doi.org/10.1002/mcf2.10214</w:t>
      </w:r>
    </w:p>
    <w:p w14:paraId="7D1B6C4B" w14:textId="77777777" w:rsidR="000974AE" w:rsidRDefault="00F553D1" w:rsidP="00DF3B3E">
      <w:pPr>
        <w:pStyle w:val="Bibliography"/>
      </w:pPr>
      <w:r w:rsidRPr="007A589B">
        <w:rPr>
          <w:rFonts w:cs="Times New Roman"/>
        </w:rPr>
        <w:fldChar w:fldCharType="end"/>
      </w:r>
      <w:r w:rsidR="000974AE">
        <w:br w:type="page"/>
      </w:r>
    </w:p>
    <w:p w14:paraId="201665D2" w14:textId="77777777" w:rsidR="00BD1D03" w:rsidRDefault="00000000">
      <w:pPr>
        <w:pStyle w:val="Heading1"/>
        <w:pageBreakBefore/>
        <w:spacing w:before="0" w:after="0" w:line="480" w:lineRule="auto"/>
      </w:pPr>
      <w:r>
        <w:lastRenderedPageBreak/>
        <w:t>Figure captions</w:t>
      </w:r>
    </w:p>
    <w:p w14:paraId="164CE469" w14:textId="77777777" w:rsidR="00BD1D03" w:rsidRDefault="00000000">
      <w:pPr>
        <w:pStyle w:val="BodyText"/>
        <w:spacing w:line="480" w:lineRule="auto"/>
      </w:pPr>
      <w:r>
        <w:rPr>
          <w:b/>
        </w:rPr>
        <w:t>Figure 1.</w:t>
      </w:r>
      <w:r>
        <w:t xml:space="preserve"> Conceptual illustration of how sampling density affects the reconstruction of (A) a patchy and (B) a smooth concentration field along a one-dimensional transect (km). Top rows show the true concentration (black line); middle and bottom rows show reconstructions (red dashed line) from few and many samples (green circles), respectively.</w:t>
      </w:r>
    </w:p>
    <w:p w14:paraId="1EE34FB0" w14:textId="77777777" w:rsidR="00BD1D03" w:rsidRDefault="00000000">
      <w:pPr>
        <w:pStyle w:val="BodyText"/>
        <w:spacing w:line="480" w:lineRule="auto"/>
      </w:pPr>
      <w:r>
        <w:rPr>
          <w:b/>
        </w:rPr>
        <w:t>Figure 2.</w:t>
      </w:r>
      <w:r>
        <w:t xml:space="preserve"> Workflow of the method for simulated (A) and empirical (B) data. (A) A field generated from known parameters on a grid (</w:t>
      </w:r>
      <w:r>
        <w:rPr>
          <w:i/>
        </w:rPr>
        <w:t>Q</w:t>
      </w:r>
      <w:r>
        <w:t xml:space="preserve">, </w:t>
      </w:r>
      <w:r>
        <w:rPr>
          <w:i/>
        </w:rPr>
        <w:t>N</w:t>
      </w:r>
      <w:r>
        <w:t xml:space="preserve"> = 18,916) is sampled (</w:t>
      </w:r>
      <w:r>
        <w:rPr>
          <w:i/>
        </w:rPr>
        <w:t>Y</w:t>
      </w:r>
      <w:r>
        <w:t xml:space="preserve">, </w:t>
      </w:r>
      <w:r>
        <w:rPr>
          <w:i/>
        </w:rPr>
        <w:t>N</w:t>
      </w:r>
      <w:r>
        <w:t xml:space="preserve"> = 4,000) to give a reference prediction (</w:t>
      </w:r>
      <w:r>
        <w:rPr>
          <w:i/>
        </w:rPr>
        <w:t>Z</w:t>
      </w:r>
      <w:r>
        <w:t xml:space="preserve">); </w:t>
      </w:r>
      <w:r>
        <w:rPr>
          <w:i/>
        </w:rPr>
        <w:t>ε</w:t>
      </w:r>
      <w:r>
        <w:rPr>
          <w:vertAlign w:val="subscript"/>
        </w:rPr>
        <w:t>2</w:t>
      </w:r>
      <w:r>
        <w:t xml:space="preserve"> compares </w:t>
      </w:r>
      <w:r>
        <w:rPr>
          <w:i/>
        </w:rPr>
        <w:t>Z</w:t>
      </w:r>
      <w:r>
        <w:t xml:space="preserve"> with predictions from thinned designs (</w:t>
      </w:r>
      <w:r>
        <w:rPr>
          <w:i/>
        </w:rPr>
        <w:t>Y</w:t>
      </w:r>
      <w:r>
        <w:rPr>
          <w:vertAlign w:val="subscript"/>
        </w:rPr>
        <w:t>E</w:t>
      </w:r>
      <w:r>
        <w:t xml:space="preserve">), and </w:t>
      </w:r>
      <w:r>
        <w:rPr>
          <w:i/>
        </w:rPr>
        <w:t>ε</w:t>
      </w:r>
      <w:r>
        <w:rPr>
          <w:vertAlign w:val="subscript"/>
        </w:rPr>
        <w:t>3</w:t>
      </w:r>
      <w:r>
        <w:t xml:space="preserve"> uses the prediction from </w:t>
      </w:r>
      <w:r>
        <w:rPr>
          <w:i/>
        </w:rPr>
        <w:t>N</w:t>
      </w:r>
      <w:r>
        <w:t xml:space="preserve"> = 358 samples (</w:t>
      </w:r>
      <w:r>
        <w:rPr>
          <w:i/>
        </w:rPr>
        <w:t>S</w:t>
      </w:r>
      <w:r>
        <w:rPr>
          <w:vertAlign w:val="subscript"/>
        </w:rPr>
        <w:t>E=358</w:t>
      </w:r>
      <w:r>
        <w:t>) as the reference. (B) The same thinning applied to the observed data (</w:t>
      </w:r>
      <w:r>
        <w:rPr>
          <w:i/>
        </w:rPr>
        <w:t>N</w:t>
      </w:r>
      <w:r>
        <w:t xml:space="preserve"> = 358) quantifies </w:t>
      </w:r>
      <w:r>
        <w:rPr>
          <w:i/>
        </w:rPr>
        <w:t>ε</w:t>
      </w:r>
      <w:r>
        <w:rPr>
          <w:vertAlign w:val="subscript"/>
        </w:rPr>
        <w:t>1</w:t>
      </w:r>
      <w:r>
        <w:t>.</w:t>
      </w:r>
    </w:p>
    <w:p w14:paraId="1174C79E" w14:textId="77777777" w:rsidR="00BD1D03" w:rsidRDefault="00000000">
      <w:pPr>
        <w:pStyle w:val="BodyText"/>
        <w:spacing w:line="480" w:lineRule="auto"/>
      </w:pPr>
      <w:r>
        <w:rPr>
          <w:b/>
        </w:rPr>
        <w:t>Figure 3.</w:t>
      </w:r>
      <w:r>
        <w:t xml:space="preserve"> Gaussian process parameter estimates for the 12 species. (A) Spatial autocorrelation length-scale (</w:t>
      </w:r>
      <w:r>
        <w:rPr>
          <w:i/>
        </w:rPr>
        <w:t>ρ</w:t>
      </w:r>
      <w:r>
        <w:t>, km) by depth association (surface, midwater, deepwater). (B) Depth-specific mean eDNA concentration (</w:t>
      </w:r>
      <w:r>
        <w:rPr>
          <w:i/>
        </w:rPr>
        <w:t>μ</w:t>
      </w:r>
      <w:r>
        <w:t>; log copies/L). (C) Amplitude (</w:t>
      </w:r>
      <w:r>
        <w:rPr>
          <w:i/>
        </w:rPr>
        <w:t>α</w:t>
      </w:r>
      <w:r>
        <w:rPr>
          <w:vertAlign w:val="superscript"/>
        </w:rPr>
        <w:t>2</w:t>
      </w:r>
      <w:r>
        <w:t>) versus non-spatial variance (</w:t>
      </w:r>
      <w:r>
        <w:rPr>
          <w:i/>
        </w:rPr>
        <w:t>σ</w:t>
      </w:r>
      <w:r>
        <w:rPr>
          <w:vertAlign w:val="superscript"/>
        </w:rPr>
        <w:t>2</w:t>
      </w:r>
      <w:r>
        <w:t>). Points are posterior means and bars 95% credible intervals; colors identify species.</w:t>
      </w:r>
    </w:p>
    <w:p w14:paraId="481AA01C" w14:textId="77777777" w:rsidR="00BD1D03" w:rsidRDefault="00000000">
      <w:pPr>
        <w:pStyle w:val="BodyText"/>
        <w:spacing w:line="480" w:lineRule="auto"/>
      </w:pPr>
      <w:r>
        <w:rPr>
          <w:b/>
        </w:rPr>
        <w:t>Figure 4.</w:t>
      </w:r>
      <w:r>
        <w:t xml:space="preserve"> (A) Prediction error (</w:t>
      </w:r>
      <w:r>
        <w:rPr>
          <w:i/>
        </w:rPr>
        <w:t>ε</w:t>
      </w:r>
      <w:r>
        <w:rPr>
          <w:vertAlign w:val="subscript"/>
        </w:rPr>
        <w:t>2</w:t>
      </w:r>
      <w:r>
        <w:t>) across sampling densities (</w:t>
      </w:r>
      <w:r>
        <w:rPr>
          <w:i/>
        </w:rPr>
        <w:t>E</w:t>
      </w:r>
      <w:r>
        <w:t>, samples per 10,000 km</w:t>
      </w:r>
      <w:r>
        <w:rPr>
          <w:vertAlign w:val="superscript"/>
        </w:rPr>
        <w:t>2</w:t>
      </w:r>
      <w:r>
        <w:t xml:space="preserve"> per depth layer) for simulated fields with different length-scales (colors); points are simulation outcomes and lines mean trends. (B) Marginal change in error (Δ</w:t>
      </w:r>
      <w:r>
        <w:rPr>
          <w:i/>
        </w:rPr>
        <w:t>ε</w:t>
      </w:r>
      <w:r>
        <w:rPr>
          <w:vertAlign w:val="subscript"/>
        </w:rPr>
        <w:t>2</w:t>
      </w:r>
      <w:r>
        <w:t xml:space="preserve">) per unit increase in </w:t>
      </w:r>
      <w:r>
        <w:rPr>
          <w:i/>
        </w:rPr>
        <w:t>E</w:t>
      </w:r>
      <w:r>
        <w:t>, predicted from Eq. 6 (Appendix S1: Figure S5); the dashed line marks the threshold (Δ</w:t>
      </w:r>
      <w:r>
        <w:rPr>
          <w:i/>
        </w:rPr>
        <w:t>ε</w:t>
      </w:r>
      <w:r>
        <w:rPr>
          <w:vertAlign w:val="subscript"/>
        </w:rPr>
        <w:t>2</w:t>
      </w:r>
      <w:r>
        <w:t>/Δ</w:t>
      </w:r>
      <w:r>
        <w:rPr>
          <w:i/>
        </w:rPr>
        <w:t>E</w:t>
      </w:r>
      <w:r>
        <w:t xml:space="preserve"> = −0.05) for negligible improvement.</w:t>
      </w:r>
    </w:p>
    <w:p w14:paraId="407D365A" w14:textId="77777777" w:rsidR="00BD1D03" w:rsidRDefault="00000000">
      <w:pPr>
        <w:pStyle w:val="BodyText"/>
        <w:spacing w:line="480" w:lineRule="auto"/>
      </w:pPr>
      <w:r>
        <w:rPr>
          <w:b/>
        </w:rPr>
        <w:t>Figure 5.</w:t>
      </w:r>
      <w:r>
        <w:t xml:space="preserve"> Recovery of Gaussian process parameters in the simulations: mean root mean squared error (</w:t>
      </w:r>
      <w:r>
        <w:rPr>
          <w:i/>
        </w:rPr>
        <w:t>τ</w:t>
      </w:r>
      <w:r>
        <w:t xml:space="preserve">) between estimated and true values across 20 replicates for (A) </w:t>
      </w:r>
      <w:r>
        <w:rPr>
          <w:i/>
        </w:rPr>
        <w:t>ρ</w:t>
      </w:r>
      <w:r>
        <w:t xml:space="preserve">, (B) </w:t>
      </w:r>
      <w:r>
        <w:rPr>
          <w:i/>
        </w:rPr>
        <w:t>σ</w:t>
      </w:r>
      <w:r>
        <w:rPr>
          <w:vertAlign w:val="superscript"/>
        </w:rPr>
        <w:t>2</w:t>
      </w:r>
      <w:r>
        <w:t>, (C) depth-specific mean (</w:t>
      </w:r>
      <w:r>
        <w:rPr>
          <w:i/>
        </w:rPr>
        <w:t>μ</w:t>
      </w:r>
      <w:r>
        <w:rPr>
          <w:vertAlign w:val="subscript"/>
        </w:rPr>
        <w:t>d</w:t>
      </w:r>
      <w:r>
        <w:t xml:space="preserve">) and (D) </w:t>
      </w:r>
      <w:r>
        <w:rPr>
          <w:i/>
        </w:rPr>
        <w:t>α</w:t>
      </w:r>
      <w:r>
        <w:rPr>
          <w:vertAlign w:val="superscript"/>
        </w:rPr>
        <w:t>2</w:t>
      </w:r>
      <w:r>
        <w:t>, by sampling density (</w:t>
      </w:r>
      <w:r>
        <w:rPr>
          <w:i/>
        </w:rPr>
        <w:t>E</w:t>
      </w:r>
      <w:r>
        <w:t>) and length-scale (colors).</w:t>
      </w:r>
    </w:p>
    <w:p w14:paraId="1E9AEEEB" w14:textId="77777777" w:rsidR="00BD1D03" w:rsidRDefault="00000000">
      <w:pPr>
        <w:pStyle w:val="BodyText"/>
        <w:pageBreakBefore/>
        <w:spacing w:line="480" w:lineRule="auto"/>
      </w:pPr>
      <w:r>
        <w:rPr>
          <w:b/>
        </w:rPr>
        <w:lastRenderedPageBreak/>
        <w:t>Figure 1</w:t>
      </w:r>
    </w:p>
    <w:p w14:paraId="38CC6724" w14:textId="77777777" w:rsidR="00BD1D03" w:rsidRDefault="00000000">
      <w:pPr>
        <w:spacing w:after="0"/>
        <w:jc w:val="center"/>
      </w:pPr>
      <w:r>
        <w:rPr>
          <w:noProof/>
        </w:rPr>
        <w:drawing>
          <wp:inline distT="0" distB="0" distL="0" distR="0" wp14:anchorId="249C8E92" wp14:editId="2516335C">
            <wp:extent cx="5943600" cy="3264535"/>
            <wp:effectExtent l="0" t="0" r="0" b="0"/>
            <wp:docPr id="70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2"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149DABA5" w14:textId="77777777" w:rsidR="00BD1D03" w:rsidRDefault="00000000">
      <w:pPr>
        <w:pStyle w:val="BodyText"/>
        <w:pageBreakBefore/>
        <w:spacing w:line="480" w:lineRule="auto"/>
      </w:pPr>
      <w:r>
        <w:rPr>
          <w:b/>
        </w:rPr>
        <w:lastRenderedPageBreak/>
        <w:t>Figure 2</w:t>
      </w:r>
    </w:p>
    <w:p w14:paraId="7FCE8B11" w14:textId="77777777" w:rsidR="00BD1D03" w:rsidRDefault="00000000">
      <w:pPr>
        <w:spacing w:after="0"/>
        <w:jc w:val="center"/>
      </w:pPr>
      <w:r>
        <w:rPr>
          <w:noProof/>
        </w:rPr>
        <w:drawing>
          <wp:inline distT="0" distB="0" distL="0" distR="0" wp14:anchorId="5FBD0C5D" wp14:editId="7290319C">
            <wp:extent cx="5943600" cy="3115945"/>
            <wp:effectExtent l="0" t="0" r="0" b="0"/>
            <wp:docPr id="70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4"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31B9F8DF" w14:textId="77777777" w:rsidR="00BD1D03" w:rsidRDefault="00000000">
      <w:pPr>
        <w:pStyle w:val="BodyText"/>
        <w:pageBreakBefore/>
        <w:spacing w:line="480" w:lineRule="auto"/>
      </w:pPr>
      <w:r>
        <w:rPr>
          <w:b/>
        </w:rPr>
        <w:lastRenderedPageBreak/>
        <w:t>Figure 3</w:t>
      </w:r>
    </w:p>
    <w:p w14:paraId="468D59DB" w14:textId="77777777" w:rsidR="00BD1D03" w:rsidRDefault="00000000">
      <w:pPr>
        <w:spacing w:after="0"/>
        <w:jc w:val="center"/>
      </w:pPr>
      <w:r>
        <w:rPr>
          <w:noProof/>
        </w:rPr>
        <w:drawing>
          <wp:inline distT="0" distB="0" distL="0" distR="0" wp14:anchorId="20CC281B" wp14:editId="532B6601">
            <wp:extent cx="5943600" cy="4245610"/>
            <wp:effectExtent l="0" t="0" r="0" b="0"/>
            <wp:docPr id="700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6" name="Picture 904899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37BCEE0B" w14:textId="77777777" w:rsidR="00BD1D03" w:rsidRDefault="00000000">
      <w:pPr>
        <w:pStyle w:val="BodyText"/>
        <w:pageBreakBefore/>
        <w:spacing w:line="480" w:lineRule="auto"/>
      </w:pPr>
      <w:r>
        <w:rPr>
          <w:b/>
        </w:rPr>
        <w:lastRenderedPageBreak/>
        <w:t>Figure 4</w:t>
      </w:r>
    </w:p>
    <w:p w14:paraId="6604DA69" w14:textId="77777777" w:rsidR="00BD1D03" w:rsidRDefault="00000000">
      <w:pPr>
        <w:spacing w:after="0"/>
        <w:jc w:val="center"/>
      </w:pPr>
      <w:r>
        <w:rPr>
          <w:noProof/>
        </w:rPr>
        <w:drawing>
          <wp:inline distT="0" distB="0" distL="0" distR="0" wp14:anchorId="42F5182B" wp14:editId="4FAD015D">
            <wp:extent cx="5943600" cy="3566160"/>
            <wp:effectExtent l="0" t="0" r="0" b="2540"/>
            <wp:docPr id="700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8" name="Picture 6408272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633BD3BF" w14:textId="77777777" w:rsidR="00BD1D03" w:rsidRDefault="00000000">
      <w:pPr>
        <w:pStyle w:val="BodyText"/>
        <w:pageBreakBefore/>
        <w:spacing w:line="480" w:lineRule="auto"/>
      </w:pPr>
      <w:r>
        <w:rPr>
          <w:b/>
        </w:rPr>
        <w:lastRenderedPageBreak/>
        <w:t>Figure 5</w:t>
      </w:r>
    </w:p>
    <w:p w14:paraId="09372BEB" w14:textId="77777777" w:rsidR="00BD1D03" w:rsidRDefault="00000000">
      <w:pPr>
        <w:spacing w:after="0"/>
        <w:jc w:val="center"/>
      </w:pPr>
      <w:r>
        <w:rPr>
          <w:iCs/>
          <w:noProof/>
        </w:rPr>
        <w:drawing>
          <wp:inline distT="0" distB="0" distL="0" distR="0" wp14:anchorId="3B1A1B29" wp14:editId="7390CD95">
            <wp:extent cx="5943600" cy="4245610"/>
            <wp:effectExtent l="0" t="0" r="0" b="0"/>
            <wp:docPr id="700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0" name="Picture 10780978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sectPr w:rsidR="00BD1D03" w:rsidSect="00FE50DF">
      <w:footerReference w:type="even" r:id="rId20"/>
      <w:footerReference w:type="default" r:id="rId21"/>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Gledis Guri" w:date="2026-09-30T12:15:00Z" w:initials="GG">
    <w:p w14:paraId="6526BF0A" w14:textId="77777777" w:rsidR="003D7556" w:rsidRDefault="003D7556" w:rsidP="003D7556">
      <w:r>
        <w:rPr>
          <w:rStyle w:val="CommentReference"/>
        </w:rPr>
        <w:annotationRef/>
      </w:r>
      <w:r>
        <w:rPr>
          <w:sz w:val="20"/>
          <w:szCs w:val="20"/>
        </w:rPr>
        <w:t>revisit</w:t>
      </w:r>
    </w:p>
  </w:comment>
  <w:comment w:id="2" w:author="Gledis Guri" w:date="2026-09-30T12:20:00Z" w:initials="GG">
    <w:p w14:paraId="08C3A5FC" w14:textId="77777777" w:rsidR="00496211" w:rsidRDefault="00496211" w:rsidP="00496211">
      <w:r>
        <w:rPr>
          <w:rStyle w:val="CommentReference"/>
        </w:rPr>
        <w:annotationRef/>
      </w:r>
      <w:r>
        <w:rPr>
          <w:sz w:val="20"/>
          <w:szCs w:val="20"/>
        </w:rPr>
        <w:t>I don't like it, it doesn't really start with the angle of it being a methods paper. I want this to be addressed as a methods paper. I think for that it should be elaborated more on the problem, like there is a huge need for number of samples by managers. Then we hypothesize that autocorrelation can actually guide us. Then we did simulations, build a tool and a math model. Then we used the tool to a case study. Something along these lines.</w:t>
      </w:r>
    </w:p>
  </w:comment>
  <w:comment w:id="6" w:author="Gledis Guri" w:date="2026-09-30T12:25:00Z" w:initials="GG">
    <w:p w14:paraId="54040DEB" w14:textId="77777777" w:rsidR="00496211" w:rsidRDefault="00496211" w:rsidP="00496211">
      <w:r>
        <w:rPr>
          <w:rStyle w:val="CommentReference"/>
        </w:rPr>
        <w:annotationRef/>
      </w:r>
      <w:r>
        <w:rPr>
          <w:sz w:val="20"/>
          <w:szCs w:val="20"/>
        </w:rPr>
        <w:t>This statement is not fully correct. There might be guidance but there is nothing quantitative about giving you a number. So I would lean this sentence more towards the quantity rather than anything.</w:t>
      </w:r>
    </w:p>
  </w:comment>
  <w:comment w:id="7" w:author="Gledis Guri" w:date="2026-09-30T12:26:00Z" w:initials="GG">
    <w:p w14:paraId="7703A01F" w14:textId="77777777" w:rsidR="00496211" w:rsidRDefault="00496211" w:rsidP="00496211">
      <w:r>
        <w:rPr>
          <w:rStyle w:val="CommentReference"/>
        </w:rPr>
        <w:annotationRef/>
      </w:r>
      <w:r>
        <w:rPr>
          <w:sz w:val="20"/>
          <w:szCs w:val="20"/>
        </w:rPr>
        <w:t xml:space="preserve">I would like the hypothesis or the aim to be laid out more clearly. previously it was: We hypothesize that the sampling density required to characterize a species’ distribution depends on this spatial length-scale. </w:t>
      </w:r>
    </w:p>
    <w:p w14:paraId="6122CE87" w14:textId="77777777" w:rsidR="00496211" w:rsidRDefault="00496211" w:rsidP="00496211"/>
    <w:p w14:paraId="4A34F28D" w14:textId="77777777" w:rsidR="00496211" w:rsidRDefault="00496211" w:rsidP="00496211">
      <w:r>
        <w:rPr>
          <w:sz w:val="20"/>
          <w:szCs w:val="20"/>
        </w:rPr>
        <w:t>I don't want you to do the same but something similar</w:t>
      </w:r>
    </w:p>
  </w:comment>
  <w:comment w:id="9" w:author="Gledis Guri" w:date="2026-09-30T12:56:00Z" w:initials="GG">
    <w:p w14:paraId="459C45C6" w14:textId="77777777" w:rsidR="006F6161" w:rsidRDefault="006F6161" w:rsidP="006F6161">
      <w:r>
        <w:rPr>
          <w:rStyle w:val="CommentReference"/>
        </w:rPr>
        <w:annotationRef/>
      </w:r>
      <w:r>
        <w:rPr>
          <w:sz w:val="20"/>
          <w:szCs w:val="20"/>
        </w:rPr>
        <w:t>The description of the method should be:</w:t>
      </w:r>
    </w:p>
    <w:p w14:paraId="172D9BF1" w14:textId="77777777" w:rsidR="006F6161" w:rsidRDefault="006F6161" w:rsidP="006F6161">
      <w:r>
        <w:rPr>
          <w:sz w:val="20"/>
          <w:szCs w:val="20"/>
        </w:rPr>
        <w:t>1. Generate simulated fields using GP model</w:t>
      </w:r>
    </w:p>
    <w:p w14:paraId="4BC42C50" w14:textId="77777777" w:rsidR="006F6161" w:rsidRDefault="006F6161" w:rsidP="006F6161">
      <w:r>
        <w:rPr>
          <w:sz w:val="20"/>
          <w:szCs w:val="20"/>
        </w:rPr>
        <w:t>2. Fit GP model to learn the parameters</w:t>
      </w:r>
    </w:p>
    <w:p w14:paraId="3FE4E901" w14:textId="77777777" w:rsidR="006F6161" w:rsidRDefault="006F6161" w:rsidP="006F6161">
      <w:r>
        <w:rPr>
          <w:sz w:val="20"/>
          <w:szCs w:val="20"/>
        </w:rPr>
        <w:t>3. Remove samples and fit the GP model</w:t>
      </w:r>
    </w:p>
    <w:p w14:paraId="17BE5216" w14:textId="77777777" w:rsidR="006F6161" w:rsidRDefault="006F6161" w:rsidP="006F6161">
      <w:r>
        <w:rPr>
          <w:sz w:val="20"/>
          <w:szCs w:val="20"/>
        </w:rPr>
        <w:t xml:space="preserve">4. Compare the parameters of GP models from step 3 to step 2. </w:t>
      </w:r>
    </w:p>
  </w:comment>
  <w:comment w:id="11" w:author="Gledis Guri" w:date="2026-09-30T12:53:00Z" w:initials="GG">
    <w:p w14:paraId="06F2E5CD" w14:textId="77777777" w:rsidR="006F6161" w:rsidRDefault="006F6161" w:rsidP="006F6161">
      <w:r>
        <w:rPr>
          <w:rStyle w:val="CommentReference"/>
        </w:rPr>
        <w:annotationRef/>
      </w:r>
      <w:r>
        <w:rPr>
          <w:sz w:val="20"/>
          <w:szCs w:val="20"/>
        </w:rPr>
        <w:t>simulated</w:t>
      </w:r>
    </w:p>
  </w:comment>
  <w:comment w:id="12" w:author="Gledis Guri" w:date="2026-09-30T12:54:00Z" w:initials="GG">
    <w:p w14:paraId="1AAE5FC5" w14:textId="77777777" w:rsidR="006F6161" w:rsidRDefault="006F6161" w:rsidP="006F6161">
      <w:r>
        <w:rPr>
          <w:rStyle w:val="CommentReference"/>
        </w:rPr>
        <w:annotationRef/>
      </w:r>
      <w:r>
        <w:rPr>
          <w:sz w:val="20"/>
          <w:szCs w:val="20"/>
        </w:rPr>
        <w:t>remove</w:t>
      </w:r>
    </w:p>
  </w:comment>
  <w:comment w:id="13" w:author="Gledis Guri" w:date="2026-09-30T12:54:00Z" w:initials="GG">
    <w:p w14:paraId="119F690B" w14:textId="77777777" w:rsidR="006F6161" w:rsidRDefault="006F6161" w:rsidP="006F6161">
      <w:r>
        <w:rPr>
          <w:rStyle w:val="CommentReference"/>
        </w:rPr>
        <w:annotationRef/>
      </w:r>
      <w:r>
        <w:rPr>
          <w:sz w:val="20"/>
          <w:szCs w:val="20"/>
        </w:rPr>
        <w:t>this should be removed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526BF0A" w15:done="0"/>
  <w15:commentEx w15:paraId="08C3A5FC" w15:done="0"/>
  <w15:commentEx w15:paraId="54040DEB" w15:done="0"/>
  <w15:commentEx w15:paraId="4A34F28D" w15:done="0"/>
  <w15:commentEx w15:paraId="17BE5216" w15:done="0"/>
  <w15:commentEx w15:paraId="06F2E5CD" w15:done="0"/>
  <w15:commentEx w15:paraId="1AAE5FC5" w15:done="0"/>
  <w15:commentEx w15:paraId="119F69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1D9FBCA" w16cex:dateUtc="2026-09-30T19:15:00Z"/>
  <w16cex:commentExtensible w16cex:durableId="75902867" w16cex:dateUtc="2026-09-30T19:20:00Z"/>
  <w16cex:commentExtensible w16cex:durableId="2E4E64C4" w16cex:dateUtc="2026-09-30T19:25:00Z"/>
  <w16cex:commentExtensible w16cex:durableId="5706769C" w16cex:dateUtc="2026-09-30T19:26:00Z"/>
  <w16cex:commentExtensible w16cex:durableId="3D188EA6" w16cex:dateUtc="2026-09-30T19:56:00Z"/>
  <w16cex:commentExtensible w16cex:durableId="76F9D6BF" w16cex:dateUtc="2026-09-30T19:53:00Z"/>
  <w16cex:commentExtensible w16cex:durableId="623A0D0C" w16cex:dateUtc="2026-09-30T19:54:00Z"/>
  <w16cex:commentExtensible w16cex:durableId="3ABF3E6F" w16cex:dateUtc="2026-09-30T19: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526BF0A" w16cid:durableId="41D9FBCA"/>
  <w16cid:commentId w16cid:paraId="08C3A5FC" w16cid:durableId="75902867"/>
  <w16cid:commentId w16cid:paraId="54040DEB" w16cid:durableId="2E4E64C4"/>
  <w16cid:commentId w16cid:paraId="4A34F28D" w16cid:durableId="5706769C"/>
  <w16cid:commentId w16cid:paraId="17BE5216" w16cid:durableId="3D188EA6"/>
  <w16cid:commentId w16cid:paraId="06F2E5CD" w16cid:durableId="76F9D6BF"/>
  <w16cid:commentId w16cid:paraId="1AAE5FC5" w16cid:durableId="623A0D0C"/>
  <w16cid:commentId w16cid:paraId="119F690B" w16cid:durableId="3ABF3E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C8F855" w14:textId="77777777" w:rsidR="007230F0" w:rsidRDefault="007230F0" w:rsidP="009A2297">
      <w:pPr>
        <w:spacing w:after="0"/>
      </w:pPr>
      <w:r>
        <w:separator/>
      </w:r>
    </w:p>
  </w:endnote>
  <w:endnote w:type="continuationSeparator" w:id="0">
    <w:p w14:paraId="3879F6E1" w14:textId="77777777" w:rsidR="007230F0" w:rsidRDefault="007230F0"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38A6EEE"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D4B65">
          <w:rPr>
            <w:rStyle w:val="PageNumber"/>
            <w:noProof/>
          </w:rPr>
          <w:t>21</w:t>
        </w:r>
        <w:r>
          <w:rPr>
            <w:rStyle w:val="PageNumber"/>
          </w:rPr>
          <w:fldChar w:fldCharType="end"/>
        </w:r>
      </w:p>
    </w:sdtContent>
  </w:sdt>
  <w:p w14:paraId="20CEA0E4"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20577206"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BE1F87" w14:textId="77777777" w:rsidR="00A66B15" w:rsidRDefault="00A66B15"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4D5048" w14:textId="77777777" w:rsidR="007230F0" w:rsidRDefault="007230F0" w:rsidP="009A2297">
      <w:pPr>
        <w:spacing w:after="0"/>
      </w:pPr>
      <w:r>
        <w:separator/>
      </w:r>
    </w:p>
  </w:footnote>
  <w:footnote w:type="continuationSeparator" w:id="0">
    <w:p w14:paraId="23214D72" w14:textId="77777777" w:rsidR="007230F0" w:rsidRDefault="007230F0" w:rsidP="009A22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dis Guri">
    <w15:presenceInfo w15:providerId="AD" w15:userId="S::gguri@uw.edu::83df82f3-47dd-4c7f-8014-681978acda0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60E2"/>
    <w:rsid w:val="00016814"/>
    <w:rsid w:val="000168C8"/>
    <w:rsid w:val="00017B7F"/>
    <w:rsid w:val="00017D18"/>
    <w:rsid w:val="00020159"/>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32EB"/>
    <w:rsid w:val="0004417B"/>
    <w:rsid w:val="000443C6"/>
    <w:rsid w:val="000444A9"/>
    <w:rsid w:val="000461C1"/>
    <w:rsid w:val="00050DA2"/>
    <w:rsid w:val="00051F7D"/>
    <w:rsid w:val="00052F30"/>
    <w:rsid w:val="000534CC"/>
    <w:rsid w:val="0005416C"/>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021C"/>
    <w:rsid w:val="000B16AE"/>
    <w:rsid w:val="000B1746"/>
    <w:rsid w:val="000B3342"/>
    <w:rsid w:val="000B354D"/>
    <w:rsid w:val="000B48EE"/>
    <w:rsid w:val="000B4D5A"/>
    <w:rsid w:val="000B4F85"/>
    <w:rsid w:val="000B5E8A"/>
    <w:rsid w:val="000B632F"/>
    <w:rsid w:val="000B644D"/>
    <w:rsid w:val="000B7F3C"/>
    <w:rsid w:val="000C1D0D"/>
    <w:rsid w:val="000C1D95"/>
    <w:rsid w:val="000C1E9E"/>
    <w:rsid w:val="000C295A"/>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746"/>
    <w:rsid w:val="000F0CD4"/>
    <w:rsid w:val="000F23E9"/>
    <w:rsid w:val="000F2824"/>
    <w:rsid w:val="000F31EB"/>
    <w:rsid w:val="000F3DDE"/>
    <w:rsid w:val="000F40A8"/>
    <w:rsid w:val="000F510C"/>
    <w:rsid w:val="000F5585"/>
    <w:rsid w:val="000F5722"/>
    <w:rsid w:val="000F5B32"/>
    <w:rsid w:val="000F67DF"/>
    <w:rsid w:val="000F71FC"/>
    <w:rsid w:val="000F7C17"/>
    <w:rsid w:val="00100A8A"/>
    <w:rsid w:val="00100FD6"/>
    <w:rsid w:val="001012ED"/>
    <w:rsid w:val="001016A0"/>
    <w:rsid w:val="00101BFB"/>
    <w:rsid w:val="00102D80"/>
    <w:rsid w:val="00105071"/>
    <w:rsid w:val="00106163"/>
    <w:rsid w:val="001062D5"/>
    <w:rsid w:val="001063EA"/>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B6F"/>
    <w:rsid w:val="00127DFE"/>
    <w:rsid w:val="00130111"/>
    <w:rsid w:val="00131C1F"/>
    <w:rsid w:val="001331FA"/>
    <w:rsid w:val="00133DD4"/>
    <w:rsid w:val="00134076"/>
    <w:rsid w:val="001345B5"/>
    <w:rsid w:val="001365D9"/>
    <w:rsid w:val="00137DD4"/>
    <w:rsid w:val="00140286"/>
    <w:rsid w:val="00140C78"/>
    <w:rsid w:val="00140D71"/>
    <w:rsid w:val="00140E57"/>
    <w:rsid w:val="001414C4"/>
    <w:rsid w:val="00141D37"/>
    <w:rsid w:val="001428E1"/>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48F5"/>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6E38"/>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0D"/>
    <w:rsid w:val="001B3530"/>
    <w:rsid w:val="001B494C"/>
    <w:rsid w:val="001B4F2A"/>
    <w:rsid w:val="001B5275"/>
    <w:rsid w:val="001B55AB"/>
    <w:rsid w:val="001B5BD6"/>
    <w:rsid w:val="001B5C27"/>
    <w:rsid w:val="001B6091"/>
    <w:rsid w:val="001B65DC"/>
    <w:rsid w:val="001C0551"/>
    <w:rsid w:val="001C2382"/>
    <w:rsid w:val="001C356D"/>
    <w:rsid w:val="001C3B95"/>
    <w:rsid w:val="001C4DF2"/>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23E"/>
    <w:rsid w:val="001F698C"/>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466F"/>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EE"/>
    <w:rsid w:val="00290F94"/>
    <w:rsid w:val="002911E5"/>
    <w:rsid w:val="00291D04"/>
    <w:rsid w:val="00291EB6"/>
    <w:rsid w:val="0029301E"/>
    <w:rsid w:val="002937E8"/>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954"/>
    <w:rsid w:val="002A3C50"/>
    <w:rsid w:val="002A4C2B"/>
    <w:rsid w:val="002A75F7"/>
    <w:rsid w:val="002A779A"/>
    <w:rsid w:val="002B0661"/>
    <w:rsid w:val="002B096B"/>
    <w:rsid w:val="002B0D91"/>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4B65"/>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241E"/>
    <w:rsid w:val="003124D1"/>
    <w:rsid w:val="00312DD0"/>
    <w:rsid w:val="00312DFE"/>
    <w:rsid w:val="00313D68"/>
    <w:rsid w:val="00314630"/>
    <w:rsid w:val="00314830"/>
    <w:rsid w:val="00317C6C"/>
    <w:rsid w:val="0032076E"/>
    <w:rsid w:val="0032117F"/>
    <w:rsid w:val="0032194E"/>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D63"/>
    <w:rsid w:val="003329B8"/>
    <w:rsid w:val="00333361"/>
    <w:rsid w:val="00336225"/>
    <w:rsid w:val="00336E69"/>
    <w:rsid w:val="00340F6A"/>
    <w:rsid w:val="003438BD"/>
    <w:rsid w:val="00344228"/>
    <w:rsid w:val="003443CF"/>
    <w:rsid w:val="00345B8C"/>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929"/>
    <w:rsid w:val="00364C2B"/>
    <w:rsid w:val="00364F75"/>
    <w:rsid w:val="003665D2"/>
    <w:rsid w:val="003676DB"/>
    <w:rsid w:val="00367DC4"/>
    <w:rsid w:val="00370B78"/>
    <w:rsid w:val="00373AC6"/>
    <w:rsid w:val="00374B89"/>
    <w:rsid w:val="003755B5"/>
    <w:rsid w:val="00375E4C"/>
    <w:rsid w:val="0037611A"/>
    <w:rsid w:val="00376731"/>
    <w:rsid w:val="00376B55"/>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87956"/>
    <w:rsid w:val="00390A6F"/>
    <w:rsid w:val="0039223E"/>
    <w:rsid w:val="003922E3"/>
    <w:rsid w:val="00392A56"/>
    <w:rsid w:val="0039332C"/>
    <w:rsid w:val="0039370D"/>
    <w:rsid w:val="003939B7"/>
    <w:rsid w:val="00393D33"/>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462"/>
    <w:rsid w:val="003C151B"/>
    <w:rsid w:val="003C3CFF"/>
    <w:rsid w:val="003C4FC4"/>
    <w:rsid w:val="003C522B"/>
    <w:rsid w:val="003C6767"/>
    <w:rsid w:val="003C7EA9"/>
    <w:rsid w:val="003C7F95"/>
    <w:rsid w:val="003D11B0"/>
    <w:rsid w:val="003D1914"/>
    <w:rsid w:val="003D32D9"/>
    <w:rsid w:val="003D3C28"/>
    <w:rsid w:val="003D4C50"/>
    <w:rsid w:val="003D5CCB"/>
    <w:rsid w:val="003D6E81"/>
    <w:rsid w:val="003D748C"/>
    <w:rsid w:val="003D7556"/>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475F1"/>
    <w:rsid w:val="00450034"/>
    <w:rsid w:val="00450784"/>
    <w:rsid w:val="004507D0"/>
    <w:rsid w:val="00452BD9"/>
    <w:rsid w:val="00460098"/>
    <w:rsid w:val="0046181E"/>
    <w:rsid w:val="0046242E"/>
    <w:rsid w:val="00462848"/>
    <w:rsid w:val="00464007"/>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6211"/>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4F5B"/>
    <w:rsid w:val="00525775"/>
    <w:rsid w:val="005258FE"/>
    <w:rsid w:val="0052612F"/>
    <w:rsid w:val="0052745E"/>
    <w:rsid w:val="005275B2"/>
    <w:rsid w:val="00527630"/>
    <w:rsid w:val="0053009E"/>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47F50"/>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87753"/>
    <w:rsid w:val="00591651"/>
    <w:rsid w:val="00592A3B"/>
    <w:rsid w:val="00593FCD"/>
    <w:rsid w:val="00594CDF"/>
    <w:rsid w:val="00594E42"/>
    <w:rsid w:val="00595663"/>
    <w:rsid w:val="00596C9B"/>
    <w:rsid w:val="00596EE8"/>
    <w:rsid w:val="00596FE3"/>
    <w:rsid w:val="0059760B"/>
    <w:rsid w:val="00597849"/>
    <w:rsid w:val="00597E5A"/>
    <w:rsid w:val="005A0669"/>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50C9"/>
    <w:rsid w:val="005F5413"/>
    <w:rsid w:val="005F6804"/>
    <w:rsid w:val="005F788B"/>
    <w:rsid w:val="005F7A16"/>
    <w:rsid w:val="00601827"/>
    <w:rsid w:val="00601E1C"/>
    <w:rsid w:val="00601EE9"/>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3D17"/>
    <w:rsid w:val="00625110"/>
    <w:rsid w:val="00625FC0"/>
    <w:rsid w:val="006260FA"/>
    <w:rsid w:val="0062718F"/>
    <w:rsid w:val="00627C7B"/>
    <w:rsid w:val="00627E69"/>
    <w:rsid w:val="0063190F"/>
    <w:rsid w:val="0063346B"/>
    <w:rsid w:val="00633845"/>
    <w:rsid w:val="0063455A"/>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05EA"/>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07C4"/>
    <w:rsid w:val="006A2624"/>
    <w:rsid w:val="006A2E89"/>
    <w:rsid w:val="006A2F1A"/>
    <w:rsid w:val="006A3AA4"/>
    <w:rsid w:val="006A3BF7"/>
    <w:rsid w:val="006A47D8"/>
    <w:rsid w:val="006A5C4E"/>
    <w:rsid w:val="006A69E6"/>
    <w:rsid w:val="006A6F92"/>
    <w:rsid w:val="006A719F"/>
    <w:rsid w:val="006A78FC"/>
    <w:rsid w:val="006B0BE6"/>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6161"/>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216FD"/>
    <w:rsid w:val="00721766"/>
    <w:rsid w:val="00722382"/>
    <w:rsid w:val="007226DE"/>
    <w:rsid w:val="007227C3"/>
    <w:rsid w:val="007230F0"/>
    <w:rsid w:val="00724ADD"/>
    <w:rsid w:val="007259B3"/>
    <w:rsid w:val="00726274"/>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40D9"/>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5D4E"/>
    <w:rsid w:val="007664E1"/>
    <w:rsid w:val="00766B84"/>
    <w:rsid w:val="00767965"/>
    <w:rsid w:val="00770648"/>
    <w:rsid w:val="007706FA"/>
    <w:rsid w:val="00771760"/>
    <w:rsid w:val="007718FD"/>
    <w:rsid w:val="00771ED9"/>
    <w:rsid w:val="00772D50"/>
    <w:rsid w:val="00773AFD"/>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7099"/>
    <w:rsid w:val="007A76E7"/>
    <w:rsid w:val="007B0B48"/>
    <w:rsid w:val="007B2115"/>
    <w:rsid w:val="007B3E21"/>
    <w:rsid w:val="007B44B1"/>
    <w:rsid w:val="007B5395"/>
    <w:rsid w:val="007C0615"/>
    <w:rsid w:val="007C0AAD"/>
    <w:rsid w:val="007C0D45"/>
    <w:rsid w:val="007C3549"/>
    <w:rsid w:val="007C4C73"/>
    <w:rsid w:val="007C5BA3"/>
    <w:rsid w:val="007C6363"/>
    <w:rsid w:val="007C65F2"/>
    <w:rsid w:val="007D006B"/>
    <w:rsid w:val="007D0105"/>
    <w:rsid w:val="007D094B"/>
    <w:rsid w:val="007D14CF"/>
    <w:rsid w:val="007D1DD5"/>
    <w:rsid w:val="007D272A"/>
    <w:rsid w:val="007D39EF"/>
    <w:rsid w:val="007D49E0"/>
    <w:rsid w:val="007D4A82"/>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0F4B"/>
    <w:rsid w:val="00823035"/>
    <w:rsid w:val="00823944"/>
    <w:rsid w:val="00823DA9"/>
    <w:rsid w:val="008241B0"/>
    <w:rsid w:val="00826938"/>
    <w:rsid w:val="008274C3"/>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1E1"/>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1586"/>
    <w:rsid w:val="008B1CE5"/>
    <w:rsid w:val="008B2811"/>
    <w:rsid w:val="008B42C2"/>
    <w:rsid w:val="008B46AB"/>
    <w:rsid w:val="008B5351"/>
    <w:rsid w:val="008B66B7"/>
    <w:rsid w:val="008B7A6B"/>
    <w:rsid w:val="008C05CD"/>
    <w:rsid w:val="008C1538"/>
    <w:rsid w:val="008C1720"/>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F06"/>
    <w:rsid w:val="008F108E"/>
    <w:rsid w:val="008F2CC0"/>
    <w:rsid w:val="008F2EE8"/>
    <w:rsid w:val="008F345B"/>
    <w:rsid w:val="008F35CC"/>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12F"/>
    <w:rsid w:val="00921324"/>
    <w:rsid w:val="00921886"/>
    <w:rsid w:val="009231CF"/>
    <w:rsid w:val="00924509"/>
    <w:rsid w:val="00927FDD"/>
    <w:rsid w:val="0093039C"/>
    <w:rsid w:val="009315C7"/>
    <w:rsid w:val="009317F7"/>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39BE"/>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167"/>
    <w:rsid w:val="009D278C"/>
    <w:rsid w:val="009D2805"/>
    <w:rsid w:val="009D3544"/>
    <w:rsid w:val="009D65AB"/>
    <w:rsid w:val="009D6A45"/>
    <w:rsid w:val="009D7BDF"/>
    <w:rsid w:val="009E0D6B"/>
    <w:rsid w:val="009E1270"/>
    <w:rsid w:val="009E14EE"/>
    <w:rsid w:val="009E197D"/>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03"/>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4311"/>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4544"/>
    <w:rsid w:val="00AD6AA7"/>
    <w:rsid w:val="00AD6B7D"/>
    <w:rsid w:val="00AD7403"/>
    <w:rsid w:val="00AE01EE"/>
    <w:rsid w:val="00AE07DE"/>
    <w:rsid w:val="00AE1698"/>
    <w:rsid w:val="00AE3A0A"/>
    <w:rsid w:val="00AE4601"/>
    <w:rsid w:val="00AE48A0"/>
    <w:rsid w:val="00AE5C45"/>
    <w:rsid w:val="00AE5F09"/>
    <w:rsid w:val="00AE5F4D"/>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3FC2"/>
    <w:rsid w:val="00B2433B"/>
    <w:rsid w:val="00B252D4"/>
    <w:rsid w:val="00B26BA4"/>
    <w:rsid w:val="00B30D2B"/>
    <w:rsid w:val="00B320D5"/>
    <w:rsid w:val="00B32ED8"/>
    <w:rsid w:val="00B330E5"/>
    <w:rsid w:val="00B337A5"/>
    <w:rsid w:val="00B353DF"/>
    <w:rsid w:val="00B35DB9"/>
    <w:rsid w:val="00B36A72"/>
    <w:rsid w:val="00B37FED"/>
    <w:rsid w:val="00B4170D"/>
    <w:rsid w:val="00B418AC"/>
    <w:rsid w:val="00B427B8"/>
    <w:rsid w:val="00B42F28"/>
    <w:rsid w:val="00B44103"/>
    <w:rsid w:val="00B44360"/>
    <w:rsid w:val="00B44D15"/>
    <w:rsid w:val="00B44DC5"/>
    <w:rsid w:val="00B44F60"/>
    <w:rsid w:val="00B454BA"/>
    <w:rsid w:val="00B45547"/>
    <w:rsid w:val="00B45F9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7D9"/>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2A1"/>
    <w:rsid w:val="00BD04AF"/>
    <w:rsid w:val="00BD053F"/>
    <w:rsid w:val="00BD0F30"/>
    <w:rsid w:val="00BD11D0"/>
    <w:rsid w:val="00BD1D03"/>
    <w:rsid w:val="00BD1D41"/>
    <w:rsid w:val="00BD31ED"/>
    <w:rsid w:val="00BD3376"/>
    <w:rsid w:val="00BD5952"/>
    <w:rsid w:val="00BD7222"/>
    <w:rsid w:val="00BD72B7"/>
    <w:rsid w:val="00BD739D"/>
    <w:rsid w:val="00BD7AEA"/>
    <w:rsid w:val="00BD7F2B"/>
    <w:rsid w:val="00BE06C5"/>
    <w:rsid w:val="00BE214C"/>
    <w:rsid w:val="00BE239A"/>
    <w:rsid w:val="00BE245B"/>
    <w:rsid w:val="00BE3A37"/>
    <w:rsid w:val="00BE4210"/>
    <w:rsid w:val="00BE4B03"/>
    <w:rsid w:val="00BE4D8B"/>
    <w:rsid w:val="00BE5154"/>
    <w:rsid w:val="00BE570C"/>
    <w:rsid w:val="00BE7285"/>
    <w:rsid w:val="00BF0057"/>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4F"/>
    <w:rsid w:val="00C069E0"/>
    <w:rsid w:val="00C07052"/>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2BB5"/>
    <w:rsid w:val="00C33473"/>
    <w:rsid w:val="00C352E6"/>
    <w:rsid w:val="00C35A8B"/>
    <w:rsid w:val="00C35D2E"/>
    <w:rsid w:val="00C3652C"/>
    <w:rsid w:val="00C36A7C"/>
    <w:rsid w:val="00C36F1B"/>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5D3"/>
    <w:rsid w:val="00C52B31"/>
    <w:rsid w:val="00C535D8"/>
    <w:rsid w:val="00C53AEA"/>
    <w:rsid w:val="00C5471F"/>
    <w:rsid w:val="00C55B9C"/>
    <w:rsid w:val="00C560C0"/>
    <w:rsid w:val="00C56809"/>
    <w:rsid w:val="00C568AC"/>
    <w:rsid w:val="00C5758D"/>
    <w:rsid w:val="00C578B8"/>
    <w:rsid w:val="00C57955"/>
    <w:rsid w:val="00C63AB2"/>
    <w:rsid w:val="00C63DFA"/>
    <w:rsid w:val="00C65608"/>
    <w:rsid w:val="00C65663"/>
    <w:rsid w:val="00C65783"/>
    <w:rsid w:val="00C67E6E"/>
    <w:rsid w:val="00C702F6"/>
    <w:rsid w:val="00C720A3"/>
    <w:rsid w:val="00C72FBD"/>
    <w:rsid w:val="00C732CE"/>
    <w:rsid w:val="00C73729"/>
    <w:rsid w:val="00C73F7E"/>
    <w:rsid w:val="00C74135"/>
    <w:rsid w:val="00C75E34"/>
    <w:rsid w:val="00C80094"/>
    <w:rsid w:val="00C808FE"/>
    <w:rsid w:val="00C816CB"/>
    <w:rsid w:val="00C83116"/>
    <w:rsid w:val="00C83611"/>
    <w:rsid w:val="00C85E51"/>
    <w:rsid w:val="00C86410"/>
    <w:rsid w:val="00C87744"/>
    <w:rsid w:val="00C879D1"/>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B2C"/>
    <w:rsid w:val="00CC01B4"/>
    <w:rsid w:val="00CC0335"/>
    <w:rsid w:val="00CC11D9"/>
    <w:rsid w:val="00CC1D39"/>
    <w:rsid w:val="00CC24BD"/>
    <w:rsid w:val="00CC263A"/>
    <w:rsid w:val="00CC29E7"/>
    <w:rsid w:val="00CC3174"/>
    <w:rsid w:val="00CC477F"/>
    <w:rsid w:val="00CC4ECA"/>
    <w:rsid w:val="00CC5C64"/>
    <w:rsid w:val="00CC5D06"/>
    <w:rsid w:val="00CC5E60"/>
    <w:rsid w:val="00CC630E"/>
    <w:rsid w:val="00CC72E8"/>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2CA0"/>
    <w:rsid w:val="00CE3208"/>
    <w:rsid w:val="00CE3662"/>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917"/>
    <w:rsid w:val="00CF6B91"/>
    <w:rsid w:val="00CF709A"/>
    <w:rsid w:val="00CF7855"/>
    <w:rsid w:val="00D00BC1"/>
    <w:rsid w:val="00D010A7"/>
    <w:rsid w:val="00D0175D"/>
    <w:rsid w:val="00D020BE"/>
    <w:rsid w:val="00D0383A"/>
    <w:rsid w:val="00D0383F"/>
    <w:rsid w:val="00D04708"/>
    <w:rsid w:val="00D05BE1"/>
    <w:rsid w:val="00D06983"/>
    <w:rsid w:val="00D06A6D"/>
    <w:rsid w:val="00D06D96"/>
    <w:rsid w:val="00D07218"/>
    <w:rsid w:val="00D109D3"/>
    <w:rsid w:val="00D11C02"/>
    <w:rsid w:val="00D123C5"/>
    <w:rsid w:val="00D12D23"/>
    <w:rsid w:val="00D12F22"/>
    <w:rsid w:val="00D12FC8"/>
    <w:rsid w:val="00D15894"/>
    <w:rsid w:val="00D15A4E"/>
    <w:rsid w:val="00D15F1E"/>
    <w:rsid w:val="00D15F71"/>
    <w:rsid w:val="00D16A1F"/>
    <w:rsid w:val="00D1724D"/>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3B22"/>
    <w:rsid w:val="00D43E6C"/>
    <w:rsid w:val="00D44A4F"/>
    <w:rsid w:val="00D456EC"/>
    <w:rsid w:val="00D45FF1"/>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2DEA"/>
    <w:rsid w:val="00D63954"/>
    <w:rsid w:val="00D64712"/>
    <w:rsid w:val="00D65E5F"/>
    <w:rsid w:val="00D672C6"/>
    <w:rsid w:val="00D704C1"/>
    <w:rsid w:val="00D7104B"/>
    <w:rsid w:val="00D7124C"/>
    <w:rsid w:val="00D71941"/>
    <w:rsid w:val="00D71E05"/>
    <w:rsid w:val="00D722FA"/>
    <w:rsid w:val="00D72462"/>
    <w:rsid w:val="00D734D6"/>
    <w:rsid w:val="00D736BC"/>
    <w:rsid w:val="00D743C7"/>
    <w:rsid w:val="00D74919"/>
    <w:rsid w:val="00D74DCD"/>
    <w:rsid w:val="00D754E4"/>
    <w:rsid w:val="00D7573B"/>
    <w:rsid w:val="00D76335"/>
    <w:rsid w:val="00D774FE"/>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3B0"/>
    <w:rsid w:val="00DB7D6A"/>
    <w:rsid w:val="00DB7E94"/>
    <w:rsid w:val="00DC09FD"/>
    <w:rsid w:val="00DC0E33"/>
    <w:rsid w:val="00DC0E83"/>
    <w:rsid w:val="00DC0EDA"/>
    <w:rsid w:val="00DC1663"/>
    <w:rsid w:val="00DC19F2"/>
    <w:rsid w:val="00DC2D69"/>
    <w:rsid w:val="00DC328C"/>
    <w:rsid w:val="00DC3333"/>
    <w:rsid w:val="00DC3E48"/>
    <w:rsid w:val="00DC4890"/>
    <w:rsid w:val="00DC5E03"/>
    <w:rsid w:val="00DC6C78"/>
    <w:rsid w:val="00DD0071"/>
    <w:rsid w:val="00DD0BE3"/>
    <w:rsid w:val="00DD19C5"/>
    <w:rsid w:val="00DD2080"/>
    <w:rsid w:val="00DD2960"/>
    <w:rsid w:val="00DD43B7"/>
    <w:rsid w:val="00DD5633"/>
    <w:rsid w:val="00DD7455"/>
    <w:rsid w:val="00DE0C1E"/>
    <w:rsid w:val="00DE1492"/>
    <w:rsid w:val="00DE3392"/>
    <w:rsid w:val="00DE3973"/>
    <w:rsid w:val="00DE43E5"/>
    <w:rsid w:val="00DE4E8A"/>
    <w:rsid w:val="00DE510E"/>
    <w:rsid w:val="00DE5AA2"/>
    <w:rsid w:val="00DE5C00"/>
    <w:rsid w:val="00DE6053"/>
    <w:rsid w:val="00DE6C90"/>
    <w:rsid w:val="00DE719A"/>
    <w:rsid w:val="00DE7F2C"/>
    <w:rsid w:val="00DF0185"/>
    <w:rsid w:val="00DF0259"/>
    <w:rsid w:val="00DF1333"/>
    <w:rsid w:val="00DF2301"/>
    <w:rsid w:val="00DF3574"/>
    <w:rsid w:val="00DF37E0"/>
    <w:rsid w:val="00DF3B3E"/>
    <w:rsid w:val="00DF3E7E"/>
    <w:rsid w:val="00DF427B"/>
    <w:rsid w:val="00DF45D1"/>
    <w:rsid w:val="00DF4BED"/>
    <w:rsid w:val="00DF4F1C"/>
    <w:rsid w:val="00DF518A"/>
    <w:rsid w:val="00DF52A7"/>
    <w:rsid w:val="00DF52B6"/>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20738"/>
    <w:rsid w:val="00E21848"/>
    <w:rsid w:val="00E25D94"/>
    <w:rsid w:val="00E2699F"/>
    <w:rsid w:val="00E26F88"/>
    <w:rsid w:val="00E27275"/>
    <w:rsid w:val="00E27661"/>
    <w:rsid w:val="00E27C38"/>
    <w:rsid w:val="00E303CB"/>
    <w:rsid w:val="00E307F4"/>
    <w:rsid w:val="00E3170C"/>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19"/>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58D6"/>
    <w:rsid w:val="00E8669D"/>
    <w:rsid w:val="00E86F83"/>
    <w:rsid w:val="00E8716E"/>
    <w:rsid w:val="00E91363"/>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6C00"/>
    <w:rsid w:val="00EC7A2A"/>
    <w:rsid w:val="00ED1962"/>
    <w:rsid w:val="00ED1A95"/>
    <w:rsid w:val="00ED20A2"/>
    <w:rsid w:val="00ED2404"/>
    <w:rsid w:val="00ED2A18"/>
    <w:rsid w:val="00ED2C92"/>
    <w:rsid w:val="00ED2D62"/>
    <w:rsid w:val="00ED33A5"/>
    <w:rsid w:val="00ED3904"/>
    <w:rsid w:val="00ED6538"/>
    <w:rsid w:val="00ED671E"/>
    <w:rsid w:val="00ED70B9"/>
    <w:rsid w:val="00ED70C0"/>
    <w:rsid w:val="00ED721B"/>
    <w:rsid w:val="00ED72AE"/>
    <w:rsid w:val="00EE10DE"/>
    <w:rsid w:val="00EE2B8D"/>
    <w:rsid w:val="00EE2BE5"/>
    <w:rsid w:val="00EE319C"/>
    <w:rsid w:val="00EE38B3"/>
    <w:rsid w:val="00EE4A83"/>
    <w:rsid w:val="00EE605B"/>
    <w:rsid w:val="00EE63D1"/>
    <w:rsid w:val="00EE7C74"/>
    <w:rsid w:val="00EF0D01"/>
    <w:rsid w:val="00EF2BEF"/>
    <w:rsid w:val="00EF344D"/>
    <w:rsid w:val="00EF3BEF"/>
    <w:rsid w:val="00EF40E0"/>
    <w:rsid w:val="00EF4D1F"/>
    <w:rsid w:val="00EF4E5D"/>
    <w:rsid w:val="00EF678B"/>
    <w:rsid w:val="00EF7D10"/>
    <w:rsid w:val="00F00310"/>
    <w:rsid w:val="00F01B50"/>
    <w:rsid w:val="00F01C7C"/>
    <w:rsid w:val="00F02012"/>
    <w:rsid w:val="00F03029"/>
    <w:rsid w:val="00F038B8"/>
    <w:rsid w:val="00F03F4A"/>
    <w:rsid w:val="00F04F50"/>
    <w:rsid w:val="00F0518E"/>
    <w:rsid w:val="00F059D3"/>
    <w:rsid w:val="00F05D8D"/>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3D1"/>
    <w:rsid w:val="00F55E88"/>
    <w:rsid w:val="00F56993"/>
    <w:rsid w:val="00F57B8A"/>
    <w:rsid w:val="00F60295"/>
    <w:rsid w:val="00F622B3"/>
    <w:rsid w:val="00F632A1"/>
    <w:rsid w:val="00F632D6"/>
    <w:rsid w:val="00F64082"/>
    <w:rsid w:val="00F64227"/>
    <w:rsid w:val="00F645CC"/>
    <w:rsid w:val="00F648B6"/>
    <w:rsid w:val="00F65492"/>
    <w:rsid w:val="00F65D5F"/>
    <w:rsid w:val="00F663CB"/>
    <w:rsid w:val="00F67F82"/>
    <w:rsid w:val="00F7064C"/>
    <w:rsid w:val="00F70DB9"/>
    <w:rsid w:val="00F71AC9"/>
    <w:rsid w:val="00F72DCF"/>
    <w:rsid w:val="00F72E23"/>
    <w:rsid w:val="00F74473"/>
    <w:rsid w:val="00F76665"/>
    <w:rsid w:val="00F776C3"/>
    <w:rsid w:val="00F778AF"/>
    <w:rsid w:val="00F80925"/>
    <w:rsid w:val="00F81883"/>
    <w:rsid w:val="00F82035"/>
    <w:rsid w:val="00F82B88"/>
    <w:rsid w:val="00F82C02"/>
    <w:rsid w:val="00F8348C"/>
    <w:rsid w:val="00F844BA"/>
    <w:rsid w:val="00F8493D"/>
    <w:rsid w:val="00F8575A"/>
    <w:rsid w:val="00F869DE"/>
    <w:rsid w:val="00F86CCF"/>
    <w:rsid w:val="00F86E3D"/>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7364"/>
    <w:rsid w:val="00FB072C"/>
    <w:rsid w:val="00FB27EA"/>
    <w:rsid w:val="00FB2A28"/>
    <w:rsid w:val="00FB361A"/>
    <w:rsid w:val="00FB3E11"/>
    <w:rsid w:val="00FB6991"/>
    <w:rsid w:val="00FB7171"/>
    <w:rsid w:val="00FB75C5"/>
    <w:rsid w:val="00FC08FD"/>
    <w:rsid w:val="00FC112F"/>
    <w:rsid w:val="00FC2991"/>
    <w:rsid w:val="00FC3664"/>
    <w:rsid w:val="00FC4800"/>
    <w:rsid w:val="00FC4AB9"/>
    <w:rsid w:val="00FC5977"/>
    <w:rsid w:val="00FC59CA"/>
    <w:rsid w:val="00FC5E1D"/>
    <w:rsid w:val="00FC6883"/>
    <w:rsid w:val="00FC70CA"/>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6D51"/>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112F"/>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line="480" w:lineRule="auto"/>
      <w:ind w:left="720" w:hanging="720"/>
    </w:pPr>
    <w:rPr>
      <w:rFonts w:ascii="Times New Roman" w:hAnsi="Times New Roman"/>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rPr>
      <w:rFonts w:ascii="Times New Roman" w:hAnsi="Times New Roman"/>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jpe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jpe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2.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4.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34</TotalTime>
  <Pages>34</Pages>
  <Words>22067</Words>
  <Characters>125788</Characters>
  <Application>Microsoft Office Word</Application>
  <DocSecurity>0</DocSecurity>
  <Lines>1048</Lines>
  <Paragraphs>295</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147560</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4</cp:revision>
  <cp:lastPrinted>2026-04-15T23:13:00Z</cp:lastPrinted>
  <dcterms:created xsi:type="dcterms:W3CDTF">2026-08-24T03:29:00Z</dcterms:created>
  <dcterms:modified xsi:type="dcterms:W3CDTF">2026-09-30T19:56:00Z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zotero-version="9.0.6"&gt;&lt;session id="RvpO86q2"/&gt;&lt;style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