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pPr>
        <w:pStyle w:val="BodyText"/>
        <w:spacing w:line="480" w:lineRule="auto"/>
      </w:pPr>
      <w:r>
        <w:rPr>
          <w:b/>
        </w:rPr>
        <w:t>Journal:</w:t>
      </w:r>
      <w:r>
        <w:t xml:space="preserve"> Ecological Applications</w:t>
      </w:r>
    </w:p>
    <w:p w14:paraId="75593CCD" w14:textId="77777777" w:rsidR="00BD1D03" w:rsidRDefault="00000000">
      <w:pPr>
        <w:pStyle w:val="BodyText"/>
        <w:spacing w:line="480" w:lineRule="auto"/>
      </w:pPr>
      <w:r>
        <w:rPr>
          <w:b/>
        </w:rPr>
        <w:t>Manuscript type:</w:t>
      </w:r>
      <w:r>
        <w:t xml:space="preserve"> Method</w:t>
      </w:r>
    </w:p>
    <w:p w14:paraId="7B7E7696"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pPr>
        <w:pStyle w:val="BodyText"/>
        <w:spacing w:line="480" w:lineRule="auto"/>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pPr>
        <w:pStyle w:val="BodyText"/>
        <w:spacing w:line="480" w:lineRule="auto"/>
      </w:pPr>
      <w:r>
        <w:rPr>
          <w:vertAlign w:val="superscript"/>
        </w:rPr>
        <w:t>1</w:t>
      </w:r>
      <w:r>
        <w:t>School of Marine and Environmental Affairs, University of Washington, Seattle, Washington, USA</w:t>
      </w:r>
    </w:p>
    <w:p w14:paraId="1194CBA9" w14:textId="77777777" w:rsidR="00BD1D03" w:rsidRDefault="00000000">
      <w:pPr>
        <w:pStyle w:val="BodyText"/>
        <w:spacing w:line="480" w:lineRule="auto"/>
      </w:pPr>
      <w:r>
        <w:rPr>
          <w:vertAlign w:val="superscript"/>
        </w:rPr>
        <w:t>2</w:t>
      </w:r>
      <w:r>
        <w:t>Conservation Biology Division, Northwest Fisheries Science Center, NOAA Fisheries, 2725 Montlake Blvd E, Seattle, Washington 98112, USA</w:t>
      </w:r>
    </w:p>
    <w:p w14:paraId="1455DA54" w14:textId="77777777" w:rsidR="00BD1D03" w:rsidRDefault="00000000">
      <w:pPr>
        <w:pStyle w:val="BodyText"/>
        <w:spacing w:line="480" w:lineRule="auto"/>
      </w:pPr>
      <w:r>
        <w:rPr>
          <w:vertAlign w:val="superscript"/>
        </w:rPr>
        <w:t>3</w:t>
      </w:r>
      <w:r>
        <w:t>School of Aquatic and Fishery Sciences, University of Washington, Seattle, Washington, USA</w:t>
      </w:r>
    </w:p>
    <w:p w14:paraId="3CA58A61" w14:textId="77777777" w:rsidR="00BD1D03" w:rsidRDefault="00000000">
      <w:pPr>
        <w:pStyle w:val="BodyText"/>
        <w:spacing w:line="480" w:lineRule="auto"/>
      </w:pPr>
      <w:r>
        <w:rPr>
          <w:vertAlign w:val="superscript"/>
        </w:rPr>
        <w:t>*</w:t>
      </w:r>
      <w:r>
        <w:t>Corresponding author. Email: gguri@uw.edu</w:t>
      </w:r>
    </w:p>
    <w:p w14:paraId="35BA781E" w14:textId="77777777" w:rsidR="00BD1D03" w:rsidRDefault="00000000">
      <w:pPr>
        <w:pStyle w:val="BodyText"/>
        <w:spacing w:line="480" w:lineRule="auto"/>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pPr>
        <w:pStyle w:val="BodyText"/>
        <w:spacing w:line="480" w:lineRule="auto"/>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AD04EE">
      <w:pPr>
        <w:pStyle w:val="Author"/>
        <w:spacing w:after="0" w:line="480" w:lineRule="auto"/>
        <w:jc w:val="left"/>
        <w:rPr>
          <w:rFonts w:ascii="Times New Roman" w:hAnsi="Times New Roman" w:cs="Times New Roman"/>
        </w:rPr>
      </w:pPr>
    </w:p>
    <w:p w14:paraId="7FB341E9" w14:textId="77777777" w:rsidR="00AD04EE" w:rsidRDefault="00AD04EE">
      <w:pPr>
        <w:rPr>
          <w:rFonts w:ascii="Times New Roman" w:eastAsiaTheme="majorEastAsia" w:hAnsi="Times New Roman" w:cstheme="majorBidi"/>
          <w:b/>
          <w:sz w:val="28"/>
          <w:szCs w:val="40"/>
        </w:rPr>
      </w:pPr>
      <w:r>
        <w:br w:type="page"/>
      </w:r>
    </w:p>
    <w:p w14:paraId="1AF47531" w14:textId="77777777" w:rsidR="0032076E" w:rsidRDefault="00D04708" w:rsidP="001643E6">
      <w:pPr>
        <w:pStyle w:val="Heading1"/>
        <w:spacing w:before="0" w:after="0" w:line="480" w:lineRule="auto"/>
      </w:pPr>
      <w:r>
        <w:lastRenderedPageBreak/>
        <w:t>Abstract</w:t>
      </w:r>
    </w:p>
    <w:p w14:paraId="2F40A1B5" w14:textId="179A8C1C" w:rsidR="000D6CB9" w:rsidRDefault="00000000">
      <w:pPr>
        <w:pStyle w:val="BodyText"/>
        <w:spacing w:line="480" w:lineRule="auto"/>
      </w:pPr>
      <w:r>
        <w:t xml:space="preserve">Environmental DNA (eDNA) surveys are increasingly used to monitor marine biodiversity, yet managers </w:t>
      </w:r>
      <w:r w:rsidR="00462704">
        <w:t xml:space="preserve">who must budget and justify surveys </w:t>
      </w:r>
      <w:r>
        <w:t xml:space="preserve">have little quantitative guidance on how many samples to collect, and because species differ in patchiness, no single sample size serves all. We </w:t>
      </w:r>
      <w:r w:rsidR="00462704" w:rsidRPr="00462704">
        <w:rPr>
          <w:rFonts w:cs="Times New Roman"/>
        </w:rPr>
        <w:t>hypothesize</w:t>
      </w:r>
      <w:r>
        <w:t>d that a taxon’s spatial autocorrelation length-scale (</w:t>
      </w:r>
      <w:r>
        <w:rPr>
          <w:i/>
        </w:rPr>
        <w:t>ρ</w:t>
      </w:r>
      <w:r>
        <w:t>)</w:t>
      </w:r>
      <w:r w:rsidR="00462704" w:rsidRPr="00462704">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sidR="00462704" w:rsidRPr="00462704">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sidR="00462704" w:rsidRPr="00462704">
        <w:rPr>
          <w:rFonts w:cs="Times New Roman"/>
        </w:rPr>
        <w:t>The resulting</w:t>
      </w:r>
      <w:r>
        <w:t xml:space="preserve"> prediction </w:t>
      </w:r>
      <w:r w:rsidR="00462704" w:rsidRPr="00462704">
        <w:rPr>
          <w:rFonts w:cs="Times New Roman"/>
        </w:rPr>
        <w:t>error</w:t>
      </w:r>
      <w:r>
        <w:t xml:space="preserve">s are summarized in an invertible error–effort equation </w:t>
      </w:r>
      <w:r w:rsidR="00462704">
        <w:t xml:space="preserve">that converts a target prediction error and a prior estimate of ρ into a minimum sampling density and is </w:t>
      </w:r>
      <w:r>
        <w:t xml:space="preserve">implemented in a free, browser-based survey planner. </w:t>
      </w:r>
      <w:r w:rsidR="00462704" w:rsidRPr="00462704">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w:t>
      </w:r>
      <w:r w:rsidR="00C52B80">
        <w:t>.</w:t>
      </w:r>
      <w:r>
        <w:t xml:space="preserve"> </w:t>
      </w:r>
      <w:r w:rsidR="00C52B80">
        <w:t>M</w:t>
      </w:r>
      <w:r w:rsidR="00C52B80">
        <w:t xml:space="preserve">arginal </w:t>
      </w:r>
      <w:r>
        <w:t>gains</w:t>
      </w:r>
      <w:r w:rsidR="00C52B80">
        <w:t xml:space="preserve"> in prediction accuracy</w:t>
      </w:r>
      <w:r>
        <w:t xml:space="preserve"> became negligible </w:t>
      </w:r>
      <w:r w:rsidR="006011D6" w:rsidRPr="003F1347">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w:t>
      </w:r>
      <w:r w:rsidR="006011D6">
        <w:t xml:space="preserve">for </w:t>
      </w:r>
      <w:r>
        <w:t>patchily distributed species (</w:t>
      </w:r>
      <w:r>
        <w:rPr>
          <w:i/>
        </w:rPr>
        <w:t>ρ</w:t>
      </w:r>
      <w:r>
        <w:t xml:space="preserve"> &lt; 50 km) </w:t>
      </w:r>
      <w:r w:rsidR="006011D6" w:rsidRPr="006011D6">
        <w:rPr>
          <w:rFonts w:cs="Times New Roman"/>
        </w:rPr>
        <w:t>they became negligible only beyon</w:t>
      </w:r>
      <w:commentRangeStart w:id="1"/>
      <w:commentRangeStart w:id="2"/>
      <w:r>
        <w:t>d 8–11</w:t>
      </w:r>
      <w:commentRangeEnd w:id="1"/>
      <w:r w:rsidR="00C52B80">
        <w:rPr>
          <w:rStyle w:val="CommentReference"/>
          <w:sz w:val="24"/>
          <w:szCs w:val="24"/>
        </w:rPr>
        <w:commentReference w:id="1"/>
      </w:r>
      <w:commentRangeEnd w:id="2"/>
      <w:r w:rsidR="00020775">
        <w:rPr>
          <w:rStyle w:val="CommentReference"/>
          <w:sz w:val="24"/>
          <w:szCs w:val="24"/>
        </w:rPr>
        <w:commentReference w:id="2"/>
      </w:r>
      <w:r>
        <w:t xml:space="preserve">, </w:t>
      </w:r>
      <w:r w:rsidR="006011D6" w:rsidRPr="006011D6">
        <w:rPr>
          <w:rFonts w:cs="Times New Roman"/>
        </w:rPr>
        <w:t>more than</w:t>
      </w:r>
      <w:r>
        <w:t xml:space="preserve"> twice the </w:t>
      </w:r>
      <w:r w:rsidR="006011D6" w:rsidRPr="006011D6">
        <w:rPr>
          <w:rFonts w:cs="Times New Roman"/>
        </w:rPr>
        <w:t>sampling density</w:t>
      </w:r>
      <w:r>
        <w:t>.</w:t>
      </w:r>
      <w:r w:rsidR="00462704">
        <w:t xml:space="preserve"> Error patterns in the simulations closely matched those in the observed data.</w:t>
      </w:r>
      <w:r>
        <w:t xml:space="preserve"> </w:t>
      </w:r>
      <w:r w:rsidR="006011D6" w:rsidRPr="006011D6">
        <w:rPr>
          <w:rFonts w:cs="Times New Roman"/>
        </w:rPr>
        <w:t>Together, these results show that the sampling effort needed to characterize a species’ distribution is not universal but depends on its spatial autocorrelation, and can therefore be specified in advance</w:t>
      </w:r>
      <w:commentRangeStart w:id="3"/>
      <w:commentRangeStart w:id="4"/>
      <w:r>
        <w:t xml:space="preserve">. </w:t>
      </w:r>
      <w:commentRangeEnd w:id="3"/>
      <w:r w:rsidR="00C52B80">
        <w:rPr>
          <w:rStyle w:val="CommentReference"/>
          <w:sz w:val="24"/>
          <w:szCs w:val="24"/>
        </w:rPr>
        <w:commentReference w:id="3"/>
      </w:r>
      <w:commentRangeEnd w:id="4"/>
      <w:r w:rsidR="00020775">
        <w:rPr>
          <w:rStyle w:val="CommentReference"/>
          <w:sz w:val="24"/>
          <w:szCs w:val="24"/>
        </w:rPr>
        <w:commentReference w:id="4"/>
      </w:r>
      <w:commentRangeStart w:id="5"/>
      <w:commentRangeStart w:id="6"/>
      <w:r>
        <w:t>The planner lets survey designers set defensible, species-specific effort before a cruise.</w:t>
      </w:r>
      <w:commentRangeEnd w:id="5"/>
      <w:r w:rsidR="00C52B80">
        <w:rPr>
          <w:rStyle w:val="CommentReference"/>
          <w:sz w:val="24"/>
          <w:szCs w:val="24"/>
        </w:rPr>
        <w:commentReference w:id="5"/>
      </w:r>
      <w:commentRangeEnd w:id="6"/>
      <w:r w:rsidR="00020775">
        <w:rPr>
          <w:rStyle w:val="CommentReference"/>
          <w:sz w:val="24"/>
          <w:szCs w:val="24"/>
        </w:rPr>
        <w:commentReference w:id="6"/>
      </w:r>
    </w:p>
    <w:p w14:paraId="5D886C7A" w14:textId="77777777" w:rsidR="003B5D12" w:rsidRPr="00915163" w:rsidRDefault="003B5D12" w:rsidP="001643E6">
      <w:pPr>
        <w:pStyle w:val="BodyText"/>
        <w:spacing w:line="480" w:lineRule="auto"/>
      </w:pPr>
    </w:p>
    <w:p w14:paraId="55B66859" w14:textId="77777777" w:rsidR="00D477E6" w:rsidRPr="00D477E6" w:rsidRDefault="00D477E6" w:rsidP="001643E6">
      <w:pPr>
        <w:pStyle w:val="BodyText"/>
        <w:spacing w:line="480" w:lineRule="auto"/>
      </w:pPr>
    </w:p>
    <w:p w14:paraId="51CE0AFA" w14:textId="77777777" w:rsidR="0032076E" w:rsidRDefault="00D04708" w:rsidP="001643E6">
      <w:pPr>
        <w:pStyle w:val="Heading1"/>
        <w:spacing w:before="0" w:after="0" w:line="480" w:lineRule="auto"/>
      </w:pPr>
      <w:bookmarkStart w:id="7" w:name="introduction"/>
      <w:bookmarkEnd w:id="0"/>
      <w:r>
        <w:t>Introduction</w:t>
      </w:r>
    </w:p>
    <w:p w14:paraId="68880131" w14:textId="77777777" w:rsidR="00E656D3" w:rsidRDefault="00686350" w:rsidP="001643E6">
      <w:pPr>
        <w:pStyle w:val="BodyText"/>
        <w:spacing w:line="480" w:lineRule="auto"/>
        <w:ind w:firstLine="720"/>
      </w:pPr>
      <w:bookmarkStart w:id="8"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8"/>
    <w:p w14:paraId="44A2B5FA" w14:textId="77777777" w:rsidR="00CE6B24" w:rsidRDefault="0066533A" w:rsidP="001643E6">
      <w:pPr>
        <w:pStyle w:val="BodyText"/>
        <w:spacing w:line="480" w:lineRule="auto"/>
        <w:ind w:firstLine="720"/>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1643E6">
      <w:pPr>
        <w:pStyle w:val="BodyText"/>
        <w:spacing w:line="480" w:lineRule="auto"/>
        <w:ind w:firstLine="720"/>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xml:space="preserve">, this relationship exhibits diminishing returns where beyond a certain threshold, </w:t>
      </w:r>
      <w:r w:rsidRPr="00BF4A9D">
        <w:lastRenderedPageBreak/>
        <w:t>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0388C83E" w14:textId="4325A6F7" w:rsidR="00286ADA" w:rsidRPr="00C36F1B" w:rsidRDefault="00FC70CA" w:rsidP="001643E6">
      <w:pPr>
        <w:pStyle w:val="BodyText"/>
        <w:spacing w:line="480" w:lineRule="auto"/>
        <w:ind w:firstLine="720"/>
      </w:pPr>
      <w:bookmarkStart w:id="9"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bookmarkEnd w:id="9"/>
      <w:r>
        <w:t>Yet</w:t>
      </w:r>
      <w:r w:rsidR="00462704" w:rsidRPr="00462704">
        <w:rPr>
          <w:rFonts w:cs="Times New Roman"/>
        </w:rPr>
        <w:t>, although general design guidance exists, there is still no quantitative, transferable procedure that returns how many eDNA samples a survey needs to reach a given precision</w:t>
      </w:r>
      <w:r>
        <w:t xml:space="preserve">, and design guidance is rarely used unless it is accessible to those who plan surveys. Here we </w:t>
      </w:r>
      <w:r w:rsidR="00462704" w:rsidRPr="00462704">
        <w:rPr>
          <w:rFonts w:cs="Times New Roman"/>
        </w:rPr>
        <w:t>test the hypothesis that the sampling density needed to reconstruct a species’ distribution to a given accuracy can be predicted from its spatial autocorrelation length-scale, and we use this relationship to develop a quantitative, simulation-based procedure,</w:t>
      </w:r>
      <w:r>
        <w:t xml:space="preserve"> together with a free, interactive tool that implements it. Using paired simulated and empirical eDNA data for species that differ in their spatial distributions, the method quantifies how spatial autocorrelation and sampling effort affect (i) the predictive accuracy of species distribution models and (ii) the accuracy of GP parameter estimation, and summarizes the result in an equation that can be solved for the sampling effort required. Our objective is deliberately operational: to provide survey planners with guidance that can be applied before a cruise, based on a prior estimate of the spatial autocorrelation of target taxa and the level of precision required. We describe the </w:t>
      </w:r>
      <w:r>
        <w:lastRenderedPageBreak/>
        <w:t>method and the planner, demonstrate both with a multispecies eDNA survey of the California Current, and outline applications to survey planning, monitoring and management.</w:t>
      </w:r>
    </w:p>
    <w:p w14:paraId="31769F42" w14:textId="77777777" w:rsidR="0032076E" w:rsidRDefault="00D04708" w:rsidP="001643E6">
      <w:pPr>
        <w:pStyle w:val="Heading1"/>
        <w:spacing w:before="0" w:after="0" w:line="480" w:lineRule="auto"/>
      </w:pPr>
      <w:bookmarkStart w:id="10" w:name="materials-and-methods"/>
      <w:bookmarkEnd w:id="7"/>
      <w:r>
        <w:t>Description of the method</w:t>
      </w:r>
    </w:p>
    <w:p w14:paraId="2EC86B50" w14:textId="349DF3E0" w:rsidR="001B4F2A" w:rsidRDefault="00DD566F" w:rsidP="001643E6">
      <w:pPr>
        <w:pStyle w:val="BodyText"/>
        <w:spacing w:line="480" w:lineRule="auto"/>
        <w:ind w:firstLine="720"/>
      </w:pPr>
      <w:bookmarkStart w:id="11" w:name="simulated-edna-data"/>
      <w:r w:rsidRPr="00DD566F">
        <w:t xml:space="preserve">The method links sampling effort to the accuracy of spatial inference within a common GP framework and proceeds in four steps (Figure 2): (1) generate simulated eDNA fields from a GP model across a wide range of spatial autocorrelation length-scales, so that the spatial structure of each field is known by construction and effort can be varied over a range no field campaign can achieve; (2) fit the same GP model to each complete simulated dataset to learn its governing parameters and to predict a reference field across a fixed prediction grid; (3) remove samples at progressively lower sampling densities and refit the GP model to each reduced-effort dataset; and (4) compare the parameters and the predicted fields obtained in Step 3 with those obtained in Step 2, quantifying how parameter recovery and prediction accuracy degrade as effort is reduced. </w:t>
      </w:r>
      <w:r w:rsidR="00462704">
        <w:t>The resulting prediction error is then summarized</w:t>
      </w:r>
      <w:r w:rsidR="003676DB">
        <w:t xml:space="preserve"> as a function of sampling density and spatial autocorrelation in a regression that can be inverted to return the sampling density required for a user-defined error tolerance. </w:t>
      </w:r>
      <w:r w:rsidR="00462704">
        <w:t>The resulting equation is implemented</w:t>
      </w:r>
      <w:r w:rsidR="003676DB">
        <w:t xml:space="preserve"> in the eDNA Survey Planner, so that end users need only a prior estimate of spatial autocorrelation </w:t>
      </w:r>
      <w:r w:rsidR="00462704">
        <w:t>and a target error. The same workflow is also applied to observed eDNA data to benchmark the simulations against real fields. We describe</w:t>
      </w:r>
      <w:r w:rsidR="003676DB">
        <w:t xml:space="preserve"> each step generically, giving the values used in the case study where relevant.</w:t>
      </w:r>
    </w:p>
    <w:p w14:paraId="59C9A8B7" w14:textId="77777777" w:rsidR="000D6CB9" w:rsidRDefault="00000000">
      <w:pPr>
        <w:pStyle w:val="Heading2"/>
        <w:spacing w:before="0" w:after="0" w:line="480" w:lineRule="auto"/>
      </w:pPr>
      <w:r>
        <w:t>Modelling framework: Gaussian processes</w:t>
      </w:r>
    </w:p>
    <w:p w14:paraId="285A475A" w14:textId="77777777" w:rsidR="000D6CB9" w:rsidRDefault="00000000">
      <w:pPr>
        <w:pStyle w:val="BodyText"/>
        <w:spacing w:line="480" w:lineRule="auto"/>
        <w:ind w:firstLine="720"/>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 xml:space="preserve">(Lewy &amp; Kristensen, </w:t>
      </w:r>
      <w:r w:rsidR="008F35CC">
        <w:rPr>
          <w:noProof/>
        </w:rPr>
        <w:lastRenderedPageBreak/>
        <w:t>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pPr>
        <w:pStyle w:val="FirstParagraph"/>
        <w:spacing w:line="480" w:lineRule="auto"/>
        <w:ind w:firstLine="720"/>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22630054" w14:textId="77777777" w:rsidR="000D6CB9" w:rsidRDefault="00000000">
      <w:pPr>
        <w:pStyle w:val="FirstParagraph"/>
        <w:spacing w:line="480" w:lineRule="auto"/>
        <w:ind w:firstLine="720"/>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4B10609F" w14:textId="77777777" w:rsidR="00A15ACC" w:rsidRPr="008D73E1" w:rsidRDefault="00162082" w:rsidP="001643E6">
      <w:pPr>
        <w:pStyle w:val="BodyText"/>
        <w:spacing w:line="480" w:lineRule="auto"/>
      </w:pPr>
      <w:r>
        <w:rPr>
          <w:b/>
        </w:rPr>
        <w:t>Step 1: Estimating taxon</w:t>
      </w:r>
      <w:r>
        <w:rPr>
          <w:b/>
          <w:bCs w:val="0"/>
        </w:rPr>
        <w:t>-specific spatial structure</w:t>
      </w:r>
    </w:p>
    <w:p w14:paraId="4E577FE3" w14:textId="77777777" w:rsidR="00D94C80" w:rsidRDefault="0039223E" w:rsidP="001643E6">
      <w:pPr>
        <w:pStyle w:val="BodyText"/>
        <w:spacing w:line="480" w:lineRule="auto"/>
        <w:ind w:firstLine="720"/>
      </w:pPr>
      <w:r>
        <w:t>Given log eDNA concentration values (</w:t>
      </w:r>
      <w:r>
        <w:rPr>
          <w:i/>
          <w:iCs/>
        </w:rPr>
        <w:t>Y</w:t>
      </w:r>
      <w:r>
        <w:t>) paired with spatial coordinates (</w:t>
      </w:r>
      <w:r>
        <w:rPr>
          <w:i/>
          <w:iCs/>
        </w:rPr>
        <w:t>X</w:t>
      </w:r>
      <w:r>
        <w:t>) for each sampling location (</w:t>
      </w:r>
      <w:r>
        <w:rPr>
          <w:i/>
          <w:iCs/>
        </w:rPr>
        <w:t>x</w:t>
      </w:r>
      <w:r>
        <w:t>;</w:t>
      </w:r>
      <w:r>
        <w:rPr>
          <w:i/>
          <w:iCs/>
        </w:rPr>
        <w:t xml:space="preserve"> N</w:t>
      </w:r>
      <w:r>
        <w:t xml:space="preserve"> = 358 in the case study), we used the GP model (Eq. 1–2) to infer the 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 Additionally, we used the model to predict eDNA concentrations (</w:t>
      </w:r>
      <w:r>
        <w:rPr>
          <w:i/>
          <w:iCs/>
        </w:rPr>
        <w:t>Z</w:t>
      </w:r>
      <w:r>
        <w:t>) across a spatial prediction grid (</w:t>
      </w:r>
      <w:r>
        <w:rPr>
          <w:i/>
          <w:iCs/>
        </w:rPr>
        <w:t>Q</w:t>
      </w:r>
      <w:r>
        <w:t>) using Eq 3. In the case study, we defined this grid (</w:t>
      </w:r>
      <w:r>
        <w:rPr>
          <w:i/>
          <w:iCs/>
        </w:rPr>
        <w:t>Q</w:t>
      </w:r>
      <w:r>
        <w:t xml:space="preserve">) as 18,916 discrete point estimates, representing the centroids of approximately 8 × 8 km spatial cells distributed across five depth layers. The number of points differed among depth layers (4,000, 4,000, 4,000, </w:t>
      </w:r>
      <w:r>
        <w:lastRenderedPageBreak/>
        <w:t>3,622, and 3,294 points, respectively) because deeper layers covered a smaller spatial extent than shallower layers due to bathymetry.</w:t>
      </w:r>
    </w:p>
    <w:p w14:paraId="0DD2164A" w14:textId="77777777" w:rsidR="007A35C1" w:rsidRDefault="00E0592E"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4FADBACC" w14:textId="77777777" w:rsidR="007A35C1" w:rsidRDefault="00000000" w:rsidP="001643E6">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56E3FA80" w14:textId="77777777" w:rsidR="003939B7" w:rsidRDefault="003939B7" w:rsidP="001643E6">
      <w:pPr>
        <w:pStyle w:val="Heading2"/>
        <w:spacing w:before="0" w:after="0" w:line="480" w:lineRule="auto"/>
      </w:pPr>
      <w:r>
        <w:t>Step 2: Quantifying information loss under reduced sampling effort</w:t>
      </w:r>
    </w:p>
    <w:p w14:paraId="030DEAE7" w14:textId="77777777" w:rsidR="005E3F20" w:rsidRPr="004834A6" w:rsidRDefault="005E3F20" w:rsidP="001643E6">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 xml:space="preserve">(in the case study, </w:t>
      </w:r>
      <w:r>
        <w:rPr>
          <w:rStyle w:val="s2"/>
        </w:rPr>
        <w:t>N = 330, 300, 260, 220,</w:t>
      </w:r>
      <w:r>
        <w:rPr>
          <w:rStyle w:val="s1"/>
        </w:rPr>
        <w:t xml:space="preserve"> and </w:t>
      </w:r>
      <w:r>
        <w:rPr>
          <w:rStyle w:val="s2"/>
        </w:rPr>
        <w:t>150; Figure 2B).</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1643E6">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77777777" w:rsidR="005E3F20" w:rsidRDefault="005E3F20" w:rsidP="001643E6">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in the case study),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in the case study),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7777777" w:rsidR="008C05CD" w:rsidRDefault="008C05CD" w:rsidP="001643E6">
      <w:pPr>
        <w:pStyle w:val="p1"/>
        <w:spacing w:before="0" w:beforeAutospacing="0" w:after="0" w:afterAutospacing="0" w:line="480" w:lineRule="auto"/>
        <w:ind w:firstLine="720"/>
      </w:pPr>
      <w:r>
        <w:lastRenderedPageBreak/>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0C28F593" w14:textId="77777777"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1A61BA4F" w14:textId="77777777" w:rsidR="008A5961" w:rsidRDefault="008C05CD" w:rsidP="001643E6">
      <w:pPr>
        <w:pStyle w:val="BodyText"/>
        <w:spacing w:line="480" w:lineRule="auto"/>
        <w:ind w:firstLine="720"/>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32351B21" w14:textId="77777777" w:rsidR="0047549D" w:rsidRDefault="0047549D" w:rsidP="001643E6">
      <w:pPr>
        <w:pStyle w:val="Heading2"/>
        <w:spacing w:before="0" w:after="0" w:line="480" w:lineRule="auto"/>
      </w:pPr>
      <w:r>
        <w:t>Step 3: Extending the range of sampling effort with simulated fields</w:t>
      </w:r>
    </w:p>
    <w:p w14:paraId="3A5E7DD5" w14:textId="77777777" w:rsidR="00895A6B" w:rsidRDefault="00B62303" w:rsidP="001643E6">
      <w:pPr>
        <w:pStyle w:val="BodyText"/>
        <w:spacing w:line="480" w:lineRule="auto"/>
        <w:ind w:firstLine="720"/>
      </w:pPr>
      <w:r>
        <w:t>Because no observed dataset can span the full range of sampling effort of interest (</w:t>
      </w:r>
      <w:r>
        <w:rPr>
          <w:i/>
          <w:iCs/>
        </w:rPr>
        <w:t>N</w:t>
      </w:r>
      <w:r>
        <w:t xml:space="preserve"> = 358 in the case study), the third step extends the effort range by simulation. We generated </w:t>
      </w:r>
      <w:r>
        <w:rPr>
          <w:i/>
          <w:iCs/>
        </w:rPr>
        <w:t>in-silico</w:t>
      </w:r>
      <w:r>
        <w:t xml:space="preserve"> eDNA concentration data using the GP model (Eq. 1-2) across the same spatial domain and prediction grid (</w:t>
      </w:r>
      <w:r>
        <w:rPr>
          <w:i/>
          <w:iCs/>
        </w:rPr>
        <w:t>Q</w:t>
      </w:r>
      <w:r>
        <w:t>) used in the empirical analysis.</w:t>
      </w:r>
    </w:p>
    <w:p w14:paraId="560E1ABC" w14:textId="77777777" w:rsidR="004242D5" w:rsidRDefault="00D46036" w:rsidP="001643E6">
      <w:pPr>
        <w:pStyle w:val="BodyText"/>
        <w:spacing w:line="480" w:lineRule="auto"/>
        <w:ind w:firstLine="720"/>
      </w:pPr>
      <w:r>
        <w:t>The simulations were designed to explore a wide range of spatial structures by varying the GP length-scale parameter (</w:t>
      </w:r>
      <w:r>
        <w:rPr>
          <w:i/>
          <w:iCs/>
          <w:lang w:val="el-GR"/>
        </w:rPr>
        <w:t>ρ</w:t>
      </w:r>
      <w:r>
        <w:t>) across ten levels: 25, 50, 75, 100, 200, 300, 400, 500, 800, and 1000 km (</w:t>
      </w:r>
      <w:r>
        <w:rPr>
          <w:szCs w:val="36"/>
        </w:rPr>
        <w:t>Appendix S1: Table S1)</w:t>
      </w:r>
      <w:r>
        <w:t xml:space="preserve">. For each value of </w:t>
      </w:r>
      <w:r>
        <w:rPr>
          <w:i/>
          <w:iCs/>
          <w:lang w:val="el-GR"/>
        </w:rPr>
        <w:t>ρ</w:t>
      </w:r>
      <w:r>
        <w:t xml:space="preserve"> we generated (arbitrarily) 20 independent replicate spatial fields, resulting in a total of 200 simulated datasets </w:t>
      </w:r>
      <w:r>
        <w:rPr>
          <w:rFonts w:eastAsiaTheme="minorEastAsia"/>
        </w:rPr>
        <w:t xml:space="preserve">(10 </w:t>
      </w:r>
      <m:oMath>
        <m:r>
          <w:rPr>
            <w:rFonts w:ascii="Cambria Math" w:hAnsi="Cambria Math"/>
          </w:rPr>
          <m:t>ρ</m:t>
        </m:r>
      </m:oMath>
      <w:r>
        <w:rPr>
          <w:rFonts w:eastAsiaTheme="minorEastAsia"/>
        </w:rPr>
        <w:t xml:space="preserve"> levels × 20 replicates; </w:t>
      </w:r>
      <w:r>
        <w:rPr>
          <w:szCs w:val="36"/>
        </w:rPr>
        <w:t>Appendix S1: Table S1</w:t>
      </w:r>
      <w:r>
        <w:rPr>
          <w:rFonts w:eastAsiaTheme="minorEastAsia"/>
        </w:rPr>
        <w:t>).</w:t>
      </w:r>
      <w:r>
        <w:t xml:space="preserve"> Similar to GP inference of the empirical data, within each simulation, </w:t>
      </w:r>
      <w:r>
        <w:rPr>
          <w:i/>
          <w:iCs/>
        </w:rPr>
        <w:t>ρ</w:t>
      </w:r>
      <w:r>
        <w:t xml:space="preserve"> was held constant across depth layers, but each layer had a separate mean (</w:t>
      </w:r>
      <w:r>
        <w:rPr>
          <w:lang w:val="el-GR"/>
        </w:rPr>
        <w:t>μ</w:t>
      </w:r>
      <w:r>
        <w:rPr>
          <w:vertAlign w:val="subscript"/>
        </w:rPr>
        <w:t>d</w:t>
      </w:r>
      <w:r>
        <w:t xml:space="preserve">) drawn randomly from a normal distribution with mean of 0 and a standard deviation of 3. We focused only on spatial autocorrelation across latitude and longitude, allowing the eDNA concentration at each depth to be independent. </w:t>
      </w:r>
      <w:bookmarkStart w:id="12" w:name="OLE_LINK11"/>
      <w:r>
        <w:t>The amplitude (</w:t>
      </w:r>
      <w:r>
        <w:rPr>
          <w:i/>
          <w:iCs/>
          <w:lang w:val="el-GR"/>
        </w:rPr>
        <w:t>α</w:t>
      </w:r>
      <w:r>
        <w:rPr>
          <w:i/>
          <w:iCs/>
          <w:vertAlign w:val="superscript"/>
        </w:rPr>
        <w:t>2</w:t>
      </w:r>
      <w:r>
        <w:t>) and the non-spatial variance (</w:t>
      </w:r>
      <w:r>
        <w:rPr>
          <w:lang w:val="el-GR"/>
        </w:rPr>
        <w:t>σ</w:t>
      </w:r>
      <w:r>
        <w:rPr>
          <w:vertAlign w:val="superscript"/>
        </w:rPr>
        <w:t>2</w:t>
      </w:r>
      <w:r>
        <w:t xml:space="preserve">) in Eq. 1 and 2 were </w:t>
      </w:r>
      <w:r>
        <w:lastRenderedPageBreak/>
        <w:t xml:space="preserve">fixed at 4 and 3, respectively, to mirror </w:t>
      </w:r>
      <w:bookmarkStart w:id="13" w:name="OLE_LINK12"/>
      <w:bookmarkEnd w:id="12"/>
      <w:r>
        <w:t xml:space="preserve">the empirical estimates, where </w:t>
      </w:r>
      <w:r>
        <w:rPr>
          <w:lang w:val="el-GR"/>
        </w:rPr>
        <w:t>α</w:t>
      </w:r>
      <w:r>
        <w:rPr>
          <w:vertAlign w:val="superscript"/>
        </w:rPr>
        <w:t>2</w:t>
      </w:r>
      <w:r>
        <w:t xml:space="preserve"> ranged from 2.3 to 4.2 across species and </w:t>
      </w:r>
      <w:r>
        <w:rPr>
          <w:lang w:val="el-GR"/>
        </w:rPr>
        <w:t>σ</w:t>
      </w:r>
      <w:r>
        <w:rPr>
          <w:vertAlign w:val="superscript"/>
        </w:rPr>
        <w:t>2</w:t>
      </w:r>
      <w:r>
        <w:t xml:space="preserve"> was approximately 3 (Figure 3C).</w:t>
      </w:r>
    </w:p>
    <w:bookmarkEnd w:id="13"/>
    <w:p w14:paraId="76248DA3" w14:textId="77777777" w:rsidR="00640CD9" w:rsidRDefault="00180245" w:rsidP="001643E6">
      <w:pPr>
        <w:pStyle w:val="BodyText"/>
        <w:spacing w:line="480" w:lineRule="auto"/>
        <w:ind w:firstLine="720"/>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r>
        <w:rPr>
          <w:i/>
          <w:iCs/>
        </w:rPr>
        <w:t>μ</w:t>
      </w:r>
      <w:r>
        <w:rPr>
          <w:i/>
          <w:iCs/>
          <w:vertAlign w:val="subscript"/>
        </w:rPr>
        <w:t>d</w:t>
      </w:r>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735AA344" w14:textId="77777777" w:rsidR="00B11167" w:rsidRDefault="00D71941" w:rsidP="001643E6">
      <w:pPr>
        <w:pStyle w:val="BodyText"/>
        <w:spacing w:line="480" w:lineRule="auto"/>
        <w:ind w:firstLine="720"/>
      </w:pPr>
      <w:r>
        <w:t>To evaluate how sampling effort influences prediction accuracy on the simulated data, we generated a series of reduced-effort observation datasets (</w:t>
      </w:r>
      <w:r>
        <w:rPr>
          <w:i/>
          <w:iCs/>
        </w:rPr>
        <w:t>Y</w:t>
      </w:r>
      <w:r>
        <w:rPr>
          <w:i/>
          <w:iCs/>
          <w:vertAlign w:val="subscript"/>
        </w:rPr>
        <w:t>E</w:t>
      </w:r>
      <w:r>
        <w:t>) and covariates (</w:t>
      </w:r>
      <w:r>
        <w:rPr>
          <w:i/>
          <w:iCs/>
        </w:rPr>
        <w:t>X</w:t>
      </w:r>
      <w:r>
        <w:rPr>
          <w:i/>
          <w:iCs/>
          <w:vertAlign w:val="subscript"/>
        </w:rPr>
        <w:t>E</w:t>
      </w:r>
      <w:r>
        <w:t>) by randomly thinning each complete set (</w:t>
      </w:r>
      <w:r>
        <w:rPr>
          <w:i/>
          <w:iCs/>
        </w:rPr>
        <w:t>Y</w:t>
      </w:r>
      <w:r>
        <w:t>) and its covariate (</w:t>
      </w:r>
      <w:r>
        <w:rPr>
          <w:i/>
          <w:iCs/>
        </w:rPr>
        <w:t>X</w:t>
      </w:r>
      <w:r>
        <w:t xml:space="preserve">) to progressively smaller sample sizes (N = 2000, 1000, 600, 358, 330, 300, 260, 220, and 150; </w:t>
      </w:r>
      <w:r>
        <w:rPr>
          <w:rStyle w:val="s2"/>
        </w:rPr>
        <w:t>Figure 2A</w:t>
      </w:r>
      <w:r>
        <w:t>). 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We then quantified the prediction error (</w:t>
      </w:r>
      <w:r>
        <w:rPr>
          <w:rFonts w:eastAsiaTheme="minorEastAsia"/>
          <w:i/>
          <w:iCs/>
          <w:lang w:val="el-GR"/>
        </w:rPr>
        <w:t>ε</w:t>
      </w:r>
      <w:r>
        <w:rPr>
          <w:rFonts w:eastAsiaTheme="minorEastAsia"/>
          <w:i/>
          <w:iCs/>
          <w:vertAlign w:val="subscript"/>
        </w:rPr>
        <w:t>2E</w:t>
      </w:r>
      <w:r>
        <w:t>) for each scenario by calculating the root mean squared error between the “true” field (</w:t>
      </w:r>
      <w:r>
        <w:rPr>
          <w:i/>
          <w:iCs/>
        </w:rPr>
        <w:t>Z)</w:t>
      </w:r>
      <w:r>
        <w:t xml:space="preserve"> and the reduced-effort field (</w:t>
      </w:r>
      <w:r>
        <w:rPr>
          <w:i/>
          <w:iCs/>
        </w:rPr>
        <w:t>S</w:t>
      </w:r>
      <w:r>
        <w:rPr>
          <w:i/>
          <w:iCs/>
          <w:vertAlign w:val="subscript"/>
        </w:rPr>
        <w:t>E</w:t>
      </w:r>
      <w:r>
        <w:t>), as defined in Eq. 5 (</w:t>
      </w:r>
      <w:r>
        <w:rPr>
          <w:rStyle w:val="s2"/>
        </w:rPr>
        <w:t>Figure 2A</w:t>
      </w:r>
      <w:r>
        <w:t>).</w:t>
      </w:r>
      <w:bookmarkStart w:id="14" w:name="statistical-inference"/>
      <w:bookmarkEnd w:id="11"/>
    </w:p>
    <w:p w14:paraId="77366E0C" w14:textId="77777777" w:rsidR="00BB5672" w:rsidRDefault="00BB5672" w:rsidP="001643E6">
      <w:pPr>
        <w:pStyle w:val="BodyText"/>
        <w:spacing w:line="480" w:lineRule="auto"/>
        <w:ind w:firstLine="720"/>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7E28B66B" w14:textId="77777777" w:rsidR="00792AAF" w:rsidRPr="009E1270" w:rsidRDefault="00B11167" w:rsidP="001643E6">
      <w:pPr>
        <w:pStyle w:val="BodyText"/>
        <w:spacing w:line="480" w:lineRule="auto"/>
      </w:pPr>
      <w:r>
        <w:rPr>
          <w:b/>
        </w:rPr>
        <w:t>Step 4: Solving for the sampling density required by a stated objective</w:t>
      </w:r>
    </w:p>
    <w:p w14:paraId="7AEB3502" w14:textId="77777777" w:rsidR="00F65D5F" w:rsidRDefault="00C0694F" w:rsidP="001643E6">
      <w:pPr>
        <w:pStyle w:val="BodyText"/>
        <w:spacing w:line="480" w:lineRule="auto"/>
        <w:ind w:firstLine="720"/>
      </w:pPr>
      <w:r w:rsidRPr="00C0694F">
        <w:lastRenderedPageBreak/>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C5D7D99" w14:textId="77777777" w:rsidR="007D39EF" w:rsidRPr="007D39EF" w:rsidRDefault="007D39EF" w:rsidP="001643E6">
      <w:pPr>
        <w:pStyle w:val="FirstParagraph"/>
        <w:spacing w:line="480" w:lineRule="auto"/>
        <w:ind w:firstLine="720"/>
      </w:pPr>
      <w:bookmarkStart w:id="15"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FB06672" w14:textId="77777777" w:rsidR="00082BC7" w:rsidRDefault="000E3B51" w:rsidP="001643E6">
      <w:pPr>
        <w:pStyle w:val="BodyText"/>
        <w:spacing w:line="480" w:lineRule="auto"/>
        <w:ind w:firstLine="72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0D570EF1" w14:textId="6A7FEB69" w:rsidR="00BD1D03" w:rsidRPr="00DD566F" w:rsidRDefault="00000000">
      <w:pPr>
        <w:pStyle w:val="BodyText"/>
        <w:spacing w:line="480" w:lineRule="auto"/>
        <w:ind w:firstLine="720"/>
      </w:pPr>
      <w:r>
        <w:t xml:space="preserve">For a given </w:t>
      </w:r>
      <w:r>
        <w:rPr>
          <w:i/>
        </w:rPr>
        <w:t>ρ</w:t>
      </w:r>
      <w:r w:rsidR="006011D6" w:rsidRPr="00FA4C5C">
        <w:t xml:space="preserve"> and a stated tolerance for prediction error (ε*, the level of error the manager is willing to accept)</w:t>
      </w:r>
      <w:r>
        <w:t xml:space="preserve">, Eq. 6 reduces to a power law in </w:t>
      </w:r>
      <w:r>
        <w:rPr>
          <w:i/>
        </w:rPr>
        <w:t>E</w:t>
      </w:r>
      <w:r>
        <w:t xml:space="preserve"> that can be inverted to return the minimum sampling density (</w:t>
      </w:r>
      <w:r>
        <w:rPr>
          <w:i/>
        </w:rPr>
        <w:t>E</w:t>
      </w:r>
      <w:r>
        <w:rPr>
          <w:vertAlign w:val="superscript"/>
        </w:rPr>
        <w:t>*</w:t>
      </w:r>
      <w:r>
        <w:t xml:space="preserve">) </w:t>
      </w:r>
      <w:r w:rsidR="006011D6">
        <w:t>required to achieve that target error:</w:t>
      </w:r>
    </w:p>
    <w:p w14:paraId="5FE4D9C3" w14:textId="77777777" w:rsidR="00BD1D03" w:rsidRDefault="00000000">
      <w:pPr>
        <w:pStyle w:val="BodyText"/>
        <w:spacing w:line="480" w:lineRule="auto"/>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15B3E004" w:rsidR="00BD1D03" w:rsidRDefault="006011D6">
      <w:pPr>
        <w:pStyle w:val="BodyText"/>
        <w:spacing w:line="480" w:lineRule="auto"/>
        <w:ind w:firstLine="720"/>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w:t>
      </w:r>
      <w:commentRangeStart w:id="16"/>
      <w:r>
        <w:t>returned.</w:t>
      </w:r>
      <w:commentRangeEnd w:id="16"/>
      <w:r w:rsidR="00FA4C5C">
        <w:rPr>
          <w:rStyle w:val="CommentReference"/>
          <w:sz w:val="24"/>
          <w:szCs w:val="24"/>
        </w:rPr>
        <w:commentReference w:id="16"/>
      </w:r>
      <w:r>
        <w:t xml:space="preserve"> </w:t>
      </w:r>
      <w:commentRangeStart w:id="17"/>
      <w:r>
        <w:t>The same relationship can be run in reverse: a fixed budget</w:t>
      </w:r>
      <w:r w:rsidR="00000000">
        <w:t xml:space="preserve"> of </w:t>
      </w:r>
      <w:r w:rsidR="00000000">
        <w:rPr>
          <w:i/>
        </w:rPr>
        <w:t>N</w:t>
      </w:r>
      <w:r w:rsidR="00000000">
        <w:rPr>
          <w:vertAlign w:val="subscript"/>
        </w:rPr>
        <w:t>h</w:t>
      </w:r>
      <w:r w:rsidR="00000000">
        <w:t xml:space="preserve"> samples per stratum supports a survey area of 10,000 </w:t>
      </w:r>
      <w:r w:rsidR="00000000">
        <w:rPr>
          <w:i/>
        </w:rPr>
        <w:t>N</w:t>
      </w:r>
      <w:r w:rsidR="00000000">
        <w:rPr>
          <w:vertAlign w:val="subscript"/>
        </w:rPr>
        <w:t>h</w:t>
      </w:r>
      <w:r w:rsidR="00000000">
        <w:t>/</w:t>
      </w:r>
      <w:r w:rsidR="00000000">
        <w:rPr>
          <w:i/>
        </w:rPr>
        <w:t>E</w:t>
      </w:r>
      <w:r w:rsidR="00000000">
        <w:rPr>
          <w:vertAlign w:val="superscript"/>
        </w:rPr>
        <w:t>*</w:t>
      </w:r>
      <w:r w:rsidR="00000000">
        <w:t xml:space="preserve"> at the target error. </w:t>
      </w:r>
      <w:r>
        <w:t xml:space="preserve">Eq. 7 is calibrated over ρ = 25–1000 km and E = 1.5–20 samples per 10,000 km2 per stratum, and results outside this range are </w:t>
      </w:r>
      <w:commentRangeEnd w:id="17"/>
      <w:r w:rsidR="00FA4C5C">
        <w:rPr>
          <w:rStyle w:val="CommentReference"/>
          <w:sz w:val="24"/>
          <w:szCs w:val="24"/>
        </w:rPr>
        <w:commentReference w:id="17"/>
      </w:r>
      <w:r>
        <w:t>extrapolations.</w:t>
      </w:r>
    </w:p>
    <w:bookmarkEnd w:id="15"/>
    <w:p w14:paraId="61A7E5B9" w14:textId="77777777" w:rsidR="00DC0E33" w:rsidRPr="00450784" w:rsidRDefault="00095871" w:rsidP="001643E6">
      <w:pPr>
        <w:pStyle w:val="BodyText"/>
        <w:spacing w:line="480" w:lineRule="auto"/>
      </w:pPr>
      <w:r>
        <w:rPr>
          <w:b/>
        </w:rPr>
        <w:t>Benchmarking simulated against observed fields</w:t>
      </w:r>
    </w:p>
    <w:p w14:paraId="0124C2DA" w14:textId="77777777" w:rsidR="00AD3A27" w:rsidRDefault="00DB2CB7" w:rsidP="001643E6">
      <w:pPr>
        <w:pStyle w:val="BodyText"/>
        <w:spacing w:line="480" w:lineRule="auto"/>
        <w:ind w:firstLine="720"/>
      </w:pPr>
      <w:r>
        <w:t>Because the empirical benchmark (</w:t>
      </w:r>
      <w:r>
        <w:rPr>
          <w:i/>
          <w:iCs/>
        </w:rPr>
        <w:t>ε₁</w:t>
      </w:r>
      <w:r>
        <w:t>) was defined by the 358 observed samples, whereas the simulation benchmark (</w:t>
      </w:r>
      <w:r>
        <w:rPr>
          <w:i/>
          <w:iCs/>
        </w:rPr>
        <w:t>ε</w:t>
      </w:r>
      <w:r>
        <w:rPr>
          <w:i/>
          <w:iCs/>
          <w:vertAlign w:val="subscript"/>
        </w:rPr>
        <w:t>2</w:t>
      </w:r>
      <w:r>
        <w:t xml:space="preserve">) used 4,000 samples, the two errors are not directly comparable </w:t>
      </w:r>
      <w:r>
        <w:lastRenderedPageBreak/>
        <w:t xml:space="preserve">(Figure 2). We therefore repeated the thinning on each simulated field using its </w:t>
      </w:r>
      <w:r>
        <w:rPr>
          <w:i/>
        </w:rPr>
        <w:t>N</w:t>
      </w:r>
      <w:r>
        <w:t xml:space="preserve"> = 358 subsample as the reference (</w:t>
      </w:r>
      <w:r>
        <w:rPr>
          <w:i/>
        </w:rPr>
        <w:t>ε</w:t>
      </w:r>
      <w:r>
        <w:rPr>
          <w:vertAlign w:val="subscript"/>
        </w:rPr>
        <w:t>3</w:t>
      </w:r>
      <w:r>
        <w:t xml:space="preserve">), fitted Eq. 6 to </w:t>
      </w:r>
      <w:r>
        <w:rPr>
          <w:i/>
        </w:rPr>
        <w:t>ε</w:t>
      </w:r>
      <w:r>
        <w:rPr>
          <w:vertAlign w:val="subscript"/>
        </w:rPr>
        <w:t>3</w:t>
      </w:r>
      <w:r>
        <w:t xml:space="preserve"> and to </w:t>
      </w:r>
      <w:r>
        <w:rPr>
          <w:i/>
        </w:rPr>
        <w:t>ε</w:t>
      </w:r>
      <w:r>
        <w:rPr>
          <w:vertAlign w:val="subscript"/>
        </w:rPr>
        <w:t>1</w:t>
      </w:r>
      <w:r>
        <w:t>, and compared the resulting coefficients to test whether the simulations reproduce the error structure of real eDNA fields (Appendix S1: Section S2).</w:t>
      </w:r>
    </w:p>
    <w:p w14:paraId="7A53D419" w14:textId="77777777" w:rsidR="007C0AAD" w:rsidRDefault="00F869DE" w:rsidP="001643E6">
      <w:pPr>
        <w:pStyle w:val="BodyText"/>
        <w:spacing w:line="480" w:lineRule="auto"/>
        <w:ind w:firstLine="720"/>
      </w:pPr>
      <w:bookmarkStart w:id="18" w:name="OLE_LINK7"/>
      <w:bookmarkEnd w:id="18"/>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CFCB80B" w14:textId="77777777" w:rsidR="00BD1D03" w:rsidRDefault="00000000">
      <w:pPr>
        <w:pStyle w:val="Heading2"/>
        <w:spacing w:before="0" w:after="0" w:line="480" w:lineRule="auto"/>
      </w:pPr>
      <w:r>
        <w:t>Implementation: the eDNA Survey Planner</w:t>
      </w:r>
    </w:p>
    <w:p w14:paraId="062D780F" w14:textId="77777777" w:rsidR="00BD1D03" w:rsidRDefault="00000000">
      <w:pPr>
        <w:pStyle w:val="BodyText"/>
        <w:spacing w:line="480" w:lineRule="auto"/>
        <w:ind w:firstLine="720"/>
      </w:pPr>
      <w:commentRangeStart w:id="19"/>
      <w:r>
        <w:t>To make Step 4 usable without statistical software, we implemented Eq. 6–7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commentRangeEnd w:id="19"/>
      <w:r w:rsidR="00FA4C5C">
        <w:rPr>
          <w:rStyle w:val="CommentReference"/>
          <w:sz w:val="24"/>
          <w:szCs w:val="24"/>
        </w:rPr>
        <w:commentReference w:id="19"/>
      </w:r>
    </w:p>
    <w:p w14:paraId="196386E2" w14:textId="77777777" w:rsidR="00BD1D03" w:rsidRDefault="00000000">
      <w:pPr>
        <w:pStyle w:val="BodyText"/>
        <w:spacing w:line="480" w:lineRule="auto"/>
        <w:ind w:firstLine="720"/>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w:t>
      </w:r>
      <w:r>
        <w:lastRenderedPageBreak/>
        <w:t xml:space="preserve">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A3A3EC1" w14:textId="77777777" w:rsidR="00BD1D03" w:rsidRDefault="00000000">
      <w:pPr>
        <w:pStyle w:val="BodyText"/>
        <w:spacing w:line="480" w:lineRule="auto"/>
        <w:ind w:firstLine="720"/>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478643DC" w14:textId="77777777" w:rsidR="0032076E" w:rsidRDefault="00D04708" w:rsidP="001643E6">
      <w:pPr>
        <w:pStyle w:val="Heading1"/>
        <w:spacing w:before="0" w:after="0" w:line="480" w:lineRule="auto"/>
      </w:pPr>
      <w:bookmarkStart w:id="20" w:name="tab:gp_priors"/>
      <w:bookmarkStart w:id="21" w:name="fig:dag"/>
      <w:bookmarkStart w:id="22" w:name="results"/>
      <w:bookmarkEnd w:id="10"/>
      <w:bookmarkEnd w:id="14"/>
      <w:bookmarkEnd w:id="20"/>
      <w:bookmarkEnd w:id="21"/>
      <w:r>
        <w:t>Case study: a multispecies eDNA survey of the California Current</w:t>
      </w:r>
    </w:p>
    <w:p w14:paraId="04E62F49" w14:textId="77777777" w:rsidR="00BD1D03" w:rsidRDefault="00000000">
      <w:pPr>
        <w:pStyle w:val="BodyText"/>
        <w:spacing w:line="480" w:lineRule="auto"/>
        <w:ind w:firstLine="720"/>
      </w:pPr>
      <w:r>
        <w:t>The case study shows how each step is executed on real data and tests whether the simulation-based error model holds where the true field is unknown.</w:t>
      </w:r>
    </w:p>
    <w:p w14:paraId="0DB0A744" w14:textId="77777777" w:rsidR="00BD1D03" w:rsidRDefault="00000000">
      <w:pPr>
        <w:pStyle w:val="Heading2"/>
        <w:spacing w:before="0" w:after="0" w:line="480" w:lineRule="auto"/>
      </w:pPr>
      <w:r>
        <w:t>Study system and eDNA data</w:t>
      </w:r>
    </w:p>
    <w:p w14:paraId="4D0D8177" w14:textId="77777777" w:rsidR="00BD1D03" w:rsidRDefault="00000000">
      <w:pPr>
        <w:pStyle w:val="BodyText"/>
        <w:spacing w:line="480" w:lineRule="auto"/>
        <w:ind w:firstLine="720"/>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 xml:space="preserve">Engraulis </w:t>
      </w:r>
      <w:r>
        <w:rPr>
          <w:i/>
        </w:rPr>
        <w:lastRenderedPageBreak/>
        <w:t>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p>
    <w:p w14:paraId="1A2CA10D" w14:textId="77777777" w:rsidR="00823035" w:rsidRPr="00450784" w:rsidRDefault="00823035" w:rsidP="001643E6">
      <w:pPr>
        <w:pStyle w:val="BodyText"/>
        <w:spacing w:line="480" w:lineRule="auto"/>
      </w:pPr>
      <w:bookmarkStart w:id="23" w:name="fig:epsilon"/>
      <w:r>
        <w:rPr>
          <w:b/>
        </w:rPr>
        <w:t>Spatial structure of the focal species (Step 1)</w:t>
      </w:r>
    </w:p>
    <w:p w14:paraId="3D2B3C00" w14:textId="77777777" w:rsidR="00D31C68" w:rsidRDefault="000443C6" w:rsidP="001643E6">
      <w:pPr>
        <w:pStyle w:val="BodyText"/>
        <w:spacing w:line="480" w:lineRule="auto"/>
        <w:ind w:firstLine="720"/>
      </w:pPr>
      <w:r>
        <w:t>Across species, depth-specific global mean eDNA concentrations generally declined with increasing sampling depth (Figure 3). Species-specific length-scale estimates varied considerably across species (Figure 3A),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3B), though exceptions were evident. Deep-dwelling species broadly exhibited longer spatial autocorrelations (Figure 3A) and relatively stable mean eDNA concentrations across depth strata, although this pattern was not universal. </w:t>
      </w:r>
      <w:r>
        <w:rPr>
          <w:i/>
          <w:iCs/>
        </w:rPr>
        <w:t>Tactostoma macropus</w:t>
      </w:r>
      <w:r>
        <w:t>, for instance, showed a comparatively short length-scale despite its deep-water affinity.</w:t>
      </w:r>
    </w:p>
    <w:bookmarkEnd w:id="23"/>
    <w:p w14:paraId="3EA9A265" w14:textId="77777777" w:rsidR="00A34072" w:rsidRPr="00450784" w:rsidRDefault="00A34072" w:rsidP="001643E6">
      <w:pPr>
        <w:pStyle w:val="BodyText"/>
        <w:spacing w:line="480" w:lineRule="auto"/>
      </w:pPr>
      <w:r>
        <w:rPr>
          <w:b/>
        </w:rPr>
        <w:t>Information loss in the observed data (Step 2)</w:t>
      </w:r>
    </w:p>
    <w:p w14:paraId="0CC7C0BB" w14:textId="77777777" w:rsidR="0037779D" w:rsidRDefault="0037779D" w:rsidP="001643E6">
      <w:pPr>
        <w:pStyle w:val="BodyText"/>
        <w:spacing w:line="480" w:lineRule="auto"/>
        <w:ind w:firstLine="720"/>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lang w:val="el-GR"/>
        </w:rPr>
        <w:t>ε</w:t>
      </w:r>
      <w:r>
        <w:rPr>
          <w:i/>
          <w:iCs/>
          <w:vertAlign w:val="subscript"/>
        </w:rPr>
        <w:t>1</w:t>
      </w:r>
      <w:r>
        <w:t>) across all sampling densities, whereas species with wider spatial autocorrelation structures (e.g., ρ &gt; 500 km) showed substantially lower prediction errors (</w:t>
      </w:r>
      <w:r>
        <w:rPr>
          <w:i/>
          <w:iCs/>
          <w:lang w:val="el-GR"/>
        </w:rPr>
        <w:t>ε</w:t>
      </w:r>
      <w:r>
        <w:rPr>
          <w:i/>
          <w:iCs/>
          <w:vertAlign w:val="subscript"/>
        </w:rPr>
        <w:t>1</w:t>
      </w:r>
      <w:r>
        <w:t>) even under comparatively sparse sampling regimes.</w:t>
      </w:r>
    </w:p>
    <w:p w14:paraId="663976B6" w14:textId="77777777" w:rsidR="00CA5D0F" w:rsidRPr="003D6E81" w:rsidRDefault="00CA5D0F" w:rsidP="001643E6">
      <w:pPr>
        <w:pStyle w:val="BodyText"/>
        <w:spacing w:line="480" w:lineRule="auto"/>
        <w:rPr>
          <w:b/>
          <w:bCs w:val="0"/>
        </w:rPr>
      </w:pPr>
      <w:bookmarkStart w:id="24" w:name="OLE_LINK8"/>
      <w:r>
        <w:rPr>
          <w:b/>
        </w:rPr>
        <w:t>Information loss in simulated fields (Step 3)</w:t>
      </w:r>
    </w:p>
    <w:p w14:paraId="458C0779" w14:textId="77777777" w:rsidR="0070789F" w:rsidRPr="00120DF0" w:rsidRDefault="00D51BF3" w:rsidP="001643E6">
      <w:pPr>
        <w:pStyle w:val="BodyText"/>
        <w:spacing w:line="480" w:lineRule="auto"/>
        <w:ind w:firstLine="720"/>
      </w:pPr>
      <w:r>
        <w:lastRenderedPageBreak/>
        <w:t>Prediction error in simulation data (</w:t>
      </w:r>
      <w:r>
        <w:rPr>
          <w:i/>
          <w:iCs/>
          <w:lang w:val="el-GR"/>
        </w:rPr>
        <w:t>ε</w:t>
      </w:r>
      <w:r>
        <w:rPr>
          <w:i/>
          <w:iCs/>
          <w:vertAlign w:val="subscript"/>
        </w:rPr>
        <w:t>2</w:t>
      </w:r>
      <w:r>
        <w:t>) decreased non-linearly with increasing sampling effort and with higher spatial autocorrelation (Figure 4A).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4A)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t>
      </w:r>
      <w:r>
        <w:rPr>
          <w:i/>
          <w:iCs/>
          <w:lang w:val="el-GR"/>
        </w:rPr>
        <w:t>ε</w:t>
      </w:r>
      <w:r>
        <w:rPr>
          <w:i/>
          <w:iCs/>
          <w:vertAlign w:val="subscript"/>
        </w:rPr>
        <w:t>2</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2</w:t>
      </w:r>
      <w:r>
        <w:t xml:space="preserve"> approaching zero at higher sampling densities (Figure 4B). Marginal gains effectively plateaued when sampling effort increased above 10 samples per 10,000 km</w:t>
      </w:r>
      <w:r>
        <w:rPr>
          <w:vertAlign w:val="superscript"/>
        </w:rPr>
        <w:t>2</w:t>
      </w:r>
      <w:r>
        <w:t xml:space="preserve">, depending on the </w:t>
      </w:r>
      <w:r>
        <w:rPr>
          <w:i/>
          <w:iCs/>
          <w:lang w:val="el-GR"/>
        </w:rPr>
        <w:t>ρ</w:t>
      </w:r>
      <w:r>
        <w:t xml:space="preserve"> (Figure 4B). Importantly, diagnostic checks revealed no systematic bias in the predictions, so the observed variation reflects pure precision (Appendix S1: Figure S4). For interpretative purposes, we adopt an arbitrary threshold of </w:t>
      </w:r>
      <w:r>
        <w:rPr>
          <w:lang w:val="el-GR"/>
        </w:rPr>
        <w:t>Δ</w:t>
      </w:r>
      <w:r>
        <w:rPr>
          <w:i/>
          <w:iCs/>
          <w:lang w:val="el-GR"/>
        </w:rPr>
        <w:t>ε</w:t>
      </w:r>
      <w:r>
        <w:rPr>
          <w:vertAlign w:val="subscript"/>
        </w:rPr>
        <w:t>2</w:t>
      </w:r>
      <w:r>
        <w:t>/</w:t>
      </w:r>
      <w:r>
        <w:rPr>
          <w:lang w:val="el-GR"/>
        </w:rPr>
        <w:t>Δ</w:t>
      </w:r>
      <w:r>
        <w:rPr>
          <w:i/>
          <w:iCs/>
        </w:rPr>
        <w:t>E</w:t>
      </w:r>
      <w:r>
        <w:rPr>
          <w:vertAlign w:val="subscript"/>
        </w:rPr>
        <w:t xml:space="preserve"> </w:t>
      </w:r>
      <w:r>
        <w:t>= -0.05 to denote negligible marginal gains. However, this value is arbitrary and may be redefined according to study-specific accuracy requirements.</w:t>
      </w:r>
    </w:p>
    <w:bookmarkEnd w:id="24"/>
    <w:p w14:paraId="28078141" w14:textId="77777777" w:rsidR="007B0B48" w:rsidRPr="00450784" w:rsidRDefault="007B0B48" w:rsidP="001643E6">
      <w:pPr>
        <w:pStyle w:val="BodyText"/>
        <w:spacing w:line="480" w:lineRule="auto"/>
      </w:pPr>
      <w:r>
        <w:rPr>
          <w:b/>
          <w:bCs w:val="0"/>
        </w:rPr>
        <w:t>GP parameter</w:t>
      </w:r>
      <w:r>
        <w:t xml:space="preserve"> </w:t>
      </w:r>
      <w:r>
        <w:rPr>
          <w:b/>
          <w:bCs w:val="0"/>
        </w:rPr>
        <w:t>recovery</w:t>
      </w:r>
      <w:r>
        <w:rPr>
          <w:b/>
        </w:rPr>
        <w:t xml:space="preserve"> (Step 3)</w:t>
      </w:r>
    </w:p>
    <w:p w14:paraId="42F65B5A" w14:textId="77777777" w:rsidR="003F2203" w:rsidRDefault="00D366A8" w:rsidP="001643E6">
      <w:pPr>
        <w:pStyle w:val="p1"/>
        <w:spacing w:before="0" w:beforeAutospacing="0" w:after="0" w:afterAutospacing="0" w:line="480" w:lineRule="auto"/>
        <w:ind w:firstLine="720"/>
      </w:pPr>
      <w:r>
        <w:lastRenderedPageBreak/>
        <w:t>Sampling effort and spatial autocorrelation strongly influenced the ability of the GP model to recover the parameters used to generate the simulated spatial fields (Figure 5).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5C).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5A).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001B6324" w14:textId="77777777" w:rsidR="00EF7D10" w:rsidRDefault="00F70DB9" w:rsidP="001643E6">
      <w:pPr>
        <w:pStyle w:val="p1"/>
        <w:spacing w:before="0" w:beforeAutospacing="0" w:after="0" w:afterAutospacing="0" w:line="480" w:lineRule="auto"/>
        <w:ind w:firstLine="720"/>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5D).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5B).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35B70E95" w14:textId="77777777" w:rsidR="00A62458" w:rsidRDefault="00A62458" w:rsidP="001643E6">
      <w:pPr>
        <w:pStyle w:val="BodyText"/>
        <w:spacing w:line="480" w:lineRule="auto"/>
      </w:pPr>
      <w:r>
        <w:rPr>
          <w:b/>
        </w:rPr>
        <w:t>Agreement</w:t>
      </w:r>
      <w:r>
        <w:rPr>
          <w:b/>
          <w:bCs w:val="0"/>
        </w:rPr>
        <w:t xml:space="preserve"> between </w:t>
      </w:r>
      <w:r>
        <w:rPr>
          <w:b/>
        </w:rPr>
        <w:t>simulated and observed error models</w:t>
      </w:r>
      <w:r>
        <w:t xml:space="preserve"> </w:t>
      </w:r>
    </w:p>
    <w:p w14:paraId="4AB72DF1" w14:textId="77777777" w:rsidR="00D974B6" w:rsidRPr="00101BFB" w:rsidRDefault="00D974B6" w:rsidP="001643E6">
      <w:pPr>
        <w:pStyle w:val="BodyText"/>
        <w:spacing w:line="480" w:lineRule="auto"/>
        <w:ind w:firstLine="720"/>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xml:space="preserve">), the effect </w:t>
      </w:r>
      <w:r w:rsidR="00E1401A" w:rsidRPr="00101BFB">
        <w:lastRenderedPageBreak/>
        <w:t>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706A472C" w14:textId="77777777" w:rsidR="00BD1D03" w:rsidRDefault="00000000">
      <w:pPr>
        <w:pStyle w:val="Heading2"/>
        <w:spacing w:before="0" w:after="0" w:line="480" w:lineRule="auto"/>
      </w:pPr>
      <w:r>
        <w:t>Applying the planner (Step 4)</w:t>
      </w:r>
    </w:p>
    <w:p w14:paraId="38394DE8" w14:textId="77777777" w:rsidR="00BD1D03" w:rsidRDefault="00000000">
      <w:pPr>
        <w:pStyle w:val="BodyText"/>
        <w:spacing w:line="480" w:lineRule="auto"/>
        <w:ind w:firstLine="720"/>
      </w:pPr>
      <w:r>
        <w:t>To illustrate Step 4, consider a survey of the case-study domain (200,000 km</w:t>
      </w:r>
      <w:r>
        <w:rPr>
          <w:vertAlign w:val="superscript"/>
        </w:rPr>
        <w:t>2</w:t>
      </w:r>
      <w:r>
        <w:t xml:space="preserve"> per depth layer, five layers) that aims to predict eDNA concentrations to within a typical factor of about 2.2 of the reference field (</w:t>
      </w:r>
      <w:r>
        <w:rPr>
          <w:i/>
        </w:rPr>
        <w:t>ε</w:t>
      </w:r>
      <w:r>
        <w:rPr>
          <w:vertAlign w:val="superscript"/>
        </w:rPr>
        <w:t>*</w:t>
      </w:r>
      <w:r>
        <w:t xml:space="preserve"> = 0.8). For a patchy taxon (</w:t>
      </w:r>
      <w:r>
        <w:rPr>
          <w:i/>
        </w:rPr>
        <w:t>ρ</w:t>
      </w:r>
      <w:r>
        <w:t xml:space="preserve"> = 50 km), Eq. 7 returns </w:t>
      </w:r>
      <w:r>
        <w:rPr>
          <w:i/>
        </w:rPr>
        <w:t>E</w:t>
      </w:r>
      <w:r>
        <w:rPr>
          <w:vertAlign w:val="superscript"/>
        </w:rPr>
        <w:t>*</w:t>
      </w:r>
      <w:r>
        <w:t xml:space="preserve"> ≈ 9.1 samples per 10,000 km</w:t>
      </w:r>
      <w:r>
        <w:rPr>
          <w:vertAlign w:val="superscript"/>
        </w:rPr>
        <w:t>2</w:t>
      </w:r>
      <w:r>
        <w:t xml:space="preserve"> per depth layer, or 183 samples per layer (915 site–depth samples in total); for a smoothly distributed taxon (</w:t>
      </w:r>
      <w:r>
        <w:rPr>
          <w:i/>
        </w:rPr>
        <w:t>ρ</w:t>
      </w:r>
      <w:r>
        <w:t xml:space="preserve"> = 500 km), the same target requires </w:t>
      </w:r>
      <w:r>
        <w:rPr>
          <w:i/>
        </w:rPr>
        <w:t>E</w:t>
      </w:r>
      <w:r>
        <w:rPr>
          <w:vertAlign w:val="superscript"/>
        </w:rPr>
        <w:t>*</w:t>
      </w:r>
      <w:r>
        <w:t xml:space="preserve"> ≈ 2.1, or 43 samples per layer (215 in total). The 2019 survey (</w:t>
      </w:r>
      <w:r>
        <w:rPr>
          <w:i/>
        </w:rPr>
        <w:t>E</w:t>
      </w:r>
      <w:r>
        <w:t xml:space="preserve"> ≈ 3.6) is therefore expected to meet this target for smooth taxa (</w:t>
      </w:r>
      <w:r>
        <w:rPr>
          <w:i/>
        </w:rPr>
        <w:t>ε</w:t>
      </w:r>
      <w:r>
        <w:t xml:space="preserve"> ≈ 0.59) but not for patchy ones (</w:t>
      </w:r>
      <w:r>
        <w:rPr>
          <w:i/>
        </w:rPr>
        <w:t>ε</w:t>
      </w:r>
      <w:r>
        <w:t xml:space="preserve"> ≈ 1.2). Run in reverse, its budget of about 72 samples per layer would achieve </w:t>
      </w:r>
      <w:r>
        <w:rPr>
          <w:i/>
        </w:rPr>
        <w:t>ε</w:t>
      </w:r>
      <w:r>
        <w:rPr>
          <w:vertAlign w:val="superscript"/>
        </w:rPr>
        <w:t>*</w:t>
      </w:r>
      <w:r>
        <w:t xml:space="preserve"> = 0.8 for a patchy taxon over approximately 79,000 km</w:t>
      </w:r>
      <w:r>
        <w:rPr>
          <w:vertAlign w:val="superscript"/>
        </w:rPr>
        <w:t>2</w:t>
      </w:r>
      <w:r>
        <w:t>, about 40% of the domain. The planner performs these calculations interactively (Appendix S1: Figure S6).</w:t>
      </w:r>
    </w:p>
    <w:p w14:paraId="096E9EEB" w14:textId="77777777" w:rsidR="0032076E" w:rsidRDefault="00D04708" w:rsidP="001643E6">
      <w:pPr>
        <w:pStyle w:val="Heading1"/>
        <w:spacing w:before="0" w:after="0" w:line="480" w:lineRule="auto"/>
      </w:pPr>
      <w:bookmarkStart w:id="25" w:name="fig:epsilon_sp"/>
      <w:bookmarkStart w:id="26" w:name="discussion"/>
      <w:bookmarkEnd w:id="22"/>
      <w:bookmarkEnd w:id="25"/>
      <w:r>
        <w:t>Discussion</w:t>
      </w:r>
    </w:p>
    <w:p w14:paraId="73D3447B" w14:textId="77777777" w:rsidR="00390A6F" w:rsidRDefault="00101BFB" w:rsidP="001643E6">
      <w:pPr>
        <w:pStyle w:val="p2"/>
        <w:spacing w:before="0" w:beforeAutospacing="0" w:after="0" w:afterAutospacing="0" w:line="480" w:lineRule="auto"/>
        <w:ind w:firstLine="720"/>
      </w:pPr>
      <w:bookmarkStart w:id="27" w:name="sampling-optimisaion"/>
      <w:r>
        <w:t xml:space="preserve">We present a method, and a planner that implements it, for translating species-specific spatial autocorrelation into the sampling effort required by eDNA spatial surveys. The case study shows that optimal sampling effort is not universal but depends critically on both the spatial autocorrelation of target species and the specific inferential objectives of the survey. </w:t>
      </w:r>
    </w:p>
    <w:p w14:paraId="0AF71BD9" w14:textId="77777777" w:rsidR="005A387E" w:rsidRPr="00E812EC" w:rsidRDefault="005A387E" w:rsidP="001643E6">
      <w:pPr>
        <w:pStyle w:val="BodyText"/>
        <w:spacing w:line="480" w:lineRule="auto"/>
      </w:pPr>
      <w:bookmarkStart w:id="28" w:name="OLE_LINK2"/>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44F3FC5E" w14:textId="77777777" w:rsidR="0064556D" w:rsidRDefault="002D4B65" w:rsidP="001643E6">
      <w:pPr>
        <w:pStyle w:val="p3"/>
        <w:spacing w:before="0" w:beforeAutospacing="0" w:after="0" w:afterAutospacing="0" w:line="480" w:lineRule="auto"/>
        <w:ind w:firstLine="720"/>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 xml:space="preserve">Prediction error decreased non-linearly with sampling effort and with increasing spatial autocorrelation, confirming that homogeneously </w:t>
      </w:r>
      <w:r w:rsidRPr="002D4B65">
        <w:lastRenderedPageBreak/>
        <w:t>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F258640" w14:textId="77777777" w:rsidR="00F44773" w:rsidRDefault="0064556D" w:rsidP="001643E6">
      <w:pPr>
        <w:pStyle w:val="p3"/>
        <w:spacing w:before="0" w:beforeAutospacing="0" w:after="0" w:afterAutospacing="0" w:line="480" w:lineRule="auto"/>
        <w:ind w:firstLine="720"/>
      </w:pPr>
      <w:r>
        <w:t>Our adopted threshold for negligible marginal gains (</w:t>
      </w:r>
      <w:r>
        <w:rPr>
          <w:i/>
          <w:iCs/>
        </w:rPr>
        <w:t>Δ</w:t>
      </w:r>
      <w:r>
        <w:rPr>
          <w:i/>
          <w:iCs/>
          <w:lang w:val="el-GR"/>
        </w:rPr>
        <w:t>ε</w:t>
      </w:r>
      <w:r>
        <w:rPr>
          <w:i/>
          <w:iCs/>
          <w:vertAlign w:val="subscript"/>
        </w:rPr>
        <w:t>2</w:t>
      </w:r>
      <w: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Moreover, the species spatial autocorrelation parameter plays an additional role in defining the decision on sampling effort. 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Once the required precision and ρ are known (from prior literature, pilot sampling or expert judgement), the fitted log–log model</w:t>
      </w:r>
      <w:r w:rsidRPr="003D7556">
        <w:t xml:space="preserve"> (</w:t>
      </w:r>
      <w:r>
        <w:t xml:space="preserve">Eq. 6; Figure 4B; Appendix S1: Figure S5) can be inverted (Eq. 7) to solve for the minimum sampling density </w:t>
      </w:r>
      <w:r>
        <w:rPr>
          <w:i/>
          <w:iCs/>
        </w:rPr>
        <w:t>E</w:t>
      </w:r>
      <w:r>
        <w:t xml:space="preserve"> required to </w:t>
      </w:r>
      <w:r w:rsidRPr="003D7556">
        <w:t>reach a target error, a calculation the planner performs interactively</w:t>
      </w:r>
      <w:r>
        <w:t xml:space="preserve">. </w:t>
      </w:r>
    </w:p>
    <w:p w14:paraId="3D9C38DD" w14:textId="77777777" w:rsidR="00B9718F" w:rsidRDefault="00BA4DE0" w:rsidP="001643E6">
      <w:pPr>
        <w:pStyle w:val="p3"/>
        <w:spacing w:before="0" w:beforeAutospacing="0" w:after="0" w:afterAutospacing="0" w:line="480" w:lineRule="auto"/>
        <w:ind w:firstLine="720"/>
      </w:pPr>
      <w:bookmarkStart w:id="29"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r w:rsidRPr="00C83611">
        <w:rPr>
          <w:i/>
          <w:iCs/>
        </w:rPr>
        <w:t>Leuroglossus stilbius</w:t>
      </w:r>
      <w:r w:rsidRPr="00BA4DE0">
        <w:t xml:space="preserve"> and </w:t>
      </w:r>
      <w:r w:rsidRPr="00C83611">
        <w:rPr>
          <w:i/>
          <w:iCs/>
        </w:rPr>
        <w:t>Microstomus pacificus</w:t>
      </w:r>
      <w:r w:rsidR="00C83611">
        <w:t xml:space="preserve"> </w:t>
      </w:r>
      <w:r w:rsidRPr="00BA4DE0">
        <w:t xml:space="preserve">would require only 4 </w:t>
      </w:r>
      <w:r w:rsidRPr="00BA4DE0">
        <w:lastRenderedPageBreak/>
        <w:t>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29"/>
    <w:p w14:paraId="2D3E5A8A" w14:textId="77777777" w:rsidR="008751E1" w:rsidRDefault="008751E1" w:rsidP="008751E1">
      <w:pPr>
        <w:pStyle w:val="p3"/>
        <w:spacing w:before="0" w:beforeAutospacing="0" w:after="0" w:afterAutospacing="0" w:line="480" w:lineRule="auto"/>
        <w:ind w:firstLine="720"/>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bookmarkEnd w:id="28"/>
    <w:p w14:paraId="4C243B52" w14:textId="77777777" w:rsidR="00A318B1" w:rsidRPr="000D2BF7" w:rsidRDefault="000F7C17" w:rsidP="001643E6">
      <w:pPr>
        <w:pStyle w:val="Heading3"/>
        <w:spacing w:before="0" w:after="0" w:line="480" w:lineRule="auto"/>
        <w:rPr>
          <w:i w:val="0"/>
          <w:iCs/>
        </w:rPr>
      </w:pPr>
      <w:r>
        <w:t>Assumptions and limitations of the method</w:t>
      </w:r>
    </w:p>
    <w:p w14:paraId="250494CE" w14:textId="77777777" w:rsidR="0092112F" w:rsidRDefault="00275178" w:rsidP="0092112F">
      <w:pPr>
        <w:pStyle w:val="p3"/>
        <w:spacing w:before="0" w:beforeAutospacing="0" w:after="0" w:afterAutospacing="0" w:line="480" w:lineRule="auto"/>
        <w:ind w:firstLine="720"/>
      </w:pPr>
      <w:r>
        <w:t xml:space="preserve">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 xml:space="preserve">(Paciorek &amp; </w:t>
      </w:r>
      <w:r w:rsidR="00D06D96">
        <w:rPr>
          <w:noProof/>
        </w:rPr>
        <w:lastRenderedPageBreak/>
        <w:t>Schervish, 2006)</w:t>
      </w:r>
      <w:r w:rsidR="00D06D96">
        <w:fldChar w:fldCharType="end"/>
      </w:r>
      <w:r>
        <w:t xml:space="preserve">. 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 so they are unlikely to bias the results presented here. Finally, ecological processes such as migration, 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77777777" w:rsidR="00D62DEA" w:rsidRDefault="00D62DEA" w:rsidP="001643E6">
      <w:pPr>
        <w:pStyle w:val="p2"/>
        <w:spacing w:before="0" w:beforeAutospacing="0" w:after="0" w:afterAutospacing="0" w:line="480" w:lineRule="auto"/>
        <w:ind w:firstLine="720"/>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4FC5891D" w14:textId="77777777" w:rsidR="00A318B1" w:rsidRDefault="00C74135" w:rsidP="001643E6">
      <w:pPr>
        <w:pStyle w:val="p2"/>
        <w:spacing w:before="0" w:beforeAutospacing="0" w:after="0" w:afterAutospacing="0" w:line="480" w:lineRule="auto"/>
        <w:ind w:firstLine="720"/>
      </w:pPr>
      <w:r>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w:t>
      </w:r>
      <w:r>
        <w:lastRenderedPageBreak/>
        <w:t xml:space="preserve">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1643E6">
      <w:pPr>
        <w:pStyle w:val="p2"/>
        <w:spacing w:before="0" w:beforeAutospacing="0" w:after="0" w:afterAutospacing="0" w:line="480" w:lineRule="auto"/>
        <w:ind w:firstLine="720"/>
      </w:pPr>
      <w:bookmarkStart w:id="30"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2CE730D7" w14:textId="77777777" w:rsidR="00BD1D03" w:rsidRDefault="00000000">
      <w:pPr>
        <w:pStyle w:val="Heading1"/>
        <w:spacing w:before="0" w:after="0" w:line="480" w:lineRule="auto"/>
      </w:pPr>
      <w:r>
        <w:t>Perspectives and applications</w:t>
      </w:r>
    </w:p>
    <w:p w14:paraId="3C498458" w14:textId="77777777" w:rsidR="00BD1D03" w:rsidRDefault="00000000">
      <w:pPr>
        <w:pStyle w:val="BodyText"/>
        <w:spacing w:line="480" w:lineRule="auto"/>
        <w:ind w:firstLine="720"/>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requirements in monitoring plans, survey proposals and emerging eDNA reporting standards can be stated transparently and revisited as new data accumulate.</w:t>
      </w:r>
    </w:p>
    <w:p w14:paraId="6B66EE72" w14:textId="77777777" w:rsidR="00F04F50" w:rsidRPr="00D12FC8" w:rsidRDefault="009A110E" w:rsidP="001643E6">
      <w:pPr>
        <w:spacing w:after="0" w:line="480" w:lineRule="auto"/>
        <w:ind w:firstLine="720"/>
        <w:rPr>
          <w:rFonts w:ascii="Times New Roman" w:eastAsia="Times New Roman" w:hAnsi="Times New Roman" w:cs="Times New Roman"/>
        </w:rPr>
      </w:pPr>
      <w:bookmarkStart w:id="31" w:name="OLE_LINK1"/>
      <w:bookmarkStart w:id="32" w:name="OLE_LINK4"/>
      <w:bookmarkEnd w:id="30"/>
      <w:bookmarkEnd w:id="31"/>
      <w:r>
        <w:rPr>
          <w:rFonts w:ascii="Times New Roman" w:eastAsia="Times New Roman" w:hAnsi="Times New Roman" w:cs="Times New Roman"/>
        </w:rPr>
        <w:t>Sampling effort required for eDNA surveys should be matched to the intended inferential goal. When the objective is to estimate GP parameters such as the mean (</w:t>
      </w:r>
      <w:r>
        <w:rPr>
          <w:rFonts w:ascii="Times New Roman" w:eastAsia="Times New Roman" w:hAnsi="Times New Roman" w:cs="Times New Roman"/>
          <w:i/>
          <w:iCs/>
        </w:rPr>
        <w:t>μ</w:t>
      </w:r>
      <w:r>
        <w:rPr>
          <w:rFonts w:ascii="Times New Roman" w:eastAsia="Times New Roman" w:hAnsi="Times New Roman" w:cs="Times New Roman"/>
          <w:i/>
          <w:iCs/>
          <w:vertAlign w:val="subscript"/>
        </w:rPr>
        <w:t>d</w:t>
      </w:r>
      <w:r>
        <w:rPr>
          <w:rFonts w:ascii="Times New Roman" w:eastAsia="Times New Roman" w:hAnsi="Times New Roman" w:cs="Times New Roman"/>
        </w:rPr>
        <w:t>) for deriving depth-</w:t>
      </w:r>
      <w:r>
        <w:rPr>
          <w:rFonts w:ascii="Times New Roman" w:eastAsia="Times New Roman" w:hAnsi="Times New Roman" w:cs="Times New Roman"/>
        </w:rPr>
        <w:lastRenderedPageBreak/>
        <w:t xml:space="preserve">specific or region-specific abundance indices typically used in stock assessment indices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Pr>
          <w:rFonts w:ascii="Times New Roman" w:eastAsia="Times New Roman" w:hAnsi="Times New Roman" w:cs="Times New Roman"/>
        </w:rPr>
        <w:t>, the autocorrelation (</w:t>
      </w:r>
      <w:r>
        <w:rPr>
          <w:rFonts w:ascii="Times New Roman" w:eastAsia="Times New Roman" w:hAnsi="Times New Roman" w:cs="Times New Roman"/>
          <w:i/>
          <w:iCs/>
          <w:lang w:val="el-GR"/>
        </w:rPr>
        <w:t>ρ</w:t>
      </w:r>
      <w:r>
        <w:rPr>
          <w:rFonts w:ascii="Times New Roman" w:eastAsia="Times New Roman" w:hAnsi="Times New Roman" w:cs="Times New Roman"/>
        </w:rPr>
        <w:t xml:space="preserve">) 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Pr>
          <w:rFonts w:ascii="Times New Roman" w:eastAsia="Times New Roman" w:hAnsi="Times New Roman" w:cs="Times New Roman"/>
        </w:rPr>
        <w:t>, or the variance parameter (</w:t>
      </w:r>
      <w:r>
        <w:rPr>
          <w:rFonts w:ascii="Times New Roman" w:eastAsia="Times New Roman" w:hAnsi="Times New Roman" w:cs="Times New Roman"/>
          <w:i/>
          <w:iCs/>
        </w:rPr>
        <w:t>α</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random sampling designs that adequately cover the full spatial domain of the species spatial autocorrelation are likely to be sufficient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Pr>
          <w:rFonts w:ascii="Times New Roman" w:eastAsia="Times New Roman" w:hAnsi="Times New Roman" w:cs="Times New Roman"/>
        </w:rPr>
        <w:t xml:space="preserve">, as sampling effort appears to have relatively limited influence on parameter estimation (Figure 5;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Prediction is the more demanding of the two because it requires both accurate covariance parameters (Eq. 1–2) and observed points close enough to the location being predicted (Eq. 3). </w:t>
      </w:r>
    </w:p>
    <w:bookmarkEnd w:id="32"/>
    <w:p w14:paraId="66D67A61" w14:textId="77777777" w:rsidR="002E285D" w:rsidRDefault="002E285D" w:rsidP="001643E6">
      <w:pPr>
        <w:spacing w:after="0" w:line="480" w:lineRule="auto"/>
        <w:ind w:firstLine="720"/>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4D21DBE4" w14:textId="77777777" w:rsidR="00CE2CA0" w:rsidRDefault="00CE2CA0"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w:t>
      </w:r>
      <w:r>
        <w:rPr>
          <w:rFonts w:ascii="Times New Roman" w:eastAsia="Times New Roman" w:hAnsi="Times New Roman" w:cs="Times New Roman"/>
        </w:rPr>
        <w:lastRenderedPageBreak/>
        <w:t>the depth-related pattern reported here, which the planner uses (Eq. 6–7)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programmes, these considerations are most appropriately governed by the patchiest taxon the survey is intended to resolve.</w:t>
      </w:r>
    </w:p>
    <w:p w14:paraId="26FD8EF3" w14:textId="77777777" w:rsidR="00820F4B" w:rsidRDefault="00000000" w:rsidP="00CE2CA0">
      <w:pPr>
        <w:pStyle w:val="p3"/>
        <w:spacing w:line="480" w:lineRule="auto"/>
        <w:ind w:firstLine="720"/>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6861C0F0" w14:textId="77777777" w:rsidR="002E285D" w:rsidRDefault="00CE2CA0" w:rsidP="00CE2CA0">
      <w:pPr>
        <w:pStyle w:val="p3"/>
        <w:spacing w:line="480" w:lineRule="auto"/>
        <w:ind w:firstLine="720"/>
      </w:pPr>
      <w:r>
        <w:t>For managers and survey designers the practical message is that effort should be set by the patchiness of the taxa a programme is required to resolve and by the decision the data must support, and that both can be specified in advance rather than discovered afterwards. Nevertheless, across the scenarios considered here and the spatial domain used in this study, sampling effort of 4 - 9 samples per 10,000 km</w:t>
      </w:r>
      <w:r>
        <w:rPr>
          <w:vertAlign w:val="superscript"/>
        </w:rPr>
        <w:t>2</w:t>
      </w:r>
      <w:r>
        <w:t xml:space="preserve"> per depth layer marked the point at which diminishing returns became apparent given species-specific spatial autocorrelation. We therefore </w:t>
      </w:r>
      <w:r>
        <w:lastRenderedPageBreak/>
        <w:t xml:space="preserve">recommend that eDNA surveys report estimated length-scales alongside detection or concentration results; as such estimates accumulate, taxon- and region-specific priors will make prospective design routine rather than bespoke, and recalibrated coefficients can be entered directly into the planner. </w:t>
      </w:r>
    </w:p>
    <w:p w14:paraId="0933AE07" w14:textId="77777777" w:rsidR="00BD1D03" w:rsidRDefault="00000000">
      <w:pPr>
        <w:pStyle w:val="Heading1"/>
        <w:spacing w:before="0" w:after="0" w:line="480" w:lineRule="auto"/>
      </w:pPr>
      <w:r>
        <w:t>Acknowledgments</w:t>
      </w:r>
    </w:p>
    <w:p w14:paraId="1EA7F92B" w14:textId="77777777" w:rsidR="00BD1D03" w:rsidRDefault="00000000">
      <w:pPr>
        <w:pStyle w:val="BodyText"/>
        <w:spacing w:line="480" w:lineRule="auto"/>
        <w:ind w:firstLine="720"/>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2D0EAA0F" w14:textId="77777777" w:rsidR="00BD1D03" w:rsidRDefault="00000000">
      <w:pPr>
        <w:pStyle w:val="Heading1"/>
        <w:spacing w:before="0" w:after="0" w:line="480" w:lineRule="auto"/>
      </w:pPr>
      <w:r>
        <w:t>Author contributions</w:t>
      </w:r>
    </w:p>
    <w:p w14:paraId="269EC736" w14:textId="77777777" w:rsidR="00BD1D03" w:rsidRDefault="00000000">
      <w:pPr>
        <w:pStyle w:val="BodyText"/>
        <w:spacing w:line="480" w:lineRule="auto"/>
        <w:ind w:firstLine="720"/>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344D1A37" w14:textId="77777777" w:rsidR="00BD1D03" w:rsidRDefault="00000000">
      <w:pPr>
        <w:pStyle w:val="Heading1"/>
        <w:spacing w:before="0" w:after="0" w:line="480" w:lineRule="auto"/>
      </w:pPr>
      <w:r>
        <w:t>Conflict of interest statement</w:t>
      </w:r>
    </w:p>
    <w:p w14:paraId="0CF38148" w14:textId="77777777" w:rsidR="00BD1D03" w:rsidRDefault="00000000">
      <w:pPr>
        <w:pStyle w:val="BodyText"/>
        <w:spacing w:line="480" w:lineRule="auto"/>
        <w:ind w:firstLine="720"/>
      </w:pPr>
      <w:r>
        <w:t>The authors declare no conflicts of interest.</w:t>
      </w:r>
    </w:p>
    <w:p w14:paraId="74B35DB3" w14:textId="77777777" w:rsidR="0032076E" w:rsidRPr="002877EE" w:rsidRDefault="00625110" w:rsidP="001643E6">
      <w:pPr>
        <w:spacing w:after="0" w:line="480" w:lineRule="auto"/>
        <w:rPr>
          <w:rFonts w:ascii="Times New Roman" w:eastAsiaTheme="majorEastAsia" w:hAnsi="Times New Roman" w:cstheme="majorBidi"/>
          <w:b/>
          <w:sz w:val="28"/>
          <w:szCs w:val="40"/>
        </w:rPr>
      </w:pPr>
      <w:bookmarkStart w:id="33" w:name="fig:mu_rho_N"/>
      <w:bookmarkStart w:id="34" w:name="appendix"/>
      <w:bookmarkEnd w:id="26"/>
      <w:bookmarkEnd w:id="27"/>
      <w:r w:rsidRPr="00625110">
        <w:rPr>
          <w:b/>
          <w:bCs/>
          <w:iCs/>
          <w:szCs w:val="28"/>
        </w:rPr>
        <w:t>Refere</w:t>
      </w:r>
      <w:r w:rsidR="00C10BA1">
        <w:rPr>
          <w:b/>
          <w:bCs/>
          <w:iCs/>
          <w:szCs w:val="28"/>
        </w:rPr>
        <w:t>n</w:t>
      </w:r>
      <w:r w:rsidRPr="00625110">
        <w:rPr>
          <w:b/>
          <w:bCs/>
          <w:iCs/>
          <w:szCs w:val="28"/>
        </w:rPr>
        <w:t>ces</w:t>
      </w:r>
    </w:p>
    <w:bookmarkEnd w:id="33"/>
    <w:bookmarkEnd w:id="34"/>
    <w:p w14:paraId="201EA539" w14:textId="77777777" w:rsidR="0092112F" w:rsidRPr="0092112F" w:rsidRDefault="00F553D1" w:rsidP="00DF3B3E">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w:t>
      </w:r>
      <w:r w:rsidR="0092112F" w:rsidRPr="0092112F">
        <w:rPr>
          <w:rFonts w:cs="Times New Roman"/>
        </w:rPr>
        <w:lastRenderedPageBreak/>
        <w:t xml:space="preserve">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DF3B3E">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DF3B3E">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DF3B3E">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DF3B3E">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DF3B3E">
      <w:pPr>
        <w:pStyle w:val="Bibliography"/>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DF3B3E">
      <w:pPr>
        <w:pStyle w:val="Bibliography"/>
        <w:rPr>
          <w:rFonts w:cs="Times New Roman"/>
        </w:rPr>
      </w:pPr>
      <w:r w:rsidRPr="0092112F">
        <w:rPr>
          <w:rFonts w:cs="Times New Roman"/>
        </w:rPr>
        <w:lastRenderedPageBreak/>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DF3B3E">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DF3B3E">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DF3B3E">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DF3B3E">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DF3B3E">
      <w:pPr>
        <w:pStyle w:val="Bibliography"/>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DF3B3E">
      <w:pPr>
        <w:pStyle w:val="Bibliography"/>
        <w:rPr>
          <w:rFonts w:cs="Times New Roman"/>
        </w:rPr>
      </w:pPr>
      <w:r w:rsidRPr="0092112F">
        <w:rPr>
          <w:rFonts w:cs="Times New Roman"/>
        </w:rPr>
        <w:lastRenderedPageBreak/>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DF3B3E">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DF3B3E">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DF3B3E">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DF3B3E">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DF3B3E">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DF3B3E">
      <w:pPr>
        <w:pStyle w:val="Bibliography"/>
        <w:rPr>
          <w:rFonts w:cs="Times New Roman"/>
        </w:rPr>
      </w:pPr>
      <w:r w:rsidRPr="0092112F">
        <w:rPr>
          <w:rFonts w:cs="Times New Roman"/>
        </w:rPr>
        <w:lastRenderedPageBreak/>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DF3B3E">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DF3B3E">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DF3B3E">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DF3B3E">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DF3B3E">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DF3B3E">
      <w:pPr>
        <w:pStyle w:val="Bibliography"/>
        <w:rPr>
          <w:rFonts w:cs="Times New Roman"/>
        </w:rPr>
      </w:pPr>
      <w:r w:rsidRPr="0092112F">
        <w:rPr>
          <w:rFonts w:cs="Times New Roman"/>
        </w:rPr>
        <w:lastRenderedPageBreak/>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DF3B3E">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DF3B3E">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DF3B3E">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DF3B3E">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DF3B3E">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DF3B3E">
      <w:pPr>
        <w:pStyle w:val="Bibliography"/>
        <w:rPr>
          <w:rFonts w:cs="Times New Roman"/>
        </w:rPr>
      </w:pPr>
      <w:r w:rsidRPr="0092112F">
        <w:rPr>
          <w:rFonts w:cs="Times New Roman"/>
        </w:rPr>
        <w:lastRenderedPageBreak/>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DF3B3E">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DF3B3E">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DF3B3E">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DF3B3E">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DF3B3E">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DF3B3E">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DF3B3E">
      <w:pPr>
        <w:pStyle w:val="Bibliography"/>
      </w:pPr>
      <w:r w:rsidRPr="007A589B">
        <w:rPr>
          <w:rFonts w:cs="Times New Roman"/>
        </w:rPr>
        <w:fldChar w:fldCharType="end"/>
      </w:r>
      <w:r w:rsidR="000974AE">
        <w:br w:type="page"/>
      </w:r>
    </w:p>
    <w:p w14:paraId="201665D2" w14:textId="77777777" w:rsidR="00BD1D03" w:rsidRDefault="00000000">
      <w:pPr>
        <w:pStyle w:val="Heading1"/>
        <w:pageBreakBefore/>
        <w:spacing w:before="0" w:after="0" w:line="480" w:lineRule="auto"/>
      </w:pPr>
      <w:r>
        <w:lastRenderedPageBreak/>
        <w:t>Figure captions</w:t>
      </w:r>
    </w:p>
    <w:p w14:paraId="164CE469" w14:textId="77777777" w:rsidR="00BD1D03" w:rsidRDefault="00000000">
      <w:pPr>
        <w:pStyle w:val="BodyText"/>
        <w:spacing w:line="480" w:lineRule="auto"/>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77777777" w:rsidR="00BD1D03" w:rsidRDefault="00000000">
      <w:pPr>
        <w:pStyle w:val="BodyText"/>
        <w:spacing w:line="480" w:lineRule="auto"/>
      </w:pPr>
      <w:r>
        <w:rPr>
          <w:b/>
        </w:rPr>
        <w:t>Figure 2.</w:t>
      </w:r>
      <w:r>
        <w:t xml:space="preserve"> Workflow of the method for simulated (A) and empirical (B) data. (A) A field generated from known parameters on a grid (</w:t>
      </w:r>
      <w:r>
        <w:rPr>
          <w:i/>
        </w:rPr>
        <w:t>Q</w:t>
      </w:r>
      <w:r>
        <w:t xml:space="preserve">, </w:t>
      </w:r>
      <w:r>
        <w:rPr>
          <w:i/>
        </w:rPr>
        <w:t>N</w:t>
      </w:r>
      <w:r>
        <w:t xml:space="preserve"> = 18,916) is sampled (</w:t>
      </w:r>
      <w:r>
        <w:rPr>
          <w:i/>
        </w:rPr>
        <w:t>Y</w:t>
      </w:r>
      <w:r>
        <w:t xml:space="preserve">, </w:t>
      </w:r>
      <w:r>
        <w:rPr>
          <w:i/>
        </w:rPr>
        <w:t>N</w:t>
      </w:r>
      <w:r>
        <w:t xml:space="preserve"> = 4,000) to give a reference prediction (</w:t>
      </w:r>
      <w:r>
        <w:rPr>
          <w:i/>
        </w:rPr>
        <w:t>Z</w:t>
      </w:r>
      <w:r>
        <w:t xml:space="preserve">); </w:t>
      </w:r>
      <w:r>
        <w:rPr>
          <w:i/>
        </w:rPr>
        <w:t>ε</w:t>
      </w:r>
      <w:r>
        <w:rPr>
          <w:vertAlign w:val="subscript"/>
        </w:rPr>
        <w:t>2</w:t>
      </w:r>
      <w:r>
        <w:t xml:space="preserve"> compares </w:t>
      </w:r>
      <w:r>
        <w:rPr>
          <w:i/>
        </w:rPr>
        <w:t>Z</w:t>
      </w:r>
      <w:r>
        <w:t xml:space="preserve"> with predictions from thinned designs (</w:t>
      </w:r>
      <w:r>
        <w:rPr>
          <w:i/>
        </w:rPr>
        <w:t>Y</w:t>
      </w:r>
      <w:r>
        <w:rPr>
          <w:vertAlign w:val="subscript"/>
        </w:rPr>
        <w:t>E</w:t>
      </w:r>
      <w:r>
        <w:t xml:space="preserve">), and </w:t>
      </w:r>
      <w:r>
        <w:rPr>
          <w:i/>
        </w:rPr>
        <w:t>ε</w:t>
      </w:r>
      <w:r>
        <w:rPr>
          <w:vertAlign w:val="subscript"/>
        </w:rPr>
        <w:t>3</w:t>
      </w:r>
      <w:r>
        <w:t xml:space="preserve"> uses the prediction from </w:t>
      </w:r>
      <w:r>
        <w:rPr>
          <w:i/>
        </w:rPr>
        <w:t>N</w:t>
      </w:r>
      <w:r>
        <w:t xml:space="preserve"> = 358 samples (</w:t>
      </w:r>
      <w:r>
        <w:rPr>
          <w:i/>
        </w:rPr>
        <w:t>S</w:t>
      </w:r>
      <w:r>
        <w:rPr>
          <w:vertAlign w:val="subscript"/>
        </w:rPr>
        <w:t>E=358</w:t>
      </w:r>
      <w:r>
        <w:t>) as the reference. (B) The same thinning applied to the observed data (</w:t>
      </w:r>
      <w:r>
        <w:rPr>
          <w:i/>
        </w:rPr>
        <w:t>N</w:t>
      </w:r>
      <w:r>
        <w:t xml:space="preserve"> = 358) quantifies </w:t>
      </w:r>
      <w:r>
        <w:rPr>
          <w:i/>
        </w:rPr>
        <w:t>ε</w:t>
      </w:r>
      <w:r>
        <w:rPr>
          <w:vertAlign w:val="subscript"/>
        </w:rPr>
        <w:t>1</w:t>
      </w:r>
      <w:r>
        <w:t>.</w:t>
      </w:r>
    </w:p>
    <w:p w14:paraId="1174C79E" w14:textId="77777777" w:rsidR="00BD1D03" w:rsidRDefault="00000000">
      <w:pPr>
        <w:pStyle w:val="BodyText"/>
        <w:spacing w:line="480" w:lineRule="auto"/>
      </w:pPr>
      <w:r>
        <w:rPr>
          <w:b/>
        </w:rPr>
        <w:t>Figure 3.</w:t>
      </w:r>
      <w:r>
        <w:t xml:space="preserve"> Gaussian process parameter estimates for the 12 species. (A) Spatial autocorrelation length-scale (</w:t>
      </w:r>
      <w:r>
        <w:rPr>
          <w:i/>
        </w:rPr>
        <w:t>ρ</w:t>
      </w:r>
      <w:r>
        <w:t>, km) by depth association (surface, midwater, deepwater). (B) Depth-specific mean 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481AA01C" w14:textId="77777777" w:rsidR="00BD1D03" w:rsidRDefault="00000000">
      <w:pPr>
        <w:pStyle w:val="BodyText"/>
        <w:spacing w:line="480" w:lineRule="auto"/>
      </w:pPr>
      <w:r>
        <w:rPr>
          <w:b/>
        </w:rPr>
        <w:t>Figure 4.</w:t>
      </w:r>
      <w:r>
        <w:t xml:space="preserve"> (A) Prediction error (</w:t>
      </w:r>
      <w:r>
        <w:rPr>
          <w:i/>
        </w:rPr>
        <w:t>ε</w:t>
      </w:r>
      <w:r>
        <w:rPr>
          <w:vertAlign w:val="subscript"/>
        </w:rPr>
        <w:t>2</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(B) Marginal change in error (Δ</w:t>
      </w:r>
      <w:r>
        <w:rPr>
          <w:i/>
        </w:rPr>
        <w:t>ε</w:t>
      </w:r>
      <w:r>
        <w:rPr>
          <w:vertAlign w:val="subscript"/>
        </w:rPr>
        <w:t>2</w:t>
      </w:r>
      <w:r>
        <w:t xml:space="preserve">) per unit increase in </w:t>
      </w:r>
      <w:r>
        <w:rPr>
          <w:i/>
        </w:rPr>
        <w:t>E</w:t>
      </w:r>
      <w:r>
        <w:t>, predicted from Eq. 6 (Appendix S1: Figure S5); the dashed line marks the threshold (Δ</w:t>
      </w:r>
      <w:r>
        <w:rPr>
          <w:i/>
        </w:rPr>
        <w:t>ε</w:t>
      </w:r>
      <w:r>
        <w:rPr>
          <w:vertAlign w:val="subscript"/>
        </w:rPr>
        <w:t>2</w:t>
      </w:r>
      <w:r>
        <w:t>/Δ</w:t>
      </w:r>
      <w:r>
        <w:rPr>
          <w:i/>
        </w:rPr>
        <w:t>E</w:t>
      </w:r>
      <w:r>
        <w:t xml:space="preserve"> = −0.05) for negligible improvement.</w:t>
      </w:r>
    </w:p>
    <w:p w14:paraId="407D365A" w14:textId="77777777" w:rsidR="00BD1D03" w:rsidRDefault="00000000">
      <w:pPr>
        <w:pStyle w:val="BodyText"/>
        <w:spacing w:line="480" w:lineRule="auto"/>
      </w:pPr>
      <w:r>
        <w:rPr>
          <w:b/>
        </w:rPr>
        <w:t>Figure 5.</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1E9AEEEB" w14:textId="77777777" w:rsidR="00BD1D03" w:rsidRDefault="00000000">
      <w:pPr>
        <w:pStyle w:val="BodyText"/>
        <w:pageBreakBefore/>
        <w:spacing w:line="480" w:lineRule="auto"/>
      </w:pPr>
      <w:r>
        <w:rPr>
          <w:b/>
        </w:rPr>
        <w:lastRenderedPageBreak/>
        <w:t>Figure 1</w:t>
      </w:r>
    </w:p>
    <w:p w14:paraId="38CC6724" w14:textId="77777777" w:rsidR="00BD1D03" w:rsidRDefault="00000000">
      <w:pPr>
        <w:spacing w:after="0"/>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pPr>
        <w:pStyle w:val="BodyText"/>
        <w:pageBreakBefore/>
        <w:spacing w:line="480" w:lineRule="auto"/>
      </w:pPr>
      <w:r>
        <w:rPr>
          <w:b/>
        </w:rPr>
        <w:lastRenderedPageBreak/>
        <w:t>Figure 2</w:t>
      </w:r>
    </w:p>
    <w:p w14:paraId="7FCE8B11" w14:textId="77777777" w:rsidR="00BD1D03" w:rsidRDefault="00000000">
      <w:pPr>
        <w:spacing w:after="0"/>
        <w:jc w:val="center"/>
      </w:pPr>
      <w:r>
        <w:rPr>
          <w:noProof/>
        </w:rPr>
        <w:drawing>
          <wp:inline distT="0" distB="0" distL="0" distR="0" wp14:anchorId="5FBD0C5D" wp14:editId="7290319C">
            <wp:extent cx="5943600" cy="3115945"/>
            <wp:effectExtent l="0" t="0" r="0" b="0"/>
            <wp:docPr id="7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31B9F8DF" w14:textId="77777777" w:rsidR="00BD1D03" w:rsidRDefault="00000000">
      <w:pPr>
        <w:pStyle w:val="BodyText"/>
        <w:pageBreakBefore/>
        <w:spacing w:line="480" w:lineRule="auto"/>
      </w:pPr>
      <w:r>
        <w:rPr>
          <w:b/>
        </w:rPr>
        <w:lastRenderedPageBreak/>
        <w:t>Figure 3</w:t>
      </w:r>
    </w:p>
    <w:p w14:paraId="468D59DB" w14:textId="77777777" w:rsidR="00BD1D03" w:rsidRDefault="00000000">
      <w:pPr>
        <w:spacing w:after="0"/>
        <w:jc w:val="center"/>
      </w:pPr>
      <w:r>
        <w:rPr>
          <w:noProof/>
        </w:rPr>
        <w:drawing>
          <wp:inline distT="0" distB="0" distL="0" distR="0" wp14:anchorId="20CC281B" wp14:editId="532B6601">
            <wp:extent cx="5943600" cy="4245610"/>
            <wp:effectExtent l="0" t="0" r="0" b="0"/>
            <wp:docPr id="7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ture 90489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7BCEE0B" w14:textId="77777777" w:rsidR="00BD1D03" w:rsidRDefault="00000000">
      <w:pPr>
        <w:pStyle w:val="BodyText"/>
        <w:pageBreakBefore/>
        <w:spacing w:line="480" w:lineRule="auto"/>
      </w:pPr>
      <w:r>
        <w:rPr>
          <w:b/>
        </w:rPr>
        <w:lastRenderedPageBreak/>
        <w:t>Figure 4</w:t>
      </w:r>
    </w:p>
    <w:p w14:paraId="6604DA69" w14:textId="77777777" w:rsidR="00BD1D03" w:rsidRDefault="00000000">
      <w:pPr>
        <w:spacing w:after="0"/>
        <w:jc w:val="center"/>
      </w:pPr>
      <w:r>
        <w:rPr>
          <w:noProof/>
        </w:rPr>
        <w:drawing>
          <wp:inline distT="0" distB="0" distL="0" distR="0" wp14:anchorId="42F5182B" wp14:editId="4FAD015D">
            <wp:extent cx="5943600" cy="3566160"/>
            <wp:effectExtent l="0" t="0" r="0" b="2540"/>
            <wp:docPr id="70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ture 640827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33BD3BF" w14:textId="77777777" w:rsidR="00BD1D03" w:rsidRDefault="00000000">
      <w:pPr>
        <w:pStyle w:val="BodyText"/>
        <w:pageBreakBefore/>
        <w:spacing w:line="480" w:lineRule="auto"/>
      </w:pPr>
      <w:r>
        <w:rPr>
          <w:b/>
        </w:rPr>
        <w:lastRenderedPageBreak/>
        <w:t>Figure 5</w:t>
      </w:r>
    </w:p>
    <w:p w14:paraId="09372BEB" w14:textId="77777777" w:rsidR="00BD1D03" w:rsidRDefault="00000000">
      <w:pPr>
        <w:spacing w:after="0"/>
        <w:jc w:val="center"/>
      </w:pPr>
      <w:r>
        <w:rPr>
          <w:iCs/>
          <w:noProof/>
        </w:rPr>
        <w:drawing>
          <wp:inline distT="0" distB="0" distL="0" distR="0" wp14:anchorId="3B1A1B29" wp14:editId="7390CD95">
            <wp:extent cx="5943600" cy="4245610"/>
            <wp:effectExtent l="0" t="0" r="0" b="0"/>
            <wp:docPr id="70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ture 10780978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Gledis Guri" w:date="2026-09-30T13:58:00Z" w:initials="GG">
    <w:p w14:paraId="2222A309" w14:textId="77777777" w:rsidR="00C52B80" w:rsidRDefault="00C52B80" w:rsidP="00C52B80">
      <w:r>
        <w:rPr>
          <w:rStyle w:val="CommentReference"/>
        </w:rPr>
        <w:annotationRef/>
      </w:r>
      <w:r>
        <w:rPr>
          <w:sz w:val="20"/>
          <w:szCs w:val="20"/>
        </w:rPr>
        <w:t>this shouldn't be required, but it should be that after these samples it becomes negligable</w:t>
      </w:r>
    </w:p>
  </w:comment>
  <w:comment w:id="2" w:author="Gledis Guri" w:date="2026-09-30T14:36:00Z" w:initials="GG">
    <w:p w14:paraId="50820369" w14:textId="32E49BBC" w:rsidR="00020775" w:rsidRDefault="00020775">
      <w:pPr>
        <w:pStyle w:val="CommentText"/>
      </w:pPr>
      <w:r>
        <w:rPr>
          <w:rStyle w:val="CommentReference"/>
        </w:rPr>
        <w:annotationRef/>
      </w:r>
      <w:r>
        <w:t>Agreed, "required" overstated it. The abstract now says marginal gains became negligible beyond 4–5 samples per 10,000 km2 per depth layer for smooth species, but only beyond 8–11 for patchy species. The Discussion already uses this framing ("before the marginal gains drop below the threshold"). Two things to check: the abstract does not say that "negligible" is defined by your arbitrary Δε/ΔE = −0.05 threshold, and "more than twice the sampling density" holds (8–11 vs. 4–5). Adding "(Δε/ΔE &gt; −0.05)" would make it precise if the word budget allows.</w:t>
      </w:r>
    </w:p>
  </w:comment>
  <w:comment w:id="3" w:author="Gledis Guri" w:date="2026-09-30T13:59:00Z" w:initials="GG">
    <w:p w14:paraId="1D3ACCA4" w14:textId="77777777" w:rsidR="00C52B80" w:rsidRDefault="00C52B80" w:rsidP="00C52B80">
      <w:r>
        <w:rPr>
          <w:rStyle w:val="CommentReference"/>
        </w:rPr>
        <w:annotationRef/>
      </w:r>
      <w:r>
        <w:rPr>
          <w:sz w:val="20"/>
          <w:szCs w:val="20"/>
        </w:rPr>
        <w:t>This should be deleted</w:t>
      </w:r>
    </w:p>
  </w:comment>
  <w:comment w:id="4" w:author="Gledis Guri" w:date="2026-09-30T14:36:00Z" w:initials="GG">
    <w:p w14:paraId="07375AAF" w14:textId="78AD6C5C" w:rsidR="00020775" w:rsidRDefault="00020775">
      <w:pPr>
        <w:pStyle w:val="CommentText"/>
      </w:pPr>
      <w:r>
        <w:rPr>
          <w:rStyle w:val="CommentReference"/>
        </w:rPr>
        <w:annotationRef/>
      </w:r>
      <w:r>
        <w:t>Deleted. This matches the concern I raised earlier: the Results show error in μd rising with effort when ρ &gt; 400 km, so the claim was hard to defend. If you want the point about abundance indices back, it would need a careful statement in the Discussion (Perspectives and applications still says parameter estimation is relatively insensitive to effort), and the μd result should be reconciled with that sentence.</w:t>
      </w:r>
    </w:p>
  </w:comment>
  <w:comment w:id="5" w:author="Gledis Guri" w:date="2026-09-30T14:01:00Z" w:initials="GG">
    <w:p w14:paraId="30F5BB93" w14:textId="77777777" w:rsidR="00C52B80" w:rsidRDefault="00C52B80" w:rsidP="00C52B80">
      <w:r>
        <w:rPr>
          <w:rStyle w:val="CommentReference"/>
        </w:rPr>
        <w:annotationRef/>
      </w:r>
      <w:r>
        <w:rPr>
          <w:sz w:val="20"/>
          <w:szCs w:val="20"/>
        </w:rPr>
        <w:t>Give another sentence before this to make a smoother transition between the previous statement and this</w:t>
      </w:r>
    </w:p>
  </w:comment>
  <w:comment w:id="6" w:author="Gledis Guri" w:date="2026-09-30T14:36:00Z" w:initials="GG">
    <w:p w14:paraId="30230686" w14:textId="5BFB840C" w:rsidR="00020775" w:rsidRDefault="00020775">
      <w:pPr>
        <w:pStyle w:val="CommentText"/>
      </w:pPr>
      <w:r>
        <w:rPr>
          <w:rStyle w:val="CommentReference"/>
        </w:rPr>
        <w:annotationRef/>
      </w:r>
      <w:r>
        <w:t>Added a bridging sentence: the effort needed to characterize a species' distribution is not universal but depends on its spatial autocorrelation, and so can be specified in advance. It links the case-study result to the planner. Feel free to adjust the wording.</w:t>
      </w:r>
    </w:p>
  </w:comment>
  <w:comment w:id="16" w:author="Gledis Guri" w:date="2026-09-30T14:52:00Z" w:initials="GG">
    <w:p w14:paraId="64EBC29F" w14:textId="77777777" w:rsidR="00FA4C5C" w:rsidRDefault="00FA4C5C" w:rsidP="00FA4C5C">
      <w:r>
        <w:rPr>
          <w:rStyle w:val="CommentReference"/>
        </w:rPr>
        <w:annotationRef/>
      </w:r>
      <w:r>
        <w:rPr>
          <w:sz w:val="20"/>
          <w:szCs w:val="20"/>
        </w:rPr>
        <w:t>just add something along the lines of 'however, here we only focus on a single value which is based on the mean'</w:t>
      </w:r>
    </w:p>
  </w:comment>
  <w:comment w:id="17" w:author="Gledis Guri" w:date="2026-09-30T14:52:00Z" w:initials="GG">
    <w:p w14:paraId="359C3147" w14:textId="77777777" w:rsidR="00FA4C5C" w:rsidRDefault="00FA4C5C" w:rsidP="00FA4C5C">
      <w:r>
        <w:rPr>
          <w:rStyle w:val="CommentReference"/>
        </w:rPr>
        <w:annotationRef/>
      </w:r>
      <w:r>
        <w:rPr>
          <w:sz w:val="20"/>
          <w:szCs w:val="20"/>
        </w:rPr>
        <w:t>I hate ":" in text. Can you please remove them and rephrase the sentence without it</w:t>
      </w:r>
    </w:p>
  </w:comment>
  <w:comment w:id="19" w:author="Gledis Guri" w:date="2026-09-30T14:53:00Z" w:initials="GG">
    <w:p w14:paraId="1DCF5900" w14:textId="77777777" w:rsidR="00FA4C5C" w:rsidRDefault="00FA4C5C" w:rsidP="00FA4C5C">
      <w:r>
        <w:rPr>
          <w:rStyle w:val="CommentReference"/>
        </w:rPr>
        <w:annotationRef/>
      </w:r>
      <w:r>
        <w:rPr>
          <w:sz w:val="20"/>
          <w:szCs w:val="20"/>
        </w:rPr>
        <w:t>Need to make this an R function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222A309" w15:done="0"/>
  <w15:commentEx w15:paraId="50820369" w15:paraIdParent="2222A309" w15:done="0"/>
  <w15:commentEx w15:paraId="1D3ACCA4" w15:done="0"/>
  <w15:commentEx w15:paraId="07375AAF" w15:paraIdParent="1D3ACCA4" w15:done="0"/>
  <w15:commentEx w15:paraId="30F5BB93" w15:done="0"/>
  <w15:commentEx w15:paraId="30230686" w15:paraIdParent="30F5BB93" w15:done="0"/>
  <w15:commentEx w15:paraId="64EBC29F" w15:done="0"/>
  <w15:commentEx w15:paraId="359C3147" w15:done="0"/>
  <w15:commentEx w15:paraId="1DCF59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F03727A" w16cex:dateUtc="2026-09-30T20:58:00Z"/>
  <w16cex:commentExtensible w16cex:durableId="1E952345" w16cex:dateUtc="2026-09-30T21:36:00Z"/>
  <w16cex:commentExtensible w16cex:durableId="0192EFA0" w16cex:dateUtc="2026-09-30T20:59:00Z"/>
  <w16cex:commentExtensible w16cex:durableId="7BBC0AAB" w16cex:dateUtc="2026-09-30T21:36:00Z"/>
  <w16cex:commentExtensible w16cex:durableId="3015127C" w16cex:dateUtc="2026-09-30T21:01:00Z"/>
  <w16cex:commentExtensible w16cex:durableId="66CED72C" w16cex:dateUtc="2026-09-30T21:36:00Z"/>
  <w16cex:commentExtensible w16cex:durableId="605B5D97" w16cex:dateUtc="2026-09-30T21:52:00Z"/>
  <w16cex:commentExtensible w16cex:durableId="5ABD7971" w16cex:dateUtc="2026-09-30T21:52:00Z"/>
  <w16cex:commentExtensible w16cex:durableId="4A6FAB38" w16cex:dateUtc="2026-09-30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222A309" w16cid:durableId="5F03727A"/>
  <w16cid:commentId w16cid:paraId="50820369" w16cid:durableId="1E952345"/>
  <w16cid:commentId w16cid:paraId="1D3ACCA4" w16cid:durableId="0192EFA0"/>
  <w16cid:commentId w16cid:paraId="07375AAF" w16cid:durableId="7BBC0AAB"/>
  <w16cid:commentId w16cid:paraId="30F5BB93" w16cid:durableId="3015127C"/>
  <w16cid:commentId w16cid:paraId="30230686" w16cid:durableId="66CED72C"/>
  <w16cid:commentId w16cid:paraId="64EBC29F" w16cid:durableId="605B5D97"/>
  <w16cid:commentId w16cid:paraId="359C3147" w16cid:durableId="5ABD7971"/>
  <w16cid:commentId w16cid:paraId="1DCF5900" w16cid:durableId="4A6FA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940C79" w14:textId="77777777" w:rsidR="007B5662" w:rsidRDefault="007B5662" w:rsidP="009A2297">
      <w:pPr>
        <w:spacing w:after="0"/>
      </w:pPr>
      <w:r>
        <w:separator/>
      </w:r>
    </w:p>
  </w:endnote>
  <w:endnote w:type="continuationSeparator" w:id="0">
    <w:p w14:paraId="27937F37" w14:textId="77777777" w:rsidR="007B5662" w:rsidRDefault="007B5662"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FFB28B" w14:textId="77777777" w:rsidR="007B5662" w:rsidRDefault="007B5662" w:rsidP="009A2297">
      <w:pPr>
        <w:spacing w:after="0"/>
      </w:pPr>
      <w:r>
        <w:separator/>
      </w:r>
    </w:p>
  </w:footnote>
  <w:footnote w:type="continuationSeparator" w:id="0">
    <w:p w14:paraId="01A13E0C" w14:textId="77777777" w:rsidR="007B5662" w:rsidRDefault="007B5662"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oNotDisplayPageBoundaries/>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30F0"/>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B5662"/>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92</TotalTime>
  <Pages>35</Pages>
  <Words>21898</Words>
  <Characters>127453</Characters>
  <Application>Microsoft Office Word</Application>
  <DocSecurity>0</DocSecurity>
  <Lines>1847</Lines>
  <Paragraphs>477</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148874</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8</cp:revision>
  <cp:lastPrinted>2026-04-15T23:13:00Z</cp:lastPrinted>
  <dcterms:created xsi:type="dcterms:W3CDTF">2026-08-24T03:29:00Z</dcterms:created>
  <dcterms:modified xsi:type="dcterms:W3CDTF">2026-10-01T05:38:00Z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