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sidRPr="00B97B65">
        <w:rPr>
          <w:rFonts w:ascii="Times New Roman" w:hAnsi="Times New Roman" w:cs="Times New Roman"/>
          <w:b/>
          <w:bCs/>
          <w:sz w:val="28"/>
          <w:szCs w:val="28"/>
        </w:rPr>
        <w:t xml:space="preserve">Smart </w:t>
      </w:r>
      <w:r>
        <w:rPr>
          <w:rFonts w:ascii="Times New Roman" w:hAnsi="Times New Roman" w:cs="Times New Roman"/>
          <w:b/>
          <w:bCs/>
          <w:sz w:val="28"/>
          <w:szCs w:val="28"/>
        </w:rPr>
        <w:t xml:space="preserve">environmental </w:t>
      </w:r>
      <w:r w:rsidRPr="00B97B65">
        <w:rPr>
          <w:rFonts w:ascii="Times New Roman" w:hAnsi="Times New Roman" w:cs="Times New Roman"/>
          <w:b/>
          <w:bCs/>
          <w:sz w:val="28"/>
          <w:szCs w:val="28"/>
        </w:rPr>
        <w:t xml:space="preserve">DNA sampling strategies: </w:t>
      </w:r>
      <w:r>
        <w:rPr>
          <w:rFonts w:ascii="Times New Roman" w:hAnsi="Times New Roman" w:cs="Times New Roman"/>
          <w:b/>
          <w:bCs/>
          <w:sz w:val="28"/>
          <w:szCs w:val="28"/>
        </w:rPr>
        <w:t>S</w:t>
      </w:r>
      <w:r w:rsidRPr="00B97B65">
        <w:rPr>
          <w:rFonts w:ascii="Times New Roman" w:hAnsi="Times New Roman" w:cs="Times New Roman"/>
          <w:b/>
          <w:bCs/>
          <w:sz w:val="28"/>
          <w:szCs w:val="28"/>
        </w:rPr>
        <w:t>patial autocorrelation can guide efficient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76C1BD25" w14:textId="3791E391" w:rsidR="00D477E6" w:rsidRDefault="003B5D12" w:rsidP="001643E6">
      <w:pPr>
        <w:pStyle w:val="BodyText"/>
        <w:spacing w:line="480" w:lineRule="auto"/>
      </w:pPr>
      <w:r w:rsidRPr="003B5D12">
        <w:t xml:space="preserve">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 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maximize inference accuracy and efficiency. Prediction accuracy improved with higher spatial autocorrelation and increasing sampling density with the largest marginal gains in accuracy occurring in our </w:t>
      </w:r>
      <w:proofErr w:type="gramStart"/>
      <w:r w:rsidRPr="003B5D12">
        <w:t>particular use-case</w:t>
      </w:r>
      <w:proofErr w:type="gramEnd"/>
      <w:r w:rsidRPr="003B5D12">
        <w:t xml:space="preserve"> at around 4-9 samples per 10000 km</w:t>
      </w:r>
      <w:r w:rsidRPr="004762FC">
        <w:rPr>
          <w:vertAlign w:val="superscript"/>
        </w:rPr>
        <w:t>2</w:t>
      </w:r>
      <w:r w:rsidR="00ED1A95" w:rsidRPr="00ED1A95">
        <w:t xml:space="preserve"> per depth layer across the five sampled depth strata</w:t>
      </w:r>
      <w:r w:rsidR="00ED1A95">
        <w:t>.</w:t>
      </w:r>
      <w:r w:rsidRPr="003B5D12">
        <w:t xml:space="preserve"> </w:t>
      </w:r>
      <w:r w:rsidR="00F81883">
        <w:t>Additionally, GP parameter recovery under reduced sampling effort showed diminishing returns, with little marginal gain past 6 samples per</w:t>
      </w:r>
      <w:r w:rsidR="00F81883" w:rsidRPr="003B5D12">
        <w:t xml:space="preserve"> </w:t>
      </w:r>
      <w:r w:rsidRPr="003B5D12">
        <w:t>10000 km</w:t>
      </w:r>
      <w:r w:rsidRPr="004762FC">
        <w:rPr>
          <w:vertAlign w:val="superscript"/>
        </w:rPr>
        <w:t>2</w:t>
      </w:r>
      <w:r w:rsidRPr="003B5D12">
        <w:t>. 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t>
      </w:r>
    </w:p>
    <w:p w14:paraId="4345CD1D" w14:textId="77777777" w:rsidR="003B5D12" w:rsidRPr="00915163" w:rsidRDefault="003B5D12" w:rsidP="001643E6">
      <w:pPr>
        <w:pStyle w:val="BodyText"/>
        <w:spacing w:line="480" w:lineRule="auto"/>
      </w:pPr>
    </w:p>
    <w:p w14:paraId="5516F177" w14:textId="548551F0" w:rsidR="0032076E" w:rsidRDefault="00D04708" w:rsidP="001643E6">
      <w:pPr>
        <w:pStyle w:val="FirstParagraph"/>
        <w:spacing w:line="480" w:lineRule="auto"/>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 w:name="introduction"/>
      <w:bookmarkEnd w:id="0"/>
      <w:r>
        <w:lastRenderedPageBreak/>
        <w:t>Introduction</w:t>
      </w:r>
    </w:p>
    <w:p w14:paraId="12A3A315" w14:textId="0C5680B7" w:rsidR="00E656D3" w:rsidRDefault="00686350" w:rsidP="001643E6">
      <w:pPr>
        <w:pStyle w:val="BodyText"/>
        <w:spacing w:line="480" w:lineRule="auto"/>
      </w:pPr>
      <w:bookmarkStart w:id="3" w:name="OLE_LINK9"/>
      <w:r w:rsidRPr="00686350">
        <w:t>Appropriate sampling design plays a critical role in accurately assessing species distributions, forming the foundation for evidence-based ecological inference and resource management</w:t>
      </w:r>
      <w:r w:rsidR="00D829D6">
        <w:t xml:space="preserve"> </w:t>
      </w:r>
      <w:r w:rsidR="00F8348C">
        <w:fldChar w:fldCharType="begin"/>
      </w:r>
      <w:r w:rsidR="00E456BF">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F8348C">
        <w:fldChar w:fldCharType="separate"/>
      </w:r>
      <w:r w:rsidR="00E456BF">
        <w:rPr>
          <w:noProof/>
        </w:rPr>
        <w:t>(Yoccoz et al., 2001)</w:t>
      </w:r>
      <w:r w:rsidR="00F8348C">
        <w:fldChar w:fldCharType="end"/>
      </w:r>
      <w:r>
        <w:t xml:space="preserve">. </w:t>
      </w:r>
      <w:r w:rsidR="00E656D3" w:rsidRPr="00E656D3">
        <w:t>Across ecological systems, indices of abundance and distribution are commonly derived from a range of survey approaches, including capture-based methods</w:t>
      </w:r>
      <w:r w:rsidR="009A606B">
        <w:t xml:space="preserve"> </w:t>
      </w:r>
      <w:r w:rsidR="00E456BF">
        <w:fldChar w:fldCharType="begin"/>
      </w:r>
      <w:r w:rsidR="00EE63D1">
        <w: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instrText>
      </w:r>
      <w:r w:rsidR="00E456BF">
        <w:fldChar w:fldCharType="separate"/>
      </w:r>
      <w:r w:rsidR="00EE63D1">
        <w:rPr>
          <w:noProof/>
        </w:rPr>
        <w:t>(Fraser et al., 2007)</w:t>
      </w:r>
      <w:r w:rsidR="00E456BF">
        <w:fldChar w:fldCharType="end"/>
      </w:r>
      <w:r w:rsidR="00E656D3" w:rsidRPr="00E656D3">
        <w:t>, acoustic techniques</w:t>
      </w:r>
      <w:r w:rsidR="00236259">
        <w:t xml:space="preserve"> </w:t>
      </w:r>
      <w:r w:rsidR="00E456BF">
        <w:fldChar w:fldCharType="begin"/>
      </w:r>
      <w:r w:rsidR="00E456BF">
        <w: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instrText>
      </w:r>
      <w:r w:rsidR="00E456BF">
        <w:fldChar w:fldCharType="separate"/>
      </w:r>
      <w:r w:rsidR="00E456BF">
        <w:rPr>
          <w:noProof/>
        </w:rPr>
        <w:t>(Lees et al., 2021)</w:t>
      </w:r>
      <w:r w:rsidR="00E456BF">
        <w:fldChar w:fldCharType="end"/>
      </w:r>
      <w:r w:rsidR="00E656D3" w:rsidRPr="00E656D3">
        <w:t>, and direct visual observations</w:t>
      </w:r>
      <w:r w:rsidR="0097055C">
        <w:t xml:space="preserve"> </w:t>
      </w:r>
      <w:r w:rsidR="00EE63D1">
        <w:fldChar w:fldCharType="begin"/>
      </w:r>
      <w:r w:rsidR="00EE63D1">
        <w: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instrText>
      </w:r>
      <w:r w:rsidR="00EE63D1">
        <w:fldChar w:fldCharType="separate"/>
      </w:r>
      <w:r w:rsidR="00EE63D1">
        <w:rPr>
          <w:noProof/>
        </w:rPr>
        <w:t>(Ip et al., 2025)</w:t>
      </w:r>
      <w:r w:rsidR="00EE63D1">
        <w:fldChar w:fldCharType="end"/>
      </w:r>
      <w:r w:rsidR="00E656D3" w:rsidRPr="00E656D3">
        <w:t xml:space="preserve">. All of these approaches </w:t>
      </w:r>
      <w:r w:rsidR="00B54981">
        <w:t xml:space="preserve">require a sample size appropriate for reliably estimating population parameters including abundance, demographic structure, and spatial distribution patterns </w:t>
      </w:r>
      <w:r w:rsidR="00EE63D1">
        <w:fldChar w:fldCharType="begin"/>
      </w:r>
      <w:r w:rsidR="008A6B47">
        <w: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EE63D1">
        <w:fldChar w:fldCharType="separate"/>
      </w:r>
      <w:r w:rsidR="008A6B47" w:rsidRPr="008A6B47">
        <w:rPr>
          <w:rFonts w:cs="Times New Roman"/>
        </w:rPr>
        <w:t>(Guillera‐Arroita &amp; Lahoz‐Monfort, 2012; Yoccoz et al., 2001)</w:t>
      </w:r>
      <w:r w:rsidR="00EE63D1">
        <w:fldChar w:fldCharType="end"/>
      </w:r>
      <w:r w:rsidR="00B54981" w:rsidRPr="00B54981">
        <w:t xml:space="preserve"> </w:t>
      </w:r>
      <w:r w:rsidR="00B54981">
        <w:t>This process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
    <w:p w14:paraId="25688A63" w14:textId="77777777" w:rsidR="00D477E6" w:rsidRDefault="00D477E6" w:rsidP="001643E6">
      <w:pPr>
        <w:pStyle w:val="BodyText"/>
        <w:spacing w:line="480" w:lineRule="auto"/>
      </w:pPr>
    </w:p>
    <w:p w14:paraId="0267C06D" w14:textId="47BC6680"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In contrast to traditional survey techniques that are typically species-specific or require separate sampling efforts for different taxa, eDNA enables simultaneous, multi-species detection from a single sample</w:t>
      </w:r>
      <w:r w:rsidR="00344228">
        <w:t xml:space="preserve"> </w:t>
      </w:r>
      <w:r w:rsidR="00FA3259">
        <w:fldChar w:fldCharType="begin"/>
      </w:r>
      <w:r w:rsidR="00A45D3E">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FA3259">
        <w:fldChar w:fldCharType="separate"/>
      </w:r>
      <w:r w:rsidR="00A45D3E">
        <w:rPr>
          <w:noProof/>
        </w:rPr>
        <w:t>(Guri et al., 2024)</w:t>
      </w:r>
      <w:r w:rsidR="00FA3259">
        <w:fldChar w:fldCharType="end"/>
      </w:r>
      <w:r>
        <w:t xml:space="preserv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45D3E">
        <w:fldChar w:fldCharType="begin"/>
      </w:r>
      <w:r w:rsidR="00A45D3E">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A45D3E">
        <w:fldChar w:fldCharType="separate"/>
      </w:r>
      <w:r w:rsidR="00A45D3E">
        <w:rPr>
          <w:noProof/>
        </w:rPr>
        <w:t>(Guri et al., 2023)</w:t>
      </w:r>
      <w:r w:rsidR="00A45D3E">
        <w:fldChar w:fldCharType="end"/>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 xml:space="preserve">(Baetscher et al., 2025; Guri et al., 2024; Kirtane et al., 2021; Salter et al., </w:t>
      </w:r>
      <w:r w:rsidR="00E54BD9">
        <w:rPr>
          <w:noProof/>
        </w:rPr>
        <w:lastRenderedPageBreak/>
        <w:t>2026)</w:t>
      </w:r>
      <w:r w:rsidR="00A45D3E">
        <w:fldChar w:fldCharType="end"/>
      </w:r>
      <w:r>
        <w:t>. Additionally, while conventional methods detect organisms directly at the point of capture or observation, eDNA signals integrate information from surrounding areas through processes of DNA transport and decay</w:t>
      </w:r>
      <w:r w:rsidR="00E54BD9">
        <w:t xml:space="preserve"> </w:t>
      </w:r>
      <w:r w:rsidR="00E54BD9">
        <w:fldChar w:fldCharType="begin"/>
      </w:r>
      <w:r w:rsidR="00BC0903">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r>
      <w:r w:rsidR="00E54BD9">
        <w:fldChar w:fldCharType="separate"/>
      </w:r>
      <w:r w:rsidR="00BC0903" w:rsidRPr="00BC0903">
        <w:rPr>
          <w:rFonts w:cs="Times New Roman"/>
        </w:rPr>
        <w:t>(Brandão-Dias et al., 2025; Z. Li et al., 2026)</w:t>
      </w:r>
      <w:r w:rsidR="00E54BD9">
        <w:fldChar w:fldCharType="end"/>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864D91">
        <w:fldChar w:fldCharType="begin"/>
      </w:r>
      <w:r w:rsidR="00FF5201">
        <w: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864D91">
        <w:fldChar w:fldCharType="separate"/>
      </w:r>
      <w:r w:rsidR="00FF5201">
        <w:rPr>
          <w:noProof/>
        </w:rPr>
        <w:t>(Guri et al., 2024)</w:t>
      </w:r>
      <w:r w:rsidR="00864D91">
        <w:fldChar w:fldCharType="end"/>
      </w:r>
      <w:r w:rsidR="00CE6B24">
        <w:t>.</w:t>
      </w:r>
      <w:r>
        <w:t xml:space="preserve"> </w:t>
      </w:r>
      <w:r w:rsidR="00CE6B24">
        <w:t>This fact motivates increased consideration of how to design and interpret surveys that collect eDNA.</w:t>
      </w:r>
    </w:p>
    <w:p w14:paraId="2A2BAAFC" w14:textId="77777777" w:rsidR="00BF4A9D" w:rsidRDefault="00BF4A9D" w:rsidP="001643E6">
      <w:pPr>
        <w:pStyle w:val="BodyText"/>
        <w:spacing w:line="480" w:lineRule="auto"/>
      </w:pPr>
    </w:p>
    <w:p w14:paraId="204E2337" w14:textId="5C12154E"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0B7F3C">
        <w:t xml:space="preserve"> </w:t>
      </w:r>
      <w:r w:rsidR="000B7F3C">
        <w:fldChar w:fldCharType="begin"/>
      </w:r>
      <w:r w:rsidR="00AA6C90">
        <w: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0B7F3C">
        <w:fldChar w:fldCharType="separate"/>
      </w:r>
      <w:r w:rsidR="003D1914">
        <w:rPr>
          <w:noProof/>
        </w:rPr>
        <w:t>(Tarugara et al., 2019; Thiele et al., 2023; Zhao et al., 2022)</w:t>
      </w:r>
      <w:r w:rsidR="000B7F3C">
        <w:fldChar w:fldCharType="end"/>
      </w:r>
      <w:r w:rsidRPr="00BF4A9D">
        <w:t>. This principle guides the development of cost-effective sampling strategies that maximize analytical power while minimizing operational expenditure</w:t>
      </w:r>
      <w:r w:rsidR="00BC0903" w:rsidRPr="00BC0903">
        <w:t xml:space="preserve"> </w:t>
      </w:r>
      <w:r w:rsidR="00BC0903">
        <w:fldChar w:fldCharType="begin"/>
      </w:r>
      <w:r w:rsidR="00BC0903">
        <w: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instrText>
      </w:r>
      <w:r w:rsidR="00BC0903">
        <w:fldChar w:fldCharType="separate"/>
      </w:r>
      <w:r w:rsidR="00BC0903">
        <w:rPr>
          <w:noProof/>
        </w:rPr>
        <w:t>(Muradian et al., 2019)</w:t>
      </w:r>
      <w:r w:rsidR="00BC0903">
        <w:fldChar w:fldCharType="end"/>
      </w:r>
      <w:r w:rsidRPr="00BF4A9D">
        <w:t>.</w:t>
      </w:r>
    </w:p>
    <w:p w14:paraId="0B0E1BF3" w14:textId="77777777" w:rsidR="00BF4A9D" w:rsidRDefault="00BF4A9D" w:rsidP="001643E6">
      <w:pPr>
        <w:pStyle w:val="BodyText"/>
        <w:spacing w:line="480" w:lineRule="auto"/>
      </w:pPr>
    </w:p>
    <w:p w14:paraId="26B68E00" w14:textId="41E5E6C5" w:rsidR="00264629" w:rsidRDefault="00264629" w:rsidP="001643E6">
      <w:pPr>
        <w:pStyle w:val="BodyText"/>
        <w:spacing w:line="480" w:lineRule="auto"/>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w:t>
      </w:r>
      <w:r w:rsidR="00FF770D">
        <w:t xml:space="preserve"> (GAMs)</w:t>
      </w:r>
      <w:r w:rsidRPr="00D74919">
        <w:t xml:space="preserve">, hierarchical </w:t>
      </w:r>
      <w:r w:rsidR="00BE4D8B" w:rsidRPr="00021267">
        <w:t>stochastic</w:t>
      </w:r>
      <w:r w:rsidR="00021267" w:rsidRPr="00021267">
        <w:t xml:space="preserve"> partial differential equation</w:t>
      </w:r>
      <w:r w:rsidR="00021267">
        <w:t xml:space="preserve"> (</w:t>
      </w:r>
      <w:r w:rsidRPr="00D74919">
        <w:t>SPDE</w:t>
      </w:r>
      <w:r w:rsidR="00021267">
        <w:t>)</w:t>
      </w:r>
      <w:r w:rsidRPr="00D74919">
        <w:t xml:space="preserve"> models fitted </w:t>
      </w:r>
      <w:r w:rsidR="00021267" w:rsidRPr="00021267">
        <w:t>using integrated nested Laplace approximation (INLA)</w:t>
      </w:r>
      <w:r w:rsidRPr="00D74919">
        <w:t>, conventional linear or additive regressions, spatial autoregressive structures, kernel‑based methods</w:t>
      </w:r>
      <w:r>
        <w:t xml:space="preserve"> such as Gaussian processes (GP)</w:t>
      </w:r>
      <w:r w:rsidR="00CD3E18">
        <w:t xml:space="preserve"> </w:t>
      </w:r>
      <w:r w:rsidR="00133DD4" w:rsidRPr="00133DD4">
        <w:t xml:space="preserve">and an expanding class of machine learning methods such as </w:t>
      </w:r>
      <w:r w:rsidR="00133DD4" w:rsidRPr="00133DD4">
        <w:lastRenderedPageBreak/>
        <w:t xml:space="preserve">boosted regression trees (BRTs), random forests (RFs), and artificial neural networks (ANNs) </w:t>
      </w:r>
      <w:r w:rsidR="005123FE">
        <w:fldChar w:fldCharType="begin"/>
      </w:r>
      <w:r w:rsidR="00387956">
        <w: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instrText>
      </w:r>
      <w:r w:rsidR="005123FE">
        <w:fldChar w:fldCharType="separate"/>
      </w:r>
      <w:r w:rsidR="00387956" w:rsidRPr="00387956">
        <w:rPr>
          <w:rFonts w:cs="Times New Roman"/>
        </w:rPr>
        <w:t>(Dormann et al., 2007; Elith et al., 2008; Guisan &amp; Zimmermann, 2000; Lek &amp; Guégan, 1999; Lezama-Ochoa et al., 2020; X. Li &amp; Wang, 2013)</w:t>
      </w:r>
      <w:r w:rsidR="005123FE">
        <w:fldChar w:fldCharType="end"/>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provide a flexible, non‑parametric way to capture spatial and environmental smooths</w:t>
      </w:r>
      <w:r>
        <w:t xml:space="preserve"> </w:t>
      </w:r>
      <w:r w:rsidR="00F86CCF">
        <w:fldChar w:fldCharType="begin"/>
      </w:r>
      <w:r w:rsidR="008F35CC">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r>
      <w:r w:rsidR="00F86CCF">
        <w:fldChar w:fldCharType="separate"/>
      </w:r>
      <w:r w:rsidR="008F35CC">
        <w:rPr>
          <w:noProof/>
        </w:rPr>
        <w:t>(Lewy &amp; Kristensen, 2009; Nielsen et al., 2016)</w:t>
      </w:r>
      <w:r w:rsidR="00F86CCF">
        <w:fldChar w:fldCharType="end"/>
      </w:r>
      <w:r w:rsidR="008F35CC">
        <w:t xml:space="preserve"> </w:t>
      </w:r>
    </w:p>
    <w:p w14:paraId="21B56FD1" w14:textId="77777777" w:rsidR="00CE6B24" w:rsidRDefault="00CE6B24" w:rsidP="001643E6">
      <w:pPr>
        <w:pStyle w:val="BodyText"/>
        <w:spacing w:line="480" w:lineRule="auto"/>
      </w:pPr>
    </w:p>
    <w:p w14:paraId="5516F17C" w14:textId="19872C50" w:rsidR="0032076E" w:rsidRDefault="00D04708" w:rsidP="001643E6">
      <w:pPr>
        <w:pStyle w:val="BodyText"/>
        <w:spacing w:line="480" w:lineRule="auto"/>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rsidR="009D2167" w:rsidRPr="005126D7">
        <w:t>G</w:t>
      </w:r>
      <w:r w:rsidR="009D2167">
        <w:t>P</w:t>
      </w:r>
      <w:r w:rsidR="009D2167" w:rsidRPr="005126D7">
        <w:t xml:space="preserve"> models are appropriate only to the extent that their underlying smoothness assumptions are </w:t>
      </w:r>
      <w:r w:rsidR="00525775" w:rsidRPr="005126D7">
        <w:t>met and</w:t>
      </w:r>
      <w:r w:rsidR="009D2167" w:rsidRPr="005126D7">
        <w:t xml:space="preserve"> may therefore perform poorly in systems characterized by sharp boundaries or abrupt, non-smooth variation in space or covariate relationships.</w:t>
      </w:r>
      <w:r w:rsidR="009D2167">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covariates, or both, </w:t>
      </w:r>
      <w:r w:rsidR="00074790">
        <w:t xml:space="preserve">in this study we </w:t>
      </w:r>
      <w:r w:rsidR="00E33EA0" w:rsidRPr="00E33EA0">
        <w:t>focus on</w:t>
      </w:r>
      <w:r w:rsidR="00074790">
        <w:t>ly</w:t>
      </w:r>
      <w:r w:rsidR="00C053C4">
        <w:t xml:space="preserve"> on</w:t>
      </w:r>
      <w:r w:rsidR="00E33EA0" w:rsidRPr="00E33EA0">
        <w:t xml:space="preserv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lastRenderedPageBreak/>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65601BFB" w14:textId="1C66EE13" w:rsidR="00506C1B" w:rsidRPr="007664E1" w:rsidRDefault="00B74108" w:rsidP="001643E6">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643E6">
      <w:pPr>
        <w:pStyle w:val="FirstParagraph"/>
        <w:spacing w:line="480" w:lineRule="auto"/>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bookmarkStart w:id="4" w:name="OLE_LINK10"/>
      <w:r>
        <w:t>covaria</w:t>
      </w:r>
      <w:r w:rsidR="008766A3">
        <w:t>nce</w:t>
      </w:r>
      <w:r w:rsidR="00705D45">
        <w:t xml:space="preserve"> </w:t>
      </w:r>
      <w:bookmarkEnd w:id="4"/>
      <w:r w:rsidR="00705D45">
        <w:t>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5516F17D" w14:textId="3E455AF7" w:rsidR="0032076E" w:rsidRPr="00D2585C" w:rsidRDefault="00B74108" w:rsidP="001643E6">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643E6">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p>
    <w:p w14:paraId="18ECF99A" w14:textId="77777777" w:rsidR="00AD411F" w:rsidRPr="00AD411F" w:rsidRDefault="00AD411F" w:rsidP="001643E6">
      <w:pPr>
        <w:pStyle w:val="BodyText"/>
        <w:spacing w:line="480" w:lineRule="auto"/>
      </w:pPr>
    </w:p>
    <w:p w14:paraId="5516F180" w14:textId="744FA11A" w:rsidR="0032076E" w:rsidRDefault="00FB27EA" w:rsidP="001643E6">
      <w:pPr>
        <w:pStyle w:val="BodyText"/>
        <w:spacing w:line="480" w:lineRule="auto"/>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0757FC">
        <w:t xml:space="preserve"> </w:t>
      </w:r>
      <w:r w:rsidR="001365D9">
        <w:fldChar w:fldCharType="begin"/>
      </w:r>
      <w:r w:rsidR="001365D9">
        <w: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1365D9">
        <w:fldChar w:fldCharType="separate"/>
      </w:r>
      <w:r w:rsidR="001365D9">
        <w:rPr>
          <w:noProof/>
        </w:rPr>
        <w:t>(Wagner &amp; Fortin, 2005)</w:t>
      </w:r>
      <w:r w:rsidR="001365D9">
        <w:fldChar w:fldCharType="end"/>
      </w:r>
      <w:r w:rsidR="00D04708">
        <w:t xml:space="preserve">. </w:t>
      </w:r>
      <w:r w:rsidR="00C416FB">
        <w:t>Hence,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w:t>
      </w:r>
      <w:proofErr w:type="spellStart"/>
      <w:r w:rsidR="00A24888">
        <w:t>i</w:t>
      </w:r>
      <w:proofErr w:type="spellEnd"/>
      <w:r w:rsidR="00A24888">
        <w:t xml:space="preserve">) </w:t>
      </w:r>
      <w:r w:rsidR="00741A6A" w:rsidRPr="00741A6A">
        <w:t>the predictive accuracy of species distribution models</w:t>
      </w:r>
      <w:r w:rsidR="00741A6A">
        <w:t xml:space="preserve"> and </w:t>
      </w:r>
      <w:r w:rsidR="00774EEB">
        <w:t>(ii)</w:t>
      </w:r>
      <w:r w:rsidR="004A6683">
        <w:t xml:space="preserve"> the</w:t>
      </w:r>
      <w:r w:rsidR="005A4BD9">
        <w:t xml:space="preserve"> </w:t>
      </w:r>
      <w:r w:rsidR="004A6683" w:rsidRPr="004A6683">
        <w:t>accuracy</w:t>
      </w:r>
      <w:r w:rsidR="004A6683">
        <w:t xml:space="preserve"> of </w:t>
      </w:r>
      <w:r w:rsidR="005A4BD9">
        <w:t xml:space="preserve">GP parameter </w:t>
      </w:r>
      <w:r w:rsidR="004A6683" w:rsidRPr="004A6683">
        <w:t>estimation</w:t>
      </w:r>
      <w:r w:rsidR="00251B03">
        <w:t xml:space="preserve">. </w:t>
      </w:r>
      <w:r w:rsidR="00683868" w:rsidRPr="00683868">
        <w:t>Although the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 xml:space="preserve">By explicitly quantifying the </w:t>
      </w:r>
      <w:r w:rsidR="00D04708">
        <w:lastRenderedPageBreak/>
        <w:t>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273825">
        <w:t>,</w:t>
      </w:r>
      <w:r w:rsidR="001F72E9">
        <w:t xml:space="preserve">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071304" w:rsidRPr="00871E3F">
        <w:rPr>
          <w:i/>
          <w:iCs/>
        </w:rPr>
        <w:t xml:space="preserve">For species A, high sample density is necessary to approximate the true distribution because of its low spatial autocorrelation, while the pattern for species B is well </w:t>
      </w:r>
      <w:r w:rsidR="00071304" w:rsidRPr="00871E3F">
        <w:rPr>
          <w:i/>
          <w:iCs/>
        </w:rPr>
        <w:lastRenderedPageBreak/>
        <w:t xml:space="preserve">captured with fewer samples, with </w:t>
      </w:r>
      <w:r w:rsidR="00006E74" w:rsidRPr="00871E3F">
        <w:rPr>
          <w:i/>
          <w:iCs/>
        </w:rPr>
        <w:t>excessive sampling lead</w:t>
      </w:r>
      <w:r w:rsidR="00071304" w:rsidRPr="00871E3F">
        <w:rPr>
          <w:i/>
          <w:iCs/>
        </w:rPr>
        <w:t>ing</w:t>
      </w:r>
      <w:r w:rsidR="00006E74" w:rsidRPr="00871E3F">
        <w:rPr>
          <w:i/>
          <w:iCs/>
        </w:rPr>
        <w:t xml:space="preserve"> to redundant data (multiple samples that give the exact same information, thus wasting time and money)</w:t>
      </w:r>
      <w:r w:rsidR="00071304" w:rsidRPr="00871E3F">
        <w:rPr>
          <w:i/>
          <w:iCs/>
        </w:rPr>
        <w:t>.</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5" w:name="materials-and-methods"/>
      <w:bookmarkEnd w:id="2"/>
      <w:r>
        <w:t>Materials and methods</w:t>
      </w:r>
    </w:p>
    <w:p w14:paraId="6D460FDF" w14:textId="28F45267" w:rsidR="001B4F2A" w:rsidRDefault="003676DB" w:rsidP="001643E6">
      <w:pPr>
        <w:pStyle w:val="BodyText"/>
        <w:spacing w:line="480" w:lineRule="auto"/>
      </w:pPr>
      <w:bookmarkStart w:id="6"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r w:rsidR="001B4F2A" w:rsidRPr="001B4F2A">
        <w:t>By combining empirical and simulation-based evaluation, this framework allowed us to assess sampling efficiency beyond the limits of the empirical dataset alone</w:t>
      </w:r>
      <w:r w:rsidR="001B4F2A">
        <w:t xml:space="preserve"> (</w:t>
      </w:r>
      <w:r w:rsidR="001B4F2A" w:rsidRPr="001B4F2A">
        <w:t>restricted to 358 observations</w:t>
      </w:r>
      <w:r w:rsidR="001B4F2A">
        <w:t>)</w:t>
      </w:r>
      <w:r w:rsidR="001B4F2A" w:rsidRPr="001B4F2A">
        <w:t xml:space="preserve"> and thus to evaluate the sampling </w:t>
      </w:r>
      <w:r w:rsidR="001B4F2A">
        <w:t>effort</w:t>
      </w:r>
      <w:r w:rsidR="001B4F2A" w:rsidRPr="001B4F2A">
        <w:t xml:space="preserve"> required for reliable inference across a broader range of effort.</w:t>
      </w:r>
    </w:p>
    <w:p w14:paraId="04ECAC86" w14:textId="77777777" w:rsidR="001B4F2A" w:rsidRDefault="001B4F2A" w:rsidP="001643E6">
      <w:pPr>
        <w:pStyle w:val="BodyText"/>
        <w:spacing w:line="480" w:lineRule="auto"/>
      </w:pPr>
    </w:p>
    <w:p w14:paraId="1FF8BFD3" w14:textId="5629A3D0" w:rsidR="000974AE" w:rsidRDefault="000974AE" w:rsidP="001643E6">
      <w:pPr>
        <w:pStyle w:val="Heading2"/>
        <w:spacing w:before="0" w:after="0" w:line="480" w:lineRule="auto"/>
      </w:pPr>
      <w:r>
        <w:t>Empirical eDNA data</w:t>
      </w:r>
    </w:p>
    <w:p w14:paraId="4E6F073F" w14:textId="2DE4467A"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 xml:space="preserve">(243–461 km UTM eastings; span = 218 km) </w:t>
      </w:r>
      <w:r w:rsidR="0046620B" w:rsidRPr="00F82035">
        <w:lastRenderedPageBreak/>
        <w:t>and from</w:t>
      </w:r>
      <w:r w:rsidR="0046620B">
        <w:t xml:space="preserve"> 38.36° - 48.46° N (4249 - 5367 km UTM northings; range 1118 km), corresponding to a region from central California to northern Washington. </w:t>
      </w:r>
      <w:r>
        <w:t xml:space="preserve">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3820AD87" w:rsidR="00E05D8F" w:rsidRDefault="000974AE" w:rsidP="001643E6">
      <w:pPr>
        <w:pStyle w:val="BodyText"/>
        <w:spacing w:line="480" w:lineRule="auto"/>
      </w:pPr>
      <w:r>
        <w:t xml:space="preserve">Samples underwent PCR amplification using the </w:t>
      </w:r>
      <w:proofErr w:type="spellStart"/>
      <w:r>
        <w:t>MiFish</w:t>
      </w:r>
      <w:proofErr w:type="spellEnd"/>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w:t>
      </w:r>
      <w:proofErr w:type="spellStart"/>
      <w:r>
        <w:t>MiSeq</w:t>
      </w:r>
      <w:proofErr w:type="spellEnd"/>
      <w:r>
        <w:t xml:space="preserve">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w:t>
      </w:r>
      <w:r w:rsidR="00232D1E">
        <w:t xml:space="preserv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sidR="00232D1E">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rsidR="00FC3664" w:rsidRPr="00FC3664">
        <w:t>The focal assemblage comprised a mixture of pelagic, mesopelagic, and demersal taxa characteristic of the California Current ecosystem, including Pacific herring (</w:t>
      </w:r>
      <w:r w:rsidR="00FC3664" w:rsidRPr="00FC3664">
        <w:rPr>
          <w:i/>
          <w:iCs/>
        </w:rPr>
        <w:t xml:space="preserve">Clupea </w:t>
      </w:r>
      <w:proofErr w:type="spellStart"/>
      <w:r w:rsidR="00FC3664" w:rsidRPr="00FC3664">
        <w:rPr>
          <w:i/>
          <w:iCs/>
        </w:rPr>
        <w:t>pallasii</w:t>
      </w:r>
      <w:proofErr w:type="spellEnd"/>
      <w:r w:rsidR="00FC3664" w:rsidRPr="00FC3664">
        <w:t>), northern anchovy (</w:t>
      </w:r>
      <w:proofErr w:type="spellStart"/>
      <w:r w:rsidR="00FC3664" w:rsidRPr="00FC3664">
        <w:rPr>
          <w:i/>
          <w:iCs/>
        </w:rPr>
        <w:t>Engraulis</w:t>
      </w:r>
      <w:proofErr w:type="spellEnd"/>
      <w:r w:rsidR="00FC3664" w:rsidRPr="00FC3664">
        <w:rPr>
          <w:i/>
          <w:iCs/>
        </w:rPr>
        <w:t xml:space="preserve"> mordax</w:t>
      </w:r>
      <w:r w:rsidR="00FC3664" w:rsidRPr="00FC3664">
        <w:t xml:space="preserve">), northern </w:t>
      </w:r>
      <w:proofErr w:type="spellStart"/>
      <w:r w:rsidR="00FC3664" w:rsidRPr="00FC3664">
        <w:t>smoothtongue</w:t>
      </w:r>
      <w:proofErr w:type="spellEnd"/>
      <w:r w:rsidR="00FC3664" w:rsidRPr="00FC3664">
        <w:t xml:space="preserve"> (</w:t>
      </w:r>
      <w:proofErr w:type="spellStart"/>
      <w:r w:rsidR="00FC3664" w:rsidRPr="00FC3664">
        <w:rPr>
          <w:i/>
          <w:iCs/>
        </w:rPr>
        <w:t>Leuroglossus</w:t>
      </w:r>
      <w:proofErr w:type="spellEnd"/>
      <w:r w:rsidR="00FC3664" w:rsidRPr="00FC3664">
        <w:rPr>
          <w:i/>
          <w:iCs/>
        </w:rPr>
        <w:t xml:space="preserve"> </w:t>
      </w:r>
      <w:proofErr w:type="spellStart"/>
      <w:r w:rsidR="00FC3664" w:rsidRPr="00FC3664">
        <w:rPr>
          <w:i/>
          <w:iCs/>
        </w:rPr>
        <w:t>stilbius</w:t>
      </w:r>
      <w:proofErr w:type="spellEnd"/>
      <w:r w:rsidR="00FC3664" w:rsidRPr="00FC3664">
        <w:t>), Dover sole (</w:t>
      </w:r>
      <w:proofErr w:type="spellStart"/>
      <w:r w:rsidR="00FC3664" w:rsidRPr="00FC3664">
        <w:rPr>
          <w:i/>
          <w:iCs/>
        </w:rPr>
        <w:t>Microstomus</w:t>
      </w:r>
      <w:proofErr w:type="spellEnd"/>
      <w:r w:rsidR="00FC3664" w:rsidRPr="00FC3664">
        <w:rPr>
          <w:i/>
          <w:iCs/>
        </w:rPr>
        <w:t xml:space="preserve"> pacificus</w:t>
      </w:r>
      <w:r w:rsidR="00FC3664" w:rsidRPr="00FC3664">
        <w:t>), Pacific sardine (</w:t>
      </w:r>
      <w:r w:rsidR="00FC3664" w:rsidRPr="00FC3664">
        <w:rPr>
          <w:i/>
          <w:iCs/>
        </w:rPr>
        <w:t xml:space="preserve">Sardinops </w:t>
      </w:r>
      <w:proofErr w:type="spellStart"/>
      <w:r w:rsidR="00FC3664" w:rsidRPr="00FC3664">
        <w:rPr>
          <w:i/>
          <w:iCs/>
        </w:rPr>
        <w:t>sagax</w:t>
      </w:r>
      <w:proofErr w:type="spellEnd"/>
      <w:r w:rsidR="00FC3664" w:rsidRPr="00FC3664">
        <w:t>), Pacific chub mackerel (</w:t>
      </w:r>
      <w:proofErr w:type="spellStart"/>
      <w:r w:rsidR="00FC3664" w:rsidRPr="00FC3664">
        <w:rPr>
          <w:i/>
          <w:iCs/>
        </w:rPr>
        <w:t>Scomber</w:t>
      </w:r>
      <w:proofErr w:type="spellEnd"/>
      <w:r w:rsidR="00FC3664" w:rsidRPr="00FC3664">
        <w:rPr>
          <w:i/>
          <w:iCs/>
        </w:rPr>
        <w:t xml:space="preserve"> japonicus</w:t>
      </w:r>
      <w:r w:rsidR="00FC3664" w:rsidRPr="00FC3664">
        <w:t>), widow rockfish (</w:t>
      </w:r>
      <w:r w:rsidR="00FC3664" w:rsidRPr="00FC3664">
        <w:rPr>
          <w:i/>
          <w:iCs/>
        </w:rPr>
        <w:t xml:space="preserve">Sebastes </w:t>
      </w:r>
      <w:proofErr w:type="spellStart"/>
      <w:r w:rsidR="00FC3664" w:rsidRPr="00FC3664">
        <w:rPr>
          <w:i/>
          <w:iCs/>
        </w:rPr>
        <w:t>entomelas</w:t>
      </w:r>
      <w:proofErr w:type="spellEnd"/>
      <w:r w:rsidR="00FC3664" w:rsidRPr="00FC3664">
        <w:t xml:space="preserve">), northern </w:t>
      </w:r>
      <w:proofErr w:type="spellStart"/>
      <w:r w:rsidR="00FC3664" w:rsidRPr="00FC3664">
        <w:t>lampfish</w:t>
      </w:r>
      <w:proofErr w:type="spellEnd"/>
      <w:r w:rsidR="00FC3664" w:rsidRPr="00FC3664">
        <w:t xml:space="preserve"> (</w:t>
      </w:r>
      <w:proofErr w:type="spellStart"/>
      <w:r w:rsidR="00FC3664" w:rsidRPr="00FC3664">
        <w:rPr>
          <w:i/>
          <w:iCs/>
        </w:rPr>
        <w:t>Stenobrachius</w:t>
      </w:r>
      <w:proofErr w:type="spellEnd"/>
      <w:r w:rsidR="00FC3664" w:rsidRPr="00FC3664">
        <w:rPr>
          <w:i/>
          <w:iCs/>
        </w:rPr>
        <w:t xml:space="preserve"> </w:t>
      </w:r>
      <w:proofErr w:type="spellStart"/>
      <w:r w:rsidR="00FC3664" w:rsidRPr="00FC3664">
        <w:rPr>
          <w:i/>
          <w:iCs/>
        </w:rPr>
        <w:t>leucopsarus</w:t>
      </w:r>
      <w:proofErr w:type="spellEnd"/>
      <w:r w:rsidR="00FC3664" w:rsidRPr="00FC3664">
        <w:t>), longfin dragonfish (</w:t>
      </w:r>
      <w:proofErr w:type="spellStart"/>
      <w:r w:rsidR="00FC3664" w:rsidRPr="00FC3664">
        <w:rPr>
          <w:i/>
          <w:iCs/>
        </w:rPr>
        <w:t>Tactostoma</w:t>
      </w:r>
      <w:proofErr w:type="spellEnd"/>
      <w:r w:rsidR="00FC3664" w:rsidRPr="00FC3664">
        <w:rPr>
          <w:i/>
          <w:iCs/>
        </w:rPr>
        <w:t xml:space="preserve"> </w:t>
      </w:r>
      <w:proofErr w:type="spellStart"/>
      <w:r w:rsidR="00FC3664" w:rsidRPr="00FC3664">
        <w:rPr>
          <w:i/>
          <w:iCs/>
        </w:rPr>
        <w:lastRenderedPageBreak/>
        <w:t>macropus</w:t>
      </w:r>
      <w:proofErr w:type="spellEnd"/>
      <w:r w:rsidR="00FC3664" w:rsidRPr="00FC3664">
        <w:t xml:space="preserve">), </w:t>
      </w:r>
      <w:proofErr w:type="spellStart"/>
      <w:r w:rsidR="00FC3664" w:rsidRPr="00FC3664">
        <w:t>plainfin</w:t>
      </w:r>
      <w:proofErr w:type="spellEnd"/>
      <w:r w:rsidR="00FC3664" w:rsidRPr="00FC3664">
        <w:t xml:space="preserve"> midshipman (</w:t>
      </w:r>
      <w:proofErr w:type="spellStart"/>
      <w:r w:rsidR="00FC3664" w:rsidRPr="00FC3664">
        <w:rPr>
          <w:i/>
          <w:iCs/>
        </w:rPr>
        <w:t>Tarletonbeania</w:t>
      </w:r>
      <w:proofErr w:type="spellEnd"/>
      <w:r w:rsidR="00FC3664" w:rsidRPr="00FC3664">
        <w:rPr>
          <w:i/>
          <w:iCs/>
        </w:rPr>
        <w:t xml:space="preserve"> </w:t>
      </w:r>
      <w:proofErr w:type="spellStart"/>
      <w:r w:rsidR="00FC3664" w:rsidRPr="00FC3664">
        <w:rPr>
          <w:i/>
          <w:iCs/>
        </w:rPr>
        <w:t>crenularis</w:t>
      </w:r>
      <w:proofErr w:type="spellEnd"/>
      <w:r w:rsidR="00FC3664" w:rsidRPr="00FC3664">
        <w:t>), eulachon (</w:t>
      </w:r>
      <w:proofErr w:type="spellStart"/>
      <w:r w:rsidR="00FC3664" w:rsidRPr="00FC3664">
        <w:rPr>
          <w:i/>
          <w:iCs/>
        </w:rPr>
        <w:t>Thaleichthys</w:t>
      </w:r>
      <w:proofErr w:type="spellEnd"/>
      <w:r w:rsidR="00FC3664" w:rsidRPr="00FC3664">
        <w:rPr>
          <w:i/>
          <w:iCs/>
        </w:rPr>
        <w:t xml:space="preserve"> pacificus</w:t>
      </w:r>
      <w:r w:rsidR="00FC3664" w:rsidRPr="00FC3664">
        <w:t>), and Pacific jack mackerel (</w:t>
      </w:r>
      <w:r w:rsidR="00FC3664" w:rsidRPr="00FC3664">
        <w:rPr>
          <w:i/>
          <w:iCs/>
        </w:rPr>
        <w:t xml:space="preserve">Trachurus </w:t>
      </w:r>
      <w:proofErr w:type="spellStart"/>
      <w:r w:rsidR="00FC3664" w:rsidRPr="00FC3664">
        <w:rPr>
          <w:i/>
          <w:iCs/>
        </w:rPr>
        <w:t>symmetricus</w:t>
      </w:r>
      <w:proofErr w:type="spellEnd"/>
      <w:r w:rsidR="00FC3664" w:rsidRPr="00FC3664">
        <w:t>).</w:t>
      </w:r>
      <w:r w:rsidR="00FC3664">
        <w:t xml:space="preserve"> </w:t>
      </w:r>
      <w:r w:rsidR="00E36663">
        <w:t xml:space="preserve">The final </w:t>
      </w:r>
      <w:r w:rsidR="00BD0F30">
        <w:t xml:space="preserve">empirical </w:t>
      </w:r>
      <w:r w:rsidR="00E36663">
        <w:t>dataset include</w:t>
      </w:r>
      <w:r w:rsidR="000A685B">
        <w:t>d</w:t>
      </w:r>
      <w:r w:rsidR="00E36663">
        <w:t xml:space="preserve">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5CFD7908"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B74108"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m:rPr>
                  <m:sty m:val="bi"/>
                </m:rP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w:t>
      </w:r>
      <w:r w:rsidR="002A222B">
        <w:t>field</w:t>
      </w:r>
      <w:r w:rsidR="008019A3">
        <w:t xml:space="preserve"> is the same (</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B74108"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B74108"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m:t>
                      </m:r>
                      <m:r>
                        <w:rPr>
                          <w:rFonts w:ascii="Cambria Math" w:hAnsi="Cambria Math"/>
                        </w:rPr>
                        <m:t>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643E6">
      <w:pPr>
        <w:pStyle w:val="BodyText"/>
        <w:spacing w:line="480" w:lineRule="auto"/>
      </w:pPr>
      <w:r>
        <w:lastRenderedPageBreak/>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2C09E0CC"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rsidRPr="00D46036">
        <w:t xml:space="preserve">.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proofErr w:type="gramStart"/>
      <w:r w:rsidR="004C5337">
        <w:t>Similar to</w:t>
      </w:r>
      <w:proofErr w:type="gramEnd"/>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r w:rsidR="000C1D95" w:rsidRPr="000C1D95">
        <w:t>Although incorporating dependence among depths may better reflect ecological structure, doing so would substantially increase model complexity and make the results more difficult to interpret.</w:t>
      </w:r>
      <w:r w:rsidR="000C1D95">
        <w:t xml:space="preserve"> </w:t>
      </w:r>
      <w:bookmarkStart w:id="7"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 xml:space="preserve">were </w:t>
      </w:r>
      <w:r w:rsidR="00D04708">
        <w:lastRenderedPageBreak/>
        <w:t>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7"/>
      <w:r w:rsidR="004D2E90">
        <w:t xml:space="preserve"> </w:t>
      </w:r>
      <w:r w:rsidR="0063681B">
        <w:t xml:space="preserve"> </w:t>
      </w:r>
      <w:bookmarkStart w:id="8" w:name="OLE_LINK12"/>
      <w:r w:rsidR="00AF2D8F">
        <w:t>F</w:t>
      </w:r>
      <w:r w:rsidR="000C295A" w:rsidRPr="000C295A">
        <w:t>ixing</w:t>
      </w:r>
      <w:r w:rsidR="000C295A">
        <w:t xml:space="preserve"> </w:t>
      </w:r>
      <w:r w:rsidR="0063681B" w:rsidRPr="0063681B">
        <w:rPr>
          <w:i/>
          <w:iCs/>
          <w:lang w:val="el-GR"/>
        </w:rPr>
        <w:t>α</w:t>
      </w:r>
      <w:r w:rsidR="00BD7F2B" w:rsidRPr="00BD7F2B">
        <w:rPr>
          <w:i/>
          <w:iCs/>
          <w:vertAlign w:val="superscript"/>
        </w:rPr>
        <w:t>2</w:t>
      </w:r>
      <w:r w:rsidR="009E0D6B">
        <w:t xml:space="preserve"> </w:t>
      </w:r>
      <w:r w:rsidR="00C9230A" w:rsidRPr="00C9230A">
        <w:t xml:space="preserve">reduced the number of parameter combinations </w:t>
      </w:r>
      <w:r w:rsidR="00C9230A">
        <w:t xml:space="preserve">of simulations </w:t>
      </w:r>
      <w:r w:rsidR="00C9230A" w:rsidRPr="00C9230A">
        <w:t xml:space="preserve">and maintained computational tractability. This choice is further supported by the empirical data, where estimated </w:t>
      </w:r>
      <w:r w:rsidR="00C9230A" w:rsidRPr="0063681B">
        <w:rPr>
          <w:i/>
          <w:iCs/>
          <w:lang w:val="el-GR"/>
        </w:rPr>
        <w:t>α</w:t>
      </w:r>
      <w:r w:rsidR="00C9230A" w:rsidRPr="00BD7F2B">
        <w:rPr>
          <w:i/>
          <w:iCs/>
          <w:vertAlign w:val="superscript"/>
        </w:rPr>
        <w:t>2</w:t>
      </w:r>
      <w:r w:rsidR="00C9230A" w:rsidRPr="00C9230A">
        <w:t xml:space="preserve"> values ranged between 2 and 4 across species, indicating that fixing </w:t>
      </w:r>
      <w:r w:rsidR="00C9230A" w:rsidRPr="0063681B">
        <w:rPr>
          <w:i/>
          <w:iCs/>
          <w:lang w:val="el-GR"/>
        </w:rPr>
        <w:t>α</w:t>
      </w:r>
      <w:r w:rsidR="00C9230A" w:rsidRPr="00BD7F2B">
        <w:rPr>
          <w:i/>
          <w:iCs/>
          <w:vertAlign w:val="superscript"/>
        </w:rPr>
        <w:t>2</w:t>
      </w:r>
      <w:r w:rsidR="00C9230A" w:rsidRPr="00C9230A">
        <w:t xml:space="preserve"> at 4 remains within a realistic range</w:t>
      </w:r>
      <w:r w:rsidR="00616E8D">
        <w:t xml:space="preserve"> (</w:t>
      </w:r>
      <w:r w:rsidR="00322184">
        <w:rPr>
          <w:szCs w:val="36"/>
        </w:rPr>
        <w:t xml:space="preserve">Appendix S1: </w:t>
      </w:r>
      <w:r w:rsidR="00616E8D">
        <w:rPr>
          <w:szCs w:val="36"/>
        </w:rPr>
        <w:t>Table S1</w:t>
      </w:r>
      <w:r w:rsidR="00616E8D">
        <w:t>)</w:t>
      </w:r>
      <w:r w:rsidR="00C9230A" w:rsidRPr="00C9230A">
        <w:t>.</w:t>
      </w:r>
      <w:r w:rsidR="00D905C8">
        <w:t xml:space="preserve"> In contrast</w:t>
      </w:r>
      <w:r w:rsidR="004249EA">
        <w:t xml:space="preserve"> </w:t>
      </w:r>
      <w:r w:rsidR="0063681B" w:rsidRPr="0063681B">
        <w:rPr>
          <w:i/>
          <w:iCs/>
          <w:lang w:val="el-GR"/>
        </w:rPr>
        <w:t>σ</w:t>
      </w:r>
      <w:r w:rsidR="00BD7F2B" w:rsidRPr="00BD7F2B">
        <w:rPr>
          <w:i/>
          <w:iCs/>
          <w:vertAlign w:val="superscript"/>
        </w:rPr>
        <w:t>2</w:t>
      </w:r>
      <w:r w:rsidR="009E0D6B">
        <w:t xml:space="preserve"> </w:t>
      </w:r>
      <w:r w:rsidR="00CA0A3C">
        <w:t>represents</w:t>
      </w:r>
      <w:r w:rsidR="000C295A" w:rsidRPr="000C295A">
        <w:t xml:space="preserve"> </w:t>
      </w:r>
      <w:r w:rsidR="00D905C8">
        <w:t>the</w:t>
      </w:r>
      <w:r w:rsidR="000C295A" w:rsidRPr="000C295A">
        <w:t xml:space="preserve"> method-specific measurement uncertainty and therefore </w:t>
      </w:r>
      <w:r w:rsidR="00CA0A3C">
        <w:t>reflecting</w:t>
      </w:r>
      <w:r w:rsidR="004242D5">
        <w:t xml:space="preserve"> </w:t>
      </w:r>
      <w:r w:rsidR="004242D5" w:rsidRPr="004242D5">
        <w:t>a shared observation process across species</w:t>
      </w:r>
      <w:r w:rsidR="00CA0A3C">
        <w:t>.</w:t>
      </w:r>
    </w:p>
    <w:bookmarkEnd w:id="8"/>
    <w:p w14:paraId="5A754501" w14:textId="77777777" w:rsidR="00180245" w:rsidRDefault="00180245" w:rsidP="001643E6">
      <w:pPr>
        <w:pStyle w:val="BodyText"/>
        <w:spacing w:line="480" w:lineRule="auto"/>
      </w:pPr>
    </w:p>
    <w:p w14:paraId="3144ED2B" w14:textId="34CDFDCF"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r w:rsidR="00AD0717" w:rsidRPr="00AD0717">
        <w:t>To overcome this, we established a baseline for our analysis by randomly selecting a subset 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proofErr w:type="spellStart"/>
      <w:r w:rsidR="00C47431" w:rsidRPr="001B3530">
        <w:rPr>
          <w:i/>
          <w:iCs/>
        </w:rPr>
        <w:t>μ</w:t>
      </w:r>
      <w:r w:rsidR="00C47431" w:rsidRPr="001B3530">
        <w:rPr>
          <w:i/>
          <w:iCs/>
          <w:vertAlign w:val="subscript"/>
        </w:rPr>
        <w:t>d</w:t>
      </w:r>
      <w:proofErr w:type="spellEnd"/>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651AE397"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w:t>
      </w:r>
      <w:r w:rsidRPr="00D71941">
        <w:lastRenderedPageBreak/>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rsidRPr="00D71941">
        <w:t>. This approach allowed us to directly assess the interplay between sampling density, spatial autocorrelation, and the ability to accurately reconstruct the underlying eDNA field.</w:t>
      </w:r>
      <w:bookmarkStart w:id="9" w:name="statistical-inference"/>
      <w:bookmarkEnd w:id="6"/>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This 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1E0862D8" w14:textId="6D8AD382" w:rsidR="00F67F82" w:rsidRDefault="00904831" w:rsidP="001643E6">
      <w:pPr>
        <w:pStyle w:val="FirstParagraph"/>
        <w:spacing w:line="480" w:lineRule="auto"/>
      </w:pPr>
      <w:bookmarkStart w:id="10"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compare between the two data</w:t>
      </w:r>
      <w:r w:rsidR="006354DD">
        <w:t>sets</w:t>
      </w:r>
      <w:r w:rsidRPr="00904831">
        <w:t xml:space="preserve">. </w:t>
      </w:r>
    </w:p>
    <w:bookmarkEnd w:id="10"/>
    <w:p w14:paraId="58DABC85" w14:textId="77777777" w:rsidR="00F65D5F" w:rsidRPr="00F65D5F" w:rsidRDefault="00F65D5F" w:rsidP="001643E6">
      <w:pPr>
        <w:pStyle w:val="BodyText"/>
        <w:spacing w:line="480" w:lineRule="auto"/>
      </w:pPr>
    </w:p>
    <w:p w14:paraId="4B1FC85F" w14:textId="088A87AA" w:rsidR="007D39EF" w:rsidRPr="007D39EF" w:rsidRDefault="007D39EF" w:rsidP="001643E6">
      <w:pPr>
        <w:pStyle w:val="FirstParagraph"/>
        <w:spacing w:line="480" w:lineRule="auto"/>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B74108"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lastRenderedPageBreak/>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2C8842F2"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sidRPr="00311B63">
        <w:rPr>
          <w:i/>
          <w:iCs/>
          <w:lang w:val="el-GR"/>
        </w:rPr>
        <w:t>ε</w:t>
      </w:r>
      <w:r w:rsidR="00AD3A27" w:rsidRPr="00311B63">
        <w:rPr>
          <w:i/>
          <w:iCs/>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E01EE">
        <w:t xml:space="preserve"> (</w:t>
      </w:r>
      <w:r w:rsidR="00AE01EE">
        <w:rPr>
          <w:rStyle w:val="s2"/>
        </w:rPr>
        <w:t>Figure 2</w:t>
      </w:r>
      <w:r w:rsidR="00AE01EE">
        <w:t>)</w:t>
      </w:r>
      <w:r w:rsidR="00AD3A27" w:rsidRPr="00852B43">
        <w:t>.</w:t>
      </w:r>
      <w:r w:rsidR="00AD3A27">
        <w:t xml:space="preserve"> </w:t>
      </w:r>
      <w:r w:rsidR="00AD3A27" w:rsidRPr="001F10CE">
        <w:t>Moreover, the empirical dataset could not be used to evaluate prediction accuracy at sampling efforts greater than</w:t>
      </w:r>
      <w:r w:rsidR="00D926E4">
        <w:t xml:space="preserve"> the </w:t>
      </w:r>
      <w:r w:rsidR="00D25D98">
        <w:t>existing sampling scheme</w:t>
      </w:r>
      <w:r w:rsidR="00AD3A27">
        <w:t>.</w:t>
      </w:r>
    </w:p>
    <w:p w14:paraId="465C749A" w14:textId="77777777" w:rsidR="008A2651" w:rsidRDefault="008A2651" w:rsidP="001643E6">
      <w:pPr>
        <w:pStyle w:val="BodyText"/>
        <w:spacing w:line="480" w:lineRule="auto"/>
      </w:pPr>
      <w:bookmarkStart w:id="11" w:name="OLE_LINK7"/>
    </w:p>
    <w:p w14:paraId="566D1DFE" w14:textId="61D9D6C0"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1"/>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w:t>
      </w:r>
      <w:r w:rsidR="0063455A" w:rsidRPr="0063455A">
        <w:lastRenderedPageBreak/>
        <w:t xml:space="preserve">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67C6944C"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r w:rsidR="00C412FE">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2"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3" w:name="fig:dag"/>
      <w:bookmarkEnd w:id="12"/>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On the right (</w:t>
      </w:r>
      <w:r w:rsidR="00E112A7">
        <w:t>panel B;</w:t>
      </w:r>
      <w:r w:rsidR="00495449" w:rsidRPr="00495449">
        <w:t xml:space="preserve">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4" w:name="results"/>
      <w:bookmarkEnd w:id="5"/>
      <w:bookmarkEnd w:id="9"/>
      <w:bookmarkEnd w:id="13"/>
      <w:r>
        <w:lastRenderedPageBreak/>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5" w:name="fig:epsilon"/>
      <w:r w:rsidRPr="00762C7D">
        <w:rPr>
          <w:b/>
          <w:bCs w:val="0"/>
        </w:rPr>
        <w:t>Empirical data</w:t>
      </w:r>
    </w:p>
    <w:p w14:paraId="57347855" w14:textId="39A5009A"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6" w:name="OLE_LINK8"/>
      <w:r w:rsidRPr="003D6E81">
        <w:rPr>
          <w:b/>
          <w:bCs w:val="0"/>
        </w:rPr>
        <w:t>Simulations</w:t>
      </w:r>
    </w:p>
    <w:p w14:paraId="4D52A2D2" w14:textId="3EAAFF4F"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rsidR="005D2998" w:rsidRPr="005D2998">
        <w:t>B). For interpretation, a Δ</w:t>
      </w:r>
      <w:r w:rsidR="00EA5440" w:rsidRPr="004F767A">
        <w:rPr>
          <w:i/>
          <w:iCs/>
          <w:lang w:val="el-GR"/>
        </w:rPr>
        <w:t>ε</w:t>
      </w:r>
      <w:r w:rsidR="00EA5440" w:rsidRPr="004F767A">
        <w:rPr>
          <w:i/>
          <w:iCs/>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6"/>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 xml:space="preserve">in prediction performance </w:t>
      </w:r>
      <w:r w:rsidR="00761B11" w:rsidRPr="00693712">
        <w:lastRenderedPageBreak/>
        <w:t>(</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lastRenderedPageBreak/>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depth-</w:t>
      </w:r>
      <w:r w:rsidR="003504FB" w:rsidRPr="006717D8">
        <w:lastRenderedPageBreak/>
        <w:t xml:space="preserve">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15073F1E"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r w:rsidR="00D85365" w:rsidRPr="00101BFB">
        <w:t xml:space="preserve"> (</w:t>
      </w:r>
      <w:r w:rsidR="00322184">
        <w:t xml:space="preserve">Appendix S1: </w:t>
      </w:r>
      <w:r w:rsidR="00D85365" w:rsidRPr="00101BFB">
        <w:t>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7" w:name="fig:epsilon_sp"/>
    </w:p>
    <w:p w14:paraId="5516F1CD" w14:textId="77777777" w:rsidR="0032076E" w:rsidRDefault="00D04708" w:rsidP="001643E6">
      <w:pPr>
        <w:pStyle w:val="Heading1"/>
        <w:spacing w:before="0" w:after="0" w:line="480" w:lineRule="auto"/>
      </w:pPr>
      <w:bookmarkStart w:id="18" w:name="discussion"/>
      <w:bookmarkEnd w:id="14"/>
      <w:bookmarkEnd w:id="17"/>
      <w:r>
        <w:t>Discussion</w:t>
      </w:r>
    </w:p>
    <w:p w14:paraId="5351486F" w14:textId="42A03E66" w:rsidR="00390A6F" w:rsidRDefault="00101BFB" w:rsidP="001643E6">
      <w:pPr>
        <w:pStyle w:val="p2"/>
        <w:spacing w:before="0" w:beforeAutospacing="0" w:after="0" w:afterAutospacing="0" w:line="480" w:lineRule="auto"/>
        <w:jc w:val="both"/>
      </w:pPr>
      <w:bookmarkStart w:id="19"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rsidR="0007052E" w:rsidRPr="0007052E">
        <w: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20"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0F262C68" w:rsidR="0064556D" w:rsidRDefault="006143E9" w:rsidP="001643E6">
      <w:pPr>
        <w:pStyle w:val="p3"/>
        <w:spacing w:before="0" w:beforeAutospacing="0" w:after="0" w:afterAutospacing="0" w:line="480" w:lineRule="auto"/>
        <w:jc w:val="both"/>
      </w:pPr>
      <w:r>
        <w:lastRenderedPageBreak/>
        <w:t>T</w:t>
      </w:r>
      <w:r w:rsidR="004961BF" w:rsidRPr="00693C81">
        <w:t>he value of additional sampling effort is not fixed but depends strongly on the spatial structure of the target species</w:t>
      </w:r>
      <w:r w:rsidR="00484E10" w:rsidRPr="00693C81">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rsidR="004961BF" w:rsidRPr="00693C81">
        <w:t xml:space="preserve">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4961BF" w:rsidRPr="00693C81">
        <w:t xml:space="preserve">. The interaction between </w:t>
      </w:r>
      <w:r w:rsidR="00052F30" w:rsidRPr="00693C81">
        <w:t xml:space="preserve">sampling </w:t>
      </w:r>
      <w:r w:rsidR="004961BF" w:rsidRPr="00693C81">
        <w:t xml:space="preserve">effort and spatial autocorrelation is </w:t>
      </w:r>
      <w:r w:rsidR="00345B8C" w:rsidRPr="00693C81">
        <w:t xml:space="preserve">particularly critical </w:t>
      </w:r>
      <w:r w:rsidR="004961BF" w:rsidRPr="00693C81">
        <w:t xml:space="preserve">because it demonstrates that </w:t>
      </w:r>
      <w:r w:rsidR="00E018CA" w:rsidRPr="00693C81">
        <w:t xml:space="preserve">the value of additional samples is not universal in ecology, </w:t>
      </w:r>
      <w:r w:rsidR="004F02F0" w:rsidRPr="00693C81">
        <w:t>where</w:t>
      </w:r>
      <w:r w:rsidR="004961BF" w:rsidRPr="00693C81">
        <w:t xml:space="preserve"> the same increase in effort can produce substantial gains for one species and only marginal gains for another</w:t>
      </w:r>
      <w:r w:rsidR="007A76E7">
        <w:t xml:space="preserve">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BC31E5" w:rsidRPr="00BC31E5">
        <w:t>(García‐Machado et al., 2024)</w:t>
      </w:r>
      <w:r w:rsidR="00BC31E5">
        <w:fldChar w:fldCharType="end"/>
      </w:r>
      <w:r w:rsidR="004961BF" w:rsidRPr="00693C81">
        <w:t xml:space="preserve">. </w:t>
      </w:r>
      <w:r w:rsidR="009E7F8D" w:rsidRPr="00693C81">
        <w:t>Here</w:t>
      </w:r>
      <w:r w:rsidR="00284737" w:rsidRPr="00693C81">
        <w:t>, our results</w:t>
      </w:r>
      <w:r w:rsidR="009E7F8D" w:rsidRPr="00693C81">
        <w:t xml:space="preserve"> </w:t>
      </w:r>
      <w:r w:rsidR="004961BF" w:rsidRPr="00693C81">
        <w:t xml:space="preserve">move beyond a general statement </w:t>
      </w:r>
      <w:r w:rsidR="009E7F8D" w:rsidRPr="00693C81">
        <w:t xml:space="preserve">of </w:t>
      </w:r>
      <w:r w:rsidR="004961BF" w:rsidRPr="00693C81">
        <w:t xml:space="preserve">sampling </w:t>
      </w:r>
      <w:r w:rsidR="009E7F8D" w:rsidRPr="00693C81">
        <w:t xml:space="preserve">efficiency </w:t>
      </w:r>
      <w:r w:rsidR="004961BF" w:rsidRPr="00693C81">
        <w:t xml:space="preserve">and provide a quantitative framework for understanding when </w:t>
      </w:r>
      <w:r w:rsidR="00693C81" w:rsidRPr="00693C81">
        <w:t>additional</w:t>
      </w:r>
      <w:r w:rsidR="004961BF" w:rsidRPr="00693C81">
        <w:t xml:space="preserve"> effort is informative and when it yields diminishing returns.</w:t>
      </w:r>
    </w:p>
    <w:p w14:paraId="0CD90990" w14:textId="77777777" w:rsidR="0064556D" w:rsidRDefault="0064556D" w:rsidP="001643E6">
      <w:pPr>
        <w:pStyle w:val="p3"/>
        <w:spacing w:before="0" w:beforeAutospacing="0" w:after="0" w:afterAutospacing="0" w:line="480" w:lineRule="auto"/>
        <w:jc w:val="both"/>
      </w:pPr>
    </w:p>
    <w:p w14:paraId="08932BE5" w14:textId="597D38D7"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broad-scale biodiversity screenings might tolerate looser precision, allowing for even sparser sampling</w:t>
      </w:r>
      <w:r w:rsidR="00BC31E5">
        <w:t xml:space="preserve">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A817FC">
        <w:rPr>
          <w:noProof/>
        </w:rPr>
        <w:t>(Perkins et al., 2021; Radinger et al., 2019)</w:t>
      </w:r>
      <w:r w:rsidR="00BC31E5">
        <w:fldChar w:fldCharType="end"/>
      </w:r>
      <w:r w:rsidR="002E0279" w:rsidRPr="002E0279">
        <w:t xml:space="preserve"> </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 xml:space="preserve">50 km) require a denser sampling </w:t>
      </w:r>
      <w:r w:rsidR="006D0F2D" w:rsidRPr="006D0F2D">
        <w:lastRenderedPageBreak/>
        <w:t>network (roughly 8 to 11 samples per 10,000 km²) before the marginal gains drop below the threshold</w:t>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w:t>
      </w:r>
      <w:r w:rsidR="00F44773" w:rsidRPr="00EF344D">
        <w:rPr>
          <w:i/>
          <w:iCs/>
        </w:rPr>
        <w:t>ρ</w:t>
      </w:r>
      <w:r w:rsidR="00F44773" w:rsidRPr="00F44773">
        <w:t>)</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34C0C6DE" w:rsidR="00B9718F" w:rsidRDefault="00BA4DE0" w:rsidP="001643E6">
      <w:pPr>
        <w:pStyle w:val="p3"/>
        <w:spacing w:before="0" w:beforeAutospacing="0" w:after="0" w:afterAutospacing="0" w:line="480" w:lineRule="auto"/>
        <w:jc w:val="both"/>
      </w:pPr>
      <w:bookmarkStart w:id="2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rsidRPr="00BA4DE0">
        <w:t>. Notably, the sampling effort required to adequately capture these patchily distributed taxa is more than double the effort needed for smoother</w:t>
      </w:r>
      <w:r w:rsidR="00B9718F">
        <w:t xml:space="preserve"> distributed </w:t>
      </w:r>
      <w:r w:rsidRPr="00BA4DE0">
        <w:t>species</w:t>
      </w:r>
      <w:r w:rsidR="00CA6CCC">
        <w:t xml:space="preserve"> </w:t>
      </w:r>
      <w:r w:rsidR="00A817FC">
        <w:fldChar w:fldCharType="begin"/>
      </w:r>
      <w:r w:rsidR="00A817FC">
        <w: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rsidR="00A817FC">
        <w:fldChar w:fldCharType="separate"/>
      </w:r>
      <w:r w:rsidR="00A817FC">
        <w:rPr>
          <w:noProof/>
        </w:rPr>
        <w:t>(Perkins et al., 2021)</w:t>
      </w:r>
      <w:r w:rsidR="00A817FC">
        <w:fldChar w:fldCharType="end"/>
      </w:r>
      <w:r w:rsidRPr="00BA4DE0">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 xml:space="preserve">and 3.4 </w:t>
      </w:r>
      <w:r w:rsidR="00FF7D1B" w:rsidRPr="00FF7D1B">
        <w:t xml:space="preserve"> 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r w:rsidR="0017095B" w:rsidRPr="0017095B">
        <w:t xml:space="preserve"> However, given that our analysis is based </w:t>
      </w:r>
      <w:r w:rsidR="0017095B" w:rsidRPr="0017095B">
        <w:lastRenderedPageBreak/>
        <w:t>on 12 fish species, extending this conclusion to other taxa or ecosystems should be done with caution, and additional species may exhibit different scaling relationships.</w:t>
      </w:r>
    </w:p>
    <w:bookmarkEnd w:id="21"/>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6A18C866" w:rsidR="00541A82" w:rsidRDefault="00541A82" w:rsidP="001643E6">
      <w:pPr>
        <w:pStyle w:val="p3"/>
        <w:spacing w:before="0" w:beforeAutospacing="0" w:after="0" w:afterAutospacing="0" w:line="480" w:lineRule="auto"/>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1643E6">
      <w:pPr>
        <w:pStyle w:val="p3"/>
        <w:spacing w:before="0" w:beforeAutospacing="0" w:after="0" w:afterAutospacing="0" w:line="48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3A35CE">
        <w:rPr>
          <w:i/>
          <w:iCs/>
        </w:rPr>
        <w:t>μ</w:t>
      </w:r>
      <w:r w:rsidRPr="003A35CE">
        <w:rPr>
          <w:i/>
          <w:iCs/>
          <w:vertAlign w:val="subscript"/>
        </w:rPr>
        <w:t>d</w:t>
      </w:r>
      <w:proofErr w:type="spellEnd"/>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r w:rsidR="002820B7" w:rsidRPr="00BC5CC1">
        <w:t xml:space="preserve">One likely explanation is </w:t>
      </w:r>
      <w:r w:rsidR="002820B7" w:rsidRPr="00BC5CC1">
        <w:lastRenderedPageBreak/>
        <w:t xml:space="preserve">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sidRPr="002945EA">
        <w:rPr>
          <w:i/>
          <w:iCs/>
          <w:lang w:val="el-GR"/>
        </w:rPr>
        <w:t>μ</w:t>
      </w:r>
      <w:r w:rsidR="0060712A" w:rsidRPr="002945EA">
        <w:rPr>
          <w:i/>
          <w:iCs/>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1643E6">
      <w:pPr>
        <w:pStyle w:val="p3"/>
        <w:spacing w:before="0" w:beforeAutospacing="0" w:after="0" w:afterAutospacing="0" w:line="480" w:lineRule="auto"/>
        <w:jc w:val="both"/>
      </w:pPr>
    </w:p>
    <w:p w14:paraId="25AAB611" w14:textId="3CA2E14C"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r w:rsidR="000F31EB">
        <w:t xml:space="preserv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sidR="000F31EB">
        <w:rPr>
          <w:noProof/>
        </w:rPr>
        <w:t>(Paciorek, 2010)</w:t>
      </w:r>
      <w:r w:rsidR="000F31EB">
        <w:fldChar w:fldCharType="end"/>
      </w:r>
      <w:r w:rsidR="002B45C6" w:rsidRPr="00BC5CC1">
        <w:t>.</w:t>
      </w:r>
    </w:p>
    <w:p w14:paraId="25031E9E" w14:textId="77777777" w:rsidR="00286ADA" w:rsidRPr="00BC5CC1" w:rsidRDefault="00286ADA" w:rsidP="001643E6">
      <w:pPr>
        <w:pStyle w:val="p3"/>
        <w:spacing w:before="0" w:beforeAutospacing="0" w:after="0" w:afterAutospacing="0" w:line="480" w:lineRule="auto"/>
        <w:jc w:val="both"/>
      </w:pPr>
    </w:p>
    <w:p w14:paraId="7A4F82FF" w14:textId="0DAFECB3"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w:t>
      </w:r>
      <w:r w:rsidR="00F81883">
        <w:lastRenderedPageBreak/>
        <w:t xml:space="preserve">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rsidR="00B427B8" w:rsidRPr="00BC5CC1">
        <w:t>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B427B8" w:rsidRPr="00BC5CC1">
        <w:t>.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20"/>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w:t>
      </w:r>
      <w:r w:rsidR="00690C1C" w:rsidRPr="00CC24BD">
        <w:lastRenderedPageBreak/>
        <w:t>(non-stationarity),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rsidR="00690C1C" w:rsidRPr="00CC24BD">
        <w:t>.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1643E6">
      <w:pPr>
        <w:pStyle w:val="p3"/>
        <w:spacing w:before="0" w:beforeAutospacing="0" w:after="0" w:afterAutospacing="0" w:line="480" w:lineRule="auto"/>
        <w:jc w:val="both"/>
      </w:pPr>
    </w:p>
    <w:p w14:paraId="77A3B307" w14:textId="5323E347" w:rsidR="008E3C93" w:rsidRDefault="00D0175D" w:rsidP="001643E6">
      <w:pPr>
        <w:pStyle w:val="p3"/>
        <w:spacing w:before="0" w:beforeAutospacing="0" w:after="0" w:afterAutospacing="0" w:line="48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A579D1">
        <w:t xml:space="preserve"> </w:t>
      </w:r>
      <w:r w:rsidR="006B639E">
        <w:fldChar w:fldCharType="begin"/>
      </w:r>
      <w:r w:rsidR="006B639E">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6B639E">
        <w:fldChar w:fldCharType="separate"/>
      </w:r>
      <w:r w:rsidR="006B639E">
        <w:rPr>
          <w:noProof/>
        </w:rPr>
        <w:t>(Liu et al., 2026)</w:t>
      </w:r>
      <w:r w:rsidR="006B639E">
        <w:fldChar w:fldCharType="end"/>
      </w:r>
      <w:r w:rsidR="00D15894" w:rsidRPr="00CC24BD">
        <w:t xml:space="preserve">. </w:t>
      </w:r>
      <w:r w:rsidR="008E3C93" w:rsidRPr="00CC24BD">
        <w:t>In addition, our prediction</w:t>
      </w:r>
      <w:r w:rsidR="00CD4CE6" w:rsidRPr="00CC24BD">
        <w:t xml:space="preserve"> </w:t>
      </w:r>
      <w:r w:rsidR="008E3C93" w:rsidRPr="00CC24BD">
        <w:t>error (</w:t>
      </w:r>
      <w:r w:rsidR="008E3C93" w:rsidRPr="00A339B0">
        <w:rPr>
          <w:i/>
          <w:iCs/>
          <w:lang w:val="el-GR"/>
        </w:rPr>
        <w:t>ε</w:t>
      </w:r>
      <w:r w:rsidR="003B2437" w:rsidRPr="00A339B0">
        <w:rPr>
          <w:i/>
          <w:iCs/>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w:t>
      </w:r>
      <w:r w:rsidR="00CD4CE6" w:rsidRPr="00CC24BD">
        <w:lastRenderedPageBreak/>
        <w:t>the reduced effort predictions are compared to is limited (N</w:t>
      </w:r>
      <w:r w:rsidR="002D7877">
        <w:t xml:space="preserve"> </w:t>
      </w:r>
      <w:r w:rsidR="00CD4CE6" w:rsidRPr="00CC24BD">
        <w:t>=</w:t>
      </w:r>
      <w:r w:rsidR="002D7877">
        <w:t xml:space="preserve"> </w:t>
      </w:r>
      <w:r w:rsidR="00CD4CE6" w:rsidRPr="00CC24BD">
        <w:t xml:space="preserve">358 samples) hence the prediction error </w:t>
      </w:r>
      <w:r w:rsidR="00FC08FD" w:rsidRPr="00CC24BD">
        <w:t xml:space="preserve">is higher and more stochastic. </w:t>
      </w:r>
    </w:p>
    <w:p w14:paraId="39532822" w14:textId="77777777" w:rsidR="00286ADA" w:rsidRPr="00CC24BD" w:rsidRDefault="00286ADA" w:rsidP="001643E6">
      <w:pPr>
        <w:pStyle w:val="p3"/>
        <w:spacing w:before="0" w:beforeAutospacing="0" w:after="0" w:afterAutospacing="0" w:line="480" w:lineRule="auto"/>
        <w:jc w:val="both"/>
      </w:pPr>
    </w:p>
    <w:p w14:paraId="551C9684" w14:textId="671D11D0"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EC343E">
        <w:rPr>
          <w:i/>
          <w:iCs/>
          <w:lang w:val="el-GR"/>
        </w:rPr>
        <w:t>ρ</w:t>
      </w:r>
      <w:r w:rsidR="00403D4C" w:rsidRPr="00CC24BD">
        <w:t>)</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rsidR="00F3410A" w:rsidRPr="004507D0">
        <w:t>. DNA persistence times, particle dynamics, and water-mass stability can all vary with depth, potentially altering the effective smoothing of the eDNA field</w:t>
      </w:r>
      <w:r w:rsidR="00BA60DB">
        <w:t xml:space="preserve"> </w:t>
      </w:r>
      <w:r w:rsidR="00763E24">
        <w:fldChar w:fldCharType="begin"/>
      </w:r>
      <w:r w:rsidR="0065487C">
        <w: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instrText>
      </w:r>
      <w:r w:rsidR="00763E24">
        <w:fldChar w:fldCharType="separate"/>
      </w:r>
      <w:r w:rsidR="0065487C" w:rsidRPr="0065487C">
        <w:t>(Brandão-Dias et al., 2025)</w:t>
      </w:r>
      <w:r w:rsidR="00763E24">
        <w:fldChar w:fldCharType="end"/>
      </w:r>
      <w:r w:rsidR="00F3410A" w:rsidRPr="004507D0">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7DA800C3" w:rsidR="00D34C42" w:rsidRDefault="005A5E64" w:rsidP="001643E6">
      <w:pPr>
        <w:pStyle w:val="p2"/>
        <w:spacing w:before="0" w:beforeAutospacing="0" w:after="0" w:afterAutospacing="0" w:line="480" w:lineRule="auto"/>
        <w:jc w:val="both"/>
      </w:pPr>
      <w:bookmarkStart w:id="22"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EC343E">
        <w:rPr>
          <w:i/>
          <w:iCs/>
          <w:lang w:val="el-GR"/>
        </w:rPr>
        <w:t>μ</w:t>
      </w:r>
      <w:r w:rsidR="007B2115" w:rsidRPr="00EC343E">
        <w:rPr>
          <w:i/>
          <w:iCs/>
          <w:vertAlign w:val="subscript"/>
        </w:rPr>
        <w:t>d</w:t>
      </w:r>
      <w:r w:rsidR="00D34C42" w:rsidRPr="00CC24BD">
        <w:t xml:space="preserve"> is likely to </w:t>
      </w:r>
      <w:r w:rsidR="00D34C42" w:rsidRPr="00CC24BD">
        <w:lastRenderedPageBreak/>
        <w:t>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13520">
        <w:t xml:space="preserve"> </w:t>
      </w:r>
      <w:r w:rsidR="0065487C">
        <w:fldChar w:fldCharType="begin"/>
      </w:r>
      <w:r w:rsidR="00AA6C90">
        <w: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65487C">
        <w:rPr>
          <w:noProof/>
        </w:rPr>
        <w:t>(Paciorek, 2010; Redfern et al., 2006)</w:t>
      </w:r>
      <w:r w:rsidR="0065487C">
        <w:fldChar w:fldCharType="end"/>
      </w:r>
      <w:r w:rsidR="007A5C24" w:rsidRPr="00CC24BD">
        <w:t xml:space="preserve"> By contrast, in a very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D44A4F" w:rsidRPr="00CC24BD">
        <w:t xml:space="preserve"> </w:t>
      </w:r>
      <w:r w:rsidR="00CC24BD" w:rsidRPr="00CC24BD">
        <w:t>Estimation of spatial autocorrelation is similarly constrained, due to lack of samples outside of the distance-decay spatial autocorrelation</w:t>
      </w:r>
      <w:r w:rsidR="006A3BF7">
        <w:t xml:space="preserve"> </w:t>
      </w:r>
      <w:r w:rsidR="004660B7">
        <w:fldChar w:fldCharType="begin"/>
      </w:r>
      <w:r w:rsidR="00AA6C90">
        <w: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4660B7">
        <w:fldChar w:fldCharType="separate"/>
      </w:r>
      <w:r w:rsidR="004660B7">
        <w:rPr>
          <w:noProof/>
        </w:rPr>
        <w:t>(Paciorek, 2010)</w:t>
      </w:r>
      <w:r w:rsidR="004660B7">
        <w:fldChar w:fldCharType="end"/>
      </w:r>
      <w:r w:rsidR="00CC24BD" w:rsidRPr="00CC24BD">
        <w:t xml:space="preserve">. </w:t>
      </w:r>
    </w:p>
    <w:p w14:paraId="6A427720" w14:textId="77777777" w:rsidR="00F95A68" w:rsidRDefault="00F95A68" w:rsidP="001643E6">
      <w:pPr>
        <w:pStyle w:val="p2"/>
        <w:spacing w:before="0" w:beforeAutospacing="0" w:after="0" w:afterAutospacing="0" w:line="480" w:lineRule="auto"/>
        <w:jc w:val="both"/>
      </w:pPr>
    </w:p>
    <w:p w14:paraId="21C322EB" w14:textId="77777777" w:rsidR="00286ADA" w:rsidRPr="00CC24BD" w:rsidRDefault="00286ADA"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3" w:name="OLE_LINK1"/>
      <w:bookmarkEnd w:id="22"/>
      <w:r w:rsidRPr="00870EEE">
        <w:rPr>
          <w:rFonts w:ascii="Times New Roman" w:eastAsia="Times New Roman" w:hAnsi="Times New Roman" w:cs="Times New Roman"/>
          <w:b/>
          <w:bCs/>
        </w:rPr>
        <w:t xml:space="preserve">Implications for survey design and management applications </w:t>
      </w:r>
    </w:p>
    <w:p w14:paraId="10721492" w14:textId="46BCA09C" w:rsidR="00F04F50" w:rsidRPr="00D12FC8" w:rsidRDefault="009A110E" w:rsidP="001643E6">
      <w:pPr>
        <w:spacing w:after="0" w:line="480" w:lineRule="auto"/>
        <w:jc w:val="both"/>
        <w:rPr>
          <w:rFonts w:ascii="Times New Roman" w:eastAsia="Times New Roman" w:hAnsi="Times New Roman" w:cs="Times New Roman"/>
        </w:rPr>
      </w:pPr>
      <w:bookmarkStart w:id="24" w:name="OLE_LINK4"/>
      <w:bookmarkEnd w:id="23"/>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sidR="00D12FC8" w:rsidRPr="00D12FC8">
        <w:rPr>
          <w:rFonts w:ascii="Times New Roman" w:eastAsia="Times New Roman" w:hAnsi="Times New Roman" w:cs="Times New Roman"/>
        </w:rPr>
        <w:t xml:space="preserve">Such contrast is due to the GP parameter estimation is primarily concerned with establishing the covariance </w:t>
      </w:r>
      <w:r w:rsidR="00D12FC8" w:rsidRPr="00D12FC8">
        <w:rPr>
          <w:rFonts w:ascii="Times New Roman" w:eastAsia="Times New Roman" w:hAnsi="Times New Roman" w:cs="Times New Roman"/>
        </w:rPr>
        <w:lastRenderedPageBreak/>
        <w:t>structure (Eq. 1-2) while, prediction is subject to a two-fold requirement: first, it relies on the parameters derived from Eq. 1-2 being accurate, and second, on the density and proximity of the observed points (Eq.</w:t>
      </w:r>
      <w:r w:rsidR="002E6AE6">
        <w:rPr>
          <w:rFonts w:ascii="Times New Roman" w:eastAsia="Times New Roman" w:hAnsi="Times New Roman" w:cs="Times New Roman"/>
        </w:rPr>
        <w:t xml:space="preserve"> </w:t>
      </w:r>
      <w:r w:rsidR="00D12FC8" w:rsidRPr="00D12FC8">
        <w:rPr>
          <w:rFonts w:ascii="Times New Roman" w:eastAsia="Times New Roman" w:hAnsi="Times New Roman" w:cs="Times New Roman"/>
        </w:rPr>
        <w:t>3) from which the new data is extrapolated.</w:t>
      </w:r>
      <w:r w:rsidR="002E6AE6">
        <w:rPr>
          <w:rFonts w:ascii="Times New Roman" w:eastAsia="Times New Roman" w:hAnsi="Times New Roman" w:cs="Times New Roman"/>
        </w:rPr>
        <w:t xml:space="preserve"> </w:t>
      </w:r>
      <w:r w:rsidR="00F04F50" w:rsidRPr="00F04F50">
        <w:rPr>
          <w:rFonts w:ascii="Times New Roman" w:eastAsia="Times New Roman" w:hAnsi="Times New Roman" w:cs="Times New Roman"/>
        </w:rPr>
        <w:t xml:space="preserve">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t>
      </w:r>
      <w:r w:rsidR="001E33B9" w:rsidRPr="001E33B9">
        <w:rPr>
          <w:rFonts w:ascii="Times New Roman" w:eastAsia="Times New Roman" w:hAnsi="Times New Roman" w:cs="Times New Roman"/>
        </w:rPr>
        <w:t>while prediction accuracy was evaluated independently for each depth-specific spatial field, with no shared information among depths</w:t>
      </w:r>
      <w:r w:rsidR="00F04F50" w:rsidRPr="00F04F50">
        <w:rPr>
          <w:rFonts w:ascii="Times New Roman" w:eastAsia="Times New Roman" w:hAnsi="Times New Roman" w:cs="Times New Roman"/>
        </w:rPr>
        <w:t>.</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4"/>
    <w:p w14:paraId="0697FEC0" w14:textId="2EFD0B87"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sidRPr="00EC343E">
        <w:rPr>
          <w:rFonts w:ascii="Times New Roman" w:eastAsia="Times New Roman" w:hAnsi="Times New Roman" w:cs="Times New Roman"/>
          <w:i/>
          <w:iCs/>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sidRPr="00C808FE">
        <w:rPr>
          <w:rFonts w:ascii="Times New Roman" w:eastAsia="Times New Roman" w:hAnsi="Times New Roman" w:cs="Times New Roman"/>
          <w:i/>
          <w:iCs/>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w:t>
      </w:r>
      <w:r w:rsidR="00C52B31">
        <w:rPr>
          <w:rFonts w:ascii="Times New Roman" w:eastAsia="Times New Roman" w:hAnsi="Times New Roman" w:cs="Times New Roman"/>
        </w:rPr>
        <w:t>y</w:t>
      </w:r>
      <w:r w:rsidRPr="00266F60">
        <w:rPr>
          <w:rFonts w:ascii="Times New Roman" w:eastAsia="Times New Roman" w:hAnsi="Times New Roman" w:cs="Times New Roman"/>
        </w:rPr>
        <w:t>.</w:t>
      </w:r>
    </w:p>
    <w:p w14:paraId="5DE08DDE" w14:textId="77777777" w:rsidR="00286ADA" w:rsidRDefault="00286ADA" w:rsidP="001643E6">
      <w:pPr>
        <w:spacing w:after="0" w:line="480" w:lineRule="auto"/>
        <w:jc w:val="both"/>
        <w:rPr>
          <w:rFonts w:ascii="Times New Roman" w:eastAsia="Times New Roman" w:hAnsi="Times New Roman" w:cs="Times New Roman"/>
        </w:rPr>
      </w:pPr>
    </w:p>
    <w:p w14:paraId="06972A25" w14:textId="12C0C2EE" w:rsidR="002E285D" w:rsidRDefault="000145BE" w:rsidP="001643E6">
      <w:pPr>
        <w:pStyle w:val="p2"/>
        <w:spacing w:before="0" w:beforeAutospacing="0" w:after="0" w:afterAutospacing="0" w:line="480" w:lineRule="auto"/>
        <w:jc w:val="both"/>
      </w:pPr>
      <w:r>
        <w:lastRenderedPageBreak/>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2E285D" w:rsidRPr="007954AF">
        <w:t>. Beyond this level of effort, general pattern of estimating all the parameters of interest here (</w:t>
      </w:r>
      <w:r w:rsidR="002E285D" w:rsidRPr="008E6BDE">
        <w:rPr>
          <w:i/>
          <w:iCs/>
          <w:lang w:val="el-GR"/>
        </w:rPr>
        <w:t>μ</w:t>
      </w:r>
      <w:r w:rsidR="002E285D" w:rsidRPr="007954AF">
        <w:rPr>
          <w:lang w:val="el-GR"/>
        </w:rPr>
        <w:t xml:space="preserve">, </w:t>
      </w:r>
      <w:r w:rsidR="002E285D" w:rsidRPr="008E6BDE">
        <w:rPr>
          <w:i/>
          <w:iCs/>
          <w:lang w:val="el-GR"/>
        </w:rPr>
        <w:t>ρ</w:t>
      </w:r>
      <w:r w:rsidR="002E285D" w:rsidRPr="007954AF">
        <w:rPr>
          <w:lang w:val="el-GR"/>
        </w:rPr>
        <w:t xml:space="preserve">, </w:t>
      </w:r>
      <w:r w:rsidR="002E285D" w:rsidRPr="008E6BDE">
        <w:rPr>
          <w:i/>
          <w:iCs/>
          <w:lang w:val="el-GR"/>
        </w:rPr>
        <w:t>α</w:t>
      </w:r>
      <w:r w:rsidR="002E285D" w:rsidRPr="007954AF">
        <w:rPr>
          <w:lang w:val="el-GR"/>
        </w:rPr>
        <w:t xml:space="preserve">, </w:t>
      </w:r>
      <w:r w:rsidR="002E285D" w:rsidRPr="008E6BDE">
        <w:rPr>
          <w:i/>
          <w:iCs/>
          <w:lang w:val="el-GR"/>
        </w:rPr>
        <w:t>σ</w:t>
      </w:r>
      <w:r w:rsidR="002E285D" w:rsidRPr="007954AF">
        <w:rPr>
          <w:lang w:val="el-GR"/>
        </w:rPr>
        <w:t xml:space="preserve">, </w:t>
      </w:r>
      <w:r w:rsidR="002E285D" w:rsidRPr="007954AF">
        <w:t xml:space="preserve">and </w:t>
      </w:r>
      <w:r w:rsidR="002E285D" w:rsidRPr="008E6BDE">
        <w:rPr>
          <w:i/>
          <w:iCs/>
          <w:lang w:val="el-GR"/>
        </w:rPr>
        <w:t>ε</w:t>
      </w:r>
      <w:r w:rsidR="002E285D" w:rsidRPr="007954AF">
        <w:t>) showed minimal change with increasing sampling effort suggesting that further increases in effort may yield limited gains in inference relative to cost.</w:t>
      </w:r>
    </w:p>
    <w:p w14:paraId="26F752C6" w14:textId="77777777" w:rsidR="00286ADA" w:rsidRDefault="00286ADA" w:rsidP="001643E6">
      <w:pPr>
        <w:pStyle w:val="p2"/>
        <w:spacing w:before="0" w:beforeAutospacing="0" w:after="0" w:afterAutospacing="0" w:line="480" w:lineRule="auto"/>
        <w:jc w:val="both"/>
      </w:pPr>
    </w:p>
    <w:p w14:paraId="64B35C11" w14:textId="77777777" w:rsidR="00A318B1" w:rsidRPr="000D2BF7" w:rsidRDefault="00A318B1" w:rsidP="001643E6">
      <w:pPr>
        <w:pStyle w:val="Heading3"/>
        <w:spacing w:before="0" w:after="0" w:line="480" w:lineRule="auto"/>
        <w:jc w:val="both"/>
        <w:rPr>
          <w:i w:val="0"/>
          <w:iCs/>
        </w:rPr>
      </w:pPr>
      <w:r w:rsidRPr="000D2BF7">
        <w:rPr>
          <w:i w:val="0"/>
          <w:iCs/>
        </w:rPr>
        <w:t>Conclusions</w:t>
      </w:r>
    </w:p>
    <w:p w14:paraId="33C97E38" w14:textId="174F5CC5" w:rsidR="003A4273" w:rsidRPr="00187296" w:rsidRDefault="00915163" w:rsidP="001643E6">
      <w:pPr>
        <w:pStyle w:val="p3"/>
        <w:spacing w:before="0" w:beforeAutospacing="0" w:after="0" w:afterAutospacing="0" w:line="480" w:lineRule="auto"/>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7D5FE49" w14:textId="77777777" w:rsidR="002877EE" w:rsidRDefault="003A4273" w:rsidP="001643E6">
      <w:pPr>
        <w:spacing w:after="0" w:line="480" w:lineRule="auto"/>
      </w:pPr>
      <w:r>
        <w:br w:type="page"/>
      </w:r>
      <w:bookmarkStart w:id="25" w:name="fig:mu_rho_N"/>
      <w:bookmarkStart w:id="26" w:name="appendix"/>
      <w:bookmarkEnd w:id="18"/>
      <w:bookmarkEnd w:id="19"/>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w:t>
      </w:r>
      <w:proofErr w:type="spellStart"/>
      <w:r w:rsidRPr="00957362">
        <w:rPr>
          <w:rFonts w:ascii="Times New Roman" w:hAnsi="Times New Roman"/>
          <w:bCs/>
        </w:rPr>
        <w:t>Zenodo</w:t>
      </w:r>
      <w:proofErr w:type="spellEnd"/>
      <w:r w:rsidRPr="00957362">
        <w:rPr>
          <w:rFonts w:ascii="Times New Roman" w:hAnsi="Times New Roman"/>
          <w:bCs/>
        </w:rPr>
        <w:t xml:space="preserve"> repository with </w:t>
      </w:r>
      <w:r w:rsidR="007C4C73" w:rsidRPr="00957362">
        <w:rPr>
          <w:rFonts w:ascii="Times New Roman" w:hAnsi="Times New Roman"/>
          <w:bCs/>
        </w:rPr>
        <w:t xml:space="preserve">DOI number 10.5281/zenodo.21141367 and the code can be found on GitHub repository </w:t>
      </w:r>
      <w:hyperlink r:id="rId17"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5"/>
    <w:bookmarkEnd w:id="26"/>
    <w:p w14:paraId="7443A33A" w14:textId="77777777" w:rsidR="00937D72" w:rsidRPr="00937D72" w:rsidRDefault="00F553D1" w:rsidP="001643E6">
      <w:pPr>
        <w:pStyle w:val="Bibliography"/>
      </w:pPr>
      <w:r w:rsidRPr="007A589B">
        <w:fldChar w:fldCharType="begin"/>
      </w:r>
      <w:r w:rsidR="008A3F3D">
        <w:instrText xml:space="preserve"> ADDIN ZOTERO_BIBL {"uncited":[],"omitted":[],"custom":[]} CSL_BIBLIOGRAPHY </w:instrText>
      </w:r>
      <w:r w:rsidRPr="007A589B">
        <w:fldChar w:fldCharType="separate"/>
      </w:r>
      <w:r w:rsidR="00937D72" w:rsidRPr="00937D72">
        <w:t xml:space="preserve">Baetscher, D. S., Omori, K. L., Goethel, D. R., Shelton, A. O., Berger, A. M., Ledger, K. J., Nichols, K. M., &amp; Larson, W. A. (2025). The Pragmatic Sceptic: A Practical Approach for Integrating Environmental </w:t>
      </w:r>
      <w:r w:rsidR="00937D72" w:rsidRPr="00937D72">
        <w:rPr>
          <w:smallCaps/>
        </w:rPr>
        <w:t>DNA</w:t>
      </w:r>
      <w:r w:rsidR="00937D72" w:rsidRPr="00937D72">
        <w:t xml:space="preserve"> Into Marine Stock Assessment and Fisheries Management. </w:t>
      </w:r>
      <w:r w:rsidR="00937D72" w:rsidRPr="00937D72">
        <w:rPr>
          <w:i/>
          <w:iCs/>
        </w:rPr>
        <w:t>Fish and Fisheries</w:t>
      </w:r>
      <w:r w:rsidR="00937D72" w:rsidRPr="00937D72">
        <w:t>, faf.70001. https://doi.org/10.1111/faf.70001</w:t>
      </w:r>
    </w:p>
    <w:p w14:paraId="61D9D7F0" w14:textId="77777777" w:rsidR="00937D72" w:rsidRPr="00937D72" w:rsidRDefault="00937D72" w:rsidP="001643E6">
      <w:pPr>
        <w:pStyle w:val="Bibliography"/>
      </w:pPr>
      <w:r w:rsidRPr="00937D72">
        <w:t xml:space="preserve">Bessey, C., Jarman, S. N., Berry, O., Olsen, Y. S., Bunce, M., Simpson, T., Power, M., McLaughlin, J., Edgar, G. J., &amp; Keesing, J. (2020). Maximizing fish detection with eDNA metabarcoding. </w:t>
      </w:r>
      <w:r w:rsidRPr="00937D72">
        <w:rPr>
          <w:i/>
          <w:iCs/>
        </w:rPr>
        <w:t>Environmental DNA</w:t>
      </w:r>
      <w:r w:rsidRPr="00937D72">
        <w:t xml:space="preserve">, </w:t>
      </w:r>
      <w:r w:rsidRPr="00937D72">
        <w:rPr>
          <w:i/>
          <w:iCs/>
        </w:rPr>
        <w:t>2</w:t>
      </w:r>
      <w:r w:rsidRPr="00937D72">
        <w:t>(4), 493–504. https://doi.org/10.1002/edn3.74</w:t>
      </w:r>
    </w:p>
    <w:p w14:paraId="7D3DF35E" w14:textId="77777777" w:rsidR="00937D72" w:rsidRPr="00937D72" w:rsidRDefault="00937D72" w:rsidP="001643E6">
      <w:pPr>
        <w:pStyle w:val="Bibliography"/>
      </w:pPr>
      <w:r w:rsidRPr="00937D72">
        <w:t xml:space="preserve">Brandão‐Dias, P. F. P., Hallack, D. M. C., Snyder, E. D., Tank, J. L., Bolster, D., Volponi, S., Shogren, A. J., Lamberti, G. A., Bibby, K., &amp; Egan, S. P. (2023). Particle size influences decay rates of environmental DNA in aquatic systems. </w:t>
      </w:r>
      <w:r w:rsidRPr="00937D72">
        <w:rPr>
          <w:i/>
          <w:iCs/>
        </w:rPr>
        <w:t>Molecular Ecology Resources</w:t>
      </w:r>
      <w:r w:rsidRPr="00937D72">
        <w:t xml:space="preserve">, </w:t>
      </w:r>
      <w:r w:rsidRPr="00937D72">
        <w:rPr>
          <w:i/>
          <w:iCs/>
        </w:rPr>
        <w:t>23</w:t>
      </w:r>
      <w:r w:rsidRPr="00937D72">
        <w:t>(4), 756–770. https://doi.org/10.1111/1755-0998.13751</w:t>
      </w:r>
    </w:p>
    <w:p w14:paraId="4CAE4D8A" w14:textId="77777777" w:rsidR="00937D72" w:rsidRPr="00937D72" w:rsidRDefault="00937D72" w:rsidP="001643E6">
      <w:pPr>
        <w:pStyle w:val="Bibliography"/>
      </w:pPr>
      <w:r w:rsidRPr="00937D72">
        <w:lastRenderedPageBreak/>
        <w:t xml:space="preserve">Brandão-Dias, P. F., Shaffer, M., Guri, G., Parsons, K. M., Kelly, R. P., &amp; Allan, E. A. (2025). Differential decay of multiple environmental nucleic acid components. </w:t>
      </w:r>
      <w:r w:rsidRPr="00937D72">
        <w:rPr>
          <w:i/>
          <w:iCs/>
        </w:rPr>
        <w:t>Scientific Reports</w:t>
      </w:r>
      <w:r w:rsidRPr="00937D72">
        <w:t xml:space="preserve">, </w:t>
      </w:r>
      <w:r w:rsidRPr="00937D72">
        <w:rPr>
          <w:i/>
          <w:iCs/>
        </w:rPr>
        <w:t>15</w:t>
      </w:r>
      <w:r w:rsidRPr="00937D72">
        <w:t>(1), 26791. https://doi.org/10.1038/s41598-025-12916-5</w:t>
      </w:r>
    </w:p>
    <w:p w14:paraId="55E192A7" w14:textId="77777777" w:rsidR="00937D72" w:rsidRPr="00937D72" w:rsidRDefault="00937D72" w:rsidP="001643E6">
      <w:pPr>
        <w:pStyle w:val="Bibliography"/>
      </w:pPr>
      <w:r w:rsidRPr="00937D72">
        <w:t xml:space="preserve">Callahan, B. J., McMurdie, P. J., Rosen, M. J., Han, A. W., Johnson, A. J. A., &amp; Holmes, S. P. (2016). DADA2: High-resolution sample inference from Illumina amplicon data. </w:t>
      </w:r>
      <w:r w:rsidRPr="00937D72">
        <w:rPr>
          <w:i/>
          <w:iCs/>
        </w:rPr>
        <w:t>Nature Methods</w:t>
      </w:r>
      <w:r w:rsidRPr="00937D72">
        <w:t xml:space="preserve">, </w:t>
      </w:r>
      <w:r w:rsidRPr="00937D72">
        <w:rPr>
          <w:i/>
          <w:iCs/>
        </w:rPr>
        <w:t>13</w:t>
      </w:r>
      <w:r w:rsidRPr="00937D72">
        <w:t>(7), 581–583. https://doi.org/10.1038/nmeth.3869</w:t>
      </w:r>
    </w:p>
    <w:p w14:paraId="49C4039C" w14:textId="77777777" w:rsidR="00937D72" w:rsidRPr="00937D72" w:rsidRDefault="00937D72" w:rsidP="001643E6">
      <w:pPr>
        <w:pStyle w:val="Bibliography"/>
      </w:pPr>
      <w:r w:rsidRPr="00937D72">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37D72">
        <w:rPr>
          <w:i/>
          <w:iCs/>
        </w:rPr>
        <w:t>Ecography</w:t>
      </w:r>
      <w:r w:rsidRPr="00937D72">
        <w:t xml:space="preserve">, </w:t>
      </w:r>
      <w:r w:rsidRPr="00937D72">
        <w:rPr>
          <w:i/>
          <w:iCs/>
        </w:rPr>
        <w:t>30</w:t>
      </w:r>
      <w:r w:rsidRPr="00937D72">
        <w:t>(5), 609–628. https://doi.org/10.1111/j.2007.0906-7590.05171.x</w:t>
      </w:r>
    </w:p>
    <w:p w14:paraId="7FCB4392" w14:textId="77777777" w:rsidR="00937D72" w:rsidRPr="00937D72" w:rsidRDefault="00937D72" w:rsidP="001643E6">
      <w:pPr>
        <w:pStyle w:val="Bibliography"/>
      </w:pPr>
      <w:r w:rsidRPr="00937D72">
        <w:t xml:space="preserve">Elith, J., Leathwick, J. R., &amp; Hastie, T. (2008). A working guide to boosted regression trees. </w:t>
      </w:r>
      <w:r w:rsidRPr="00937D72">
        <w:rPr>
          <w:i/>
          <w:iCs/>
        </w:rPr>
        <w:t>Journal of Animal Ecology</w:t>
      </w:r>
      <w:r w:rsidRPr="00937D72">
        <w:t xml:space="preserve">, </w:t>
      </w:r>
      <w:r w:rsidRPr="00937D72">
        <w:rPr>
          <w:i/>
          <w:iCs/>
        </w:rPr>
        <w:t>77</w:t>
      </w:r>
      <w:r w:rsidRPr="00937D72">
        <w:t>(4), 802–813. https://doi.org/10.1111/j.1365-2656.2008.01390.x</w:t>
      </w:r>
    </w:p>
    <w:p w14:paraId="33EC3851" w14:textId="77777777" w:rsidR="00937D72" w:rsidRPr="00937D72" w:rsidRDefault="00937D72" w:rsidP="001643E6">
      <w:pPr>
        <w:pStyle w:val="Bibliography"/>
      </w:pPr>
      <w:r w:rsidRPr="00937D72">
        <w:t xml:space="preserve">Fortin, M.-J., Drapeau, P., &amp; Legendre, P. (1989). Spatial autocorrelation and sampling design in plant ecology. </w:t>
      </w:r>
      <w:r w:rsidRPr="00937D72">
        <w:rPr>
          <w:i/>
          <w:iCs/>
        </w:rPr>
        <w:t>Vegetatio</w:t>
      </w:r>
      <w:r w:rsidRPr="00937D72">
        <w:t xml:space="preserve">, </w:t>
      </w:r>
      <w:r w:rsidRPr="00937D72">
        <w:rPr>
          <w:i/>
          <w:iCs/>
        </w:rPr>
        <w:t>83</w:t>
      </w:r>
      <w:r w:rsidRPr="00937D72">
        <w:t>(1–2), 209–222. https://doi.org/10.1007/BF00031693</w:t>
      </w:r>
    </w:p>
    <w:p w14:paraId="08395412" w14:textId="77777777" w:rsidR="00937D72" w:rsidRPr="00937D72" w:rsidRDefault="00937D72" w:rsidP="001643E6">
      <w:pPr>
        <w:pStyle w:val="Bibliography"/>
      </w:pPr>
      <w:r w:rsidRPr="00937D72">
        <w:t xml:space="preserve">Fraser, H. M., Greenstreet, S. P. R., &amp; Piet, G. J. (2007). Taking account of catchability in groundfish survey trawls: Implications for estimating demersal fish biomass. </w:t>
      </w:r>
      <w:r w:rsidRPr="00937D72">
        <w:rPr>
          <w:i/>
          <w:iCs/>
        </w:rPr>
        <w:t>ICES Journal of Marine Science</w:t>
      </w:r>
      <w:r w:rsidRPr="00937D72">
        <w:t xml:space="preserve">, </w:t>
      </w:r>
      <w:r w:rsidRPr="00937D72">
        <w:rPr>
          <w:i/>
          <w:iCs/>
        </w:rPr>
        <w:t>64</w:t>
      </w:r>
      <w:r w:rsidRPr="00937D72">
        <w:t>(9), 1800–1819. https://doi.org/10.1093/icesjms/fsm145</w:t>
      </w:r>
    </w:p>
    <w:p w14:paraId="1A5AE572" w14:textId="77777777" w:rsidR="00937D72" w:rsidRPr="00937D72" w:rsidRDefault="00937D72" w:rsidP="001643E6">
      <w:pPr>
        <w:pStyle w:val="Bibliography"/>
      </w:pPr>
      <w:r w:rsidRPr="00937D72">
        <w:t xml:space="preserve">Fukaya, K., Murakami, H., Yoon, S., Minami, K., Osada, Y., Yamamoto, S., Masuda, R., Kasai, A., Miyashita, K., Minamoto, T., &amp; Kondoh, M. (2021). Estimating fish population abundance by integrating quantitative data on environmental DNA and hydrodynamic modelling. </w:t>
      </w:r>
      <w:r w:rsidRPr="00937D72">
        <w:rPr>
          <w:i/>
          <w:iCs/>
        </w:rPr>
        <w:t>Molecular Ecology</w:t>
      </w:r>
      <w:r w:rsidRPr="00937D72">
        <w:t xml:space="preserve">, </w:t>
      </w:r>
      <w:r w:rsidRPr="00937D72">
        <w:rPr>
          <w:i/>
          <w:iCs/>
        </w:rPr>
        <w:t>30</w:t>
      </w:r>
      <w:r w:rsidRPr="00937D72">
        <w:t>(13), 3057–3067. https://doi.org/10.1111/mec.15530</w:t>
      </w:r>
    </w:p>
    <w:p w14:paraId="2C211504" w14:textId="77777777" w:rsidR="00937D72" w:rsidRPr="00937D72" w:rsidRDefault="00937D72" w:rsidP="001643E6">
      <w:pPr>
        <w:pStyle w:val="Bibliography"/>
      </w:pPr>
      <w:r w:rsidRPr="00937D72">
        <w:t xml:space="preserve">García‐Machado, E., Normandeau, E., Côté, G., Caza‐Allard, I., Babin, C., &amp; Bernatchez, L. (2024). Evaluating Sampling Designs to Survey Fish Diversity in Lakes From Northern Temperate Zones. </w:t>
      </w:r>
      <w:r w:rsidRPr="00937D72">
        <w:rPr>
          <w:i/>
          <w:iCs/>
        </w:rPr>
        <w:t>Environmental DNA</w:t>
      </w:r>
      <w:r w:rsidRPr="00937D72">
        <w:t xml:space="preserve">, </w:t>
      </w:r>
      <w:r w:rsidRPr="00937D72">
        <w:rPr>
          <w:i/>
          <w:iCs/>
        </w:rPr>
        <w:t>6</w:t>
      </w:r>
      <w:r w:rsidRPr="00937D72">
        <w:t>(6), e70015. https://doi.org/10.1002/edn3.70015</w:t>
      </w:r>
    </w:p>
    <w:p w14:paraId="0C3002B0" w14:textId="77777777" w:rsidR="00937D72" w:rsidRPr="00937D72" w:rsidRDefault="00937D72" w:rsidP="001643E6">
      <w:pPr>
        <w:pStyle w:val="Bibliography"/>
      </w:pPr>
      <w:r w:rsidRPr="00937D72">
        <w:lastRenderedPageBreak/>
        <w:t xml:space="preserve">Gloor, G. B., Macklaim, J. M., Pawlowsky-Glahn, V., &amp; Egozcue, J. J. (2017). Microbiome Datasets Are Compositional: And This Is Not Optional. </w:t>
      </w:r>
      <w:r w:rsidRPr="00937D72">
        <w:rPr>
          <w:i/>
          <w:iCs/>
        </w:rPr>
        <w:t>Frontiers in Microbiology</w:t>
      </w:r>
      <w:r w:rsidRPr="00937D72">
        <w:t xml:space="preserve">, </w:t>
      </w:r>
      <w:r w:rsidRPr="00937D72">
        <w:rPr>
          <w:i/>
          <w:iCs/>
        </w:rPr>
        <w:t>8</w:t>
      </w:r>
      <w:r w:rsidRPr="00937D72">
        <w:t>, 2224. https://doi.org/10.3389/fmicb.2017.02224</w:t>
      </w:r>
    </w:p>
    <w:p w14:paraId="28E3D150" w14:textId="77777777" w:rsidR="00937D72" w:rsidRPr="00937D72" w:rsidRDefault="00937D72" w:rsidP="001643E6">
      <w:pPr>
        <w:pStyle w:val="Bibliography"/>
      </w:pPr>
      <w:r w:rsidRPr="00937D72">
        <w:t xml:space="preserve">Gold, Z., Sprague, J., Kushner, D. J., Marin, E. Z., &amp; Barber, P. H. (2021). eDNA metabarcoding as a biomonitoring tool for marine protected areas. </w:t>
      </w:r>
      <w:r w:rsidRPr="00937D72">
        <w:rPr>
          <w:i/>
          <w:iCs/>
        </w:rPr>
        <w:t>PLoS ONE</w:t>
      </w:r>
      <w:r w:rsidRPr="00937D72">
        <w:t xml:space="preserve">, </w:t>
      </w:r>
      <w:r w:rsidRPr="00937D72">
        <w:rPr>
          <w:i/>
          <w:iCs/>
        </w:rPr>
        <w:t>16</w:t>
      </w:r>
      <w:r w:rsidRPr="00937D72">
        <w:t>(2 February 2021), 1–19. https://doi.org/10.1371/journal.pone.0238557</w:t>
      </w:r>
    </w:p>
    <w:p w14:paraId="46E1A674" w14:textId="77777777" w:rsidR="00937D72" w:rsidRPr="00937D72" w:rsidRDefault="00937D72" w:rsidP="001643E6">
      <w:pPr>
        <w:pStyle w:val="Bibliography"/>
      </w:pPr>
      <w:r w:rsidRPr="00937D72">
        <w:t xml:space="preserve">Guillera‐Arroita, G., &amp; Lahoz‐Monfort, J. J. (2012). Designing studies to detect differences in species occupancy: Power analysis under imperfect detection. </w:t>
      </w:r>
      <w:r w:rsidRPr="00937D72">
        <w:rPr>
          <w:i/>
          <w:iCs/>
        </w:rPr>
        <w:t>Methods in Ecology and Evolution</w:t>
      </w:r>
      <w:r w:rsidRPr="00937D72">
        <w:t xml:space="preserve">, </w:t>
      </w:r>
      <w:r w:rsidRPr="00937D72">
        <w:rPr>
          <w:i/>
          <w:iCs/>
        </w:rPr>
        <w:t>3</w:t>
      </w:r>
      <w:r w:rsidRPr="00937D72">
        <w:t>(5), 860–869. https://doi.org/10.1111/j.2041-210X.2012.00225.x</w:t>
      </w:r>
    </w:p>
    <w:p w14:paraId="59BB996A" w14:textId="77777777" w:rsidR="00937D72" w:rsidRPr="00937D72" w:rsidRDefault="00937D72" w:rsidP="001643E6">
      <w:pPr>
        <w:pStyle w:val="Bibliography"/>
      </w:pPr>
      <w:r w:rsidRPr="00937D72">
        <w:t xml:space="preserve">Guisan, A., &amp; Zimmermann, N. E. (2000). Predictive habitat distribution models in ecology. </w:t>
      </w:r>
      <w:r w:rsidRPr="00937D72">
        <w:rPr>
          <w:i/>
          <w:iCs/>
        </w:rPr>
        <w:t>Ecological Modelling</w:t>
      </w:r>
      <w:r w:rsidRPr="00937D72">
        <w:t xml:space="preserve">, </w:t>
      </w:r>
      <w:r w:rsidRPr="00937D72">
        <w:rPr>
          <w:i/>
          <w:iCs/>
        </w:rPr>
        <w:t>135</w:t>
      </w:r>
      <w:r w:rsidRPr="00937D72">
        <w:t>(2–3), 147–186. https://doi.org/10.1016/S0304-3800(00)00354-9</w:t>
      </w:r>
    </w:p>
    <w:p w14:paraId="0CF95938" w14:textId="77777777" w:rsidR="00937D72" w:rsidRPr="00937D72" w:rsidRDefault="00937D72" w:rsidP="001643E6">
      <w:pPr>
        <w:pStyle w:val="Bibliography"/>
      </w:pPr>
      <w:r w:rsidRPr="00937D72">
        <w:t xml:space="preserve">Guri, G., Liu, O. R., Kelly, R. P., Shaffer, M. R., Parsons, K. M., Ramón-Laca, A., Nichols, K. M., Brandão-Dias, P. F. P., Wells, A., &amp; Shelton, A. O. (2025). </w:t>
      </w:r>
      <w:r w:rsidRPr="00937D72">
        <w:rPr>
          <w:i/>
          <w:iCs/>
        </w:rPr>
        <w:t>Quantitative, Multispecies Monitoring at a Continental Scale</w:t>
      </w:r>
      <w:r w:rsidRPr="00937D72">
        <w:t>. Ecology. https://doi.org/10.1101/2025.10.30.685180</w:t>
      </w:r>
    </w:p>
    <w:p w14:paraId="54E0676C" w14:textId="77777777" w:rsidR="00937D72" w:rsidRPr="00937D72" w:rsidRDefault="00937D72" w:rsidP="001643E6">
      <w:pPr>
        <w:pStyle w:val="Bibliography"/>
      </w:pPr>
      <w:r w:rsidRPr="00937D72">
        <w:t xml:space="preserve">Guri, G., Shelton, A. O., Kelly, R. P., Yoccoz, N., Johansen, T., Præbel, K., Hanebrekke, T., Ray, J. L., Fall, J., &amp; Westgaard, J.-I. (2024). Predicting trawl catches using environmental DNA. </w:t>
      </w:r>
      <w:r w:rsidRPr="00937D72">
        <w:rPr>
          <w:i/>
          <w:iCs/>
        </w:rPr>
        <w:t>ICES Journal of Marine Science</w:t>
      </w:r>
      <w:r w:rsidRPr="00937D72">
        <w:t>, fsae097. https://doi.org/10.1093/icesjms/fsae097</w:t>
      </w:r>
    </w:p>
    <w:p w14:paraId="3FEC8F46" w14:textId="77777777" w:rsidR="00937D72" w:rsidRPr="00937D72" w:rsidRDefault="00937D72" w:rsidP="001643E6">
      <w:pPr>
        <w:pStyle w:val="Bibliography"/>
      </w:pPr>
      <w:r w:rsidRPr="00937D7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37D72">
        <w:rPr>
          <w:i/>
          <w:iCs/>
        </w:rPr>
        <w:t>Environmental DNA</w:t>
      </w:r>
      <w:r w:rsidRPr="00937D72">
        <w:t>, edn3.409. https://doi.org/10.1002/edn3.409</w:t>
      </w:r>
    </w:p>
    <w:p w14:paraId="71413FA0" w14:textId="77777777" w:rsidR="00937D72" w:rsidRPr="00937D72" w:rsidRDefault="00937D72" w:rsidP="001643E6">
      <w:pPr>
        <w:pStyle w:val="Bibliography"/>
      </w:pPr>
      <w:r w:rsidRPr="00937D72">
        <w:t xml:space="preserve">Ip, Y. C. A., Guri, G., Allan, E. A., &amp; Kelly, R. P. (2025). Passive air sampling detects environmental DNA transfer from water into air. </w:t>
      </w:r>
      <w:r w:rsidRPr="00937D72">
        <w:rPr>
          <w:i/>
          <w:iCs/>
        </w:rPr>
        <w:t>Scientific Reports</w:t>
      </w:r>
      <w:r w:rsidRPr="00937D72">
        <w:t xml:space="preserve">, </w:t>
      </w:r>
      <w:r w:rsidRPr="00937D72">
        <w:rPr>
          <w:i/>
          <w:iCs/>
        </w:rPr>
        <w:t>15</w:t>
      </w:r>
      <w:r w:rsidRPr="00937D72">
        <w:t>(1), 42245. https://doi.org/10.1038/s41598-025-26293-6</w:t>
      </w:r>
    </w:p>
    <w:p w14:paraId="6F32DD1A" w14:textId="77777777" w:rsidR="00937D72" w:rsidRPr="00937D72" w:rsidRDefault="00937D72" w:rsidP="001643E6">
      <w:pPr>
        <w:pStyle w:val="Bibliography"/>
      </w:pPr>
      <w:r w:rsidRPr="00937D72">
        <w:lastRenderedPageBreak/>
        <w:t xml:space="preserve">Jo, T. S., Murakami, H., &amp; Nakadai, R. (2025). Spatial dispersal of environmental DNA particles in lentic and marine ecosystems: An overview and synthesis. </w:t>
      </w:r>
      <w:r w:rsidRPr="00937D72">
        <w:rPr>
          <w:i/>
          <w:iCs/>
        </w:rPr>
        <w:t>Ecological Indicators</w:t>
      </w:r>
      <w:r w:rsidRPr="00937D72">
        <w:t xml:space="preserve">, </w:t>
      </w:r>
      <w:r w:rsidRPr="00937D72">
        <w:rPr>
          <w:i/>
          <w:iCs/>
        </w:rPr>
        <w:t>174</w:t>
      </w:r>
      <w:r w:rsidRPr="00937D72">
        <w:t>, 113469. https://doi.org/10.1016/j.ecolind.2025.113469</w:t>
      </w:r>
    </w:p>
    <w:p w14:paraId="0D591194" w14:textId="77777777" w:rsidR="00937D72" w:rsidRPr="00937D72" w:rsidRDefault="00937D72" w:rsidP="001643E6">
      <w:pPr>
        <w:pStyle w:val="Bibliography"/>
      </w:pPr>
      <w:r w:rsidRPr="00937D72">
        <w:t xml:space="preserve">Kaufman, C. G., &amp; Shaby, B. A. (2013). The role of the range parameter for estimation and prediction in geostatistics. </w:t>
      </w:r>
      <w:r w:rsidRPr="00937D72">
        <w:rPr>
          <w:i/>
          <w:iCs/>
        </w:rPr>
        <w:t>Biometrika</w:t>
      </w:r>
      <w:r w:rsidRPr="00937D72">
        <w:t xml:space="preserve">, </w:t>
      </w:r>
      <w:r w:rsidRPr="00937D72">
        <w:rPr>
          <w:i/>
          <w:iCs/>
        </w:rPr>
        <w:t>100</w:t>
      </w:r>
      <w:r w:rsidRPr="00937D72">
        <w:t>(2), 473–484. https://doi.org/10.1093/biomet/ass079</w:t>
      </w:r>
    </w:p>
    <w:p w14:paraId="2D041A3B" w14:textId="77777777" w:rsidR="00937D72" w:rsidRPr="00937D72" w:rsidRDefault="00937D72" w:rsidP="001643E6">
      <w:pPr>
        <w:pStyle w:val="Bibliography"/>
      </w:pPr>
      <w:r w:rsidRPr="00937D72">
        <w:t xml:space="preserve">Kelly, R. P., Shelton, A. O., &amp; Gallego, R. (2019). Understanding PCR Processes to Draw Meaningful Conclusions from Environmental DNA Studies. </w:t>
      </w:r>
      <w:r w:rsidRPr="00937D72">
        <w:rPr>
          <w:i/>
          <w:iCs/>
        </w:rPr>
        <w:t>Scientific Reports</w:t>
      </w:r>
      <w:r w:rsidRPr="00937D72">
        <w:t xml:space="preserve">, </w:t>
      </w:r>
      <w:r w:rsidRPr="00937D72">
        <w:rPr>
          <w:i/>
          <w:iCs/>
        </w:rPr>
        <w:t>9</w:t>
      </w:r>
      <w:r w:rsidRPr="00937D72">
        <w:t>(1), 1–14. https://doi.org/10.1038/s41598-019-48546-x</w:t>
      </w:r>
    </w:p>
    <w:p w14:paraId="116F1D82" w14:textId="77777777" w:rsidR="00937D72" w:rsidRPr="00937D72" w:rsidRDefault="00937D72" w:rsidP="001643E6">
      <w:pPr>
        <w:pStyle w:val="Bibliography"/>
      </w:pPr>
      <w:r w:rsidRPr="00937D7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37D72">
        <w:rPr>
          <w:i/>
          <w:iCs/>
        </w:rPr>
        <w:t>Environmental DNA</w:t>
      </w:r>
      <w:r w:rsidRPr="00937D72">
        <w:t xml:space="preserve">, </w:t>
      </w:r>
      <w:r w:rsidRPr="00937D72">
        <w:rPr>
          <w:i/>
          <w:iCs/>
        </w:rPr>
        <w:t>3</w:t>
      </w:r>
      <w:r w:rsidRPr="00937D72">
        <w:t>(6), 1142–1155. https://doi.org/10.1002/edn3.236</w:t>
      </w:r>
    </w:p>
    <w:p w14:paraId="6ECBB00F" w14:textId="77777777" w:rsidR="00937D72" w:rsidRPr="00937D72" w:rsidRDefault="00937D72" w:rsidP="001643E6">
      <w:pPr>
        <w:pStyle w:val="Bibliography"/>
      </w:pPr>
      <w:r w:rsidRPr="00937D72">
        <w:t xml:space="preserve">Laroche, F. (2024). Efficient sampling designs to assess biodiversity spatial autocorrelation: Should we go fractal? </w:t>
      </w:r>
      <w:r w:rsidRPr="00937D72">
        <w:rPr>
          <w:i/>
          <w:iCs/>
        </w:rPr>
        <w:t>Peer Community Journal</w:t>
      </w:r>
      <w:r w:rsidRPr="00937D72">
        <w:t xml:space="preserve">, </w:t>
      </w:r>
      <w:r w:rsidRPr="00937D72">
        <w:rPr>
          <w:i/>
          <w:iCs/>
        </w:rPr>
        <w:t>4</w:t>
      </w:r>
      <w:r w:rsidRPr="00937D72">
        <w:t>, e76. https://doi.org/10.24072/pcjournal.454</w:t>
      </w:r>
    </w:p>
    <w:p w14:paraId="172E1342" w14:textId="77777777" w:rsidR="00937D72" w:rsidRPr="00937D72" w:rsidRDefault="00937D72" w:rsidP="001643E6">
      <w:pPr>
        <w:pStyle w:val="Bibliography"/>
      </w:pPr>
      <w:r w:rsidRPr="00937D72">
        <w:t xml:space="preserve">Lees, K. J., MacNeil, M. A., Hedges, K. J., &amp; Hussey, N. E. (2021). Estimating demographic parameters for fisheries management using acoustic telemetry. </w:t>
      </w:r>
      <w:r w:rsidRPr="00937D72">
        <w:rPr>
          <w:i/>
          <w:iCs/>
        </w:rPr>
        <w:t>Reviews in Fish Biology and Fisheries</w:t>
      </w:r>
      <w:r w:rsidRPr="00937D72">
        <w:t xml:space="preserve">, </w:t>
      </w:r>
      <w:r w:rsidRPr="00937D72">
        <w:rPr>
          <w:i/>
          <w:iCs/>
        </w:rPr>
        <w:t>31</w:t>
      </w:r>
      <w:r w:rsidRPr="00937D72">
        <w:t>(1), 25–51. https://doi.org/10.1007/s11160-020-09626-8</w:t>
      </w:r>
    </w:p>
    <w:p w14:paraId="5DA57C5A" w14:textId="77777777" w:rsidR="00937D72" w:rsidRPr="00937D72" w:rsidRDefault="00937D72" w:rsidP="001643E6">
      <w:pPr>
        <w:pStyle w:val="Bibliography"/>
      </w:pPr>
      <w:r w:rsidRPr="00937D72">
        <w:t xml:space="preserve">Lek, S., &amp; Guégan, J. F. (1999). Artificial neural networks as a tool in ecological modelling, an introduction. </w:t>
      </w:r>
      <w:r w:rsidRPr="00937D72">
        <w:rPr>
          <w:i/>
          <w:iCs/>
        </w:rPr>
        <w:t>Ecological Modelling</w:t>
      </w:r>
      <w:r w:rsidRPr="00937D72">
        <w:t xml:space="preserve">, </w:t>
      </w:r>
      <w:r w:rsidRPr="00937D72">
        <w:rPr>
          <w:i/>
          <w:iCs/>
        </w:rPr>
        <w:t>120</w:t>
      </w:r>
      <w:r w:rsidRPr="00937D72">
        <w:t>(2–3), 65–73. https://doi.org/10.1016/S0304-3800(99)00092-7</w:t>
      </w:r>
    </w:p>
    <w:p w14:paraId="30A07D6F" w14:textId="77777777" w:rsidR="00937D72" w:rsidRPr="00937D72" w:rsidRDefault="00937D72" w:rsidP="001643E6">
      <w:pPr>
        <w:pStyle w:val="Bibliography"/>
      </w:pPr>
      <w:r w:rsidRPr="00937D72">
        <w:t xml:space="preserve">Lewy, P., &amp; Kristensen, K. (2009). Modelling the distribution of fish accounting for spatial correlation and overdispersion. </w:t>
      </w:r>
      <w:r w:rsidRPr="00937D72">
        <w:rPr>
          <w:i/>
          <w:iCs/>
        </w:rPr>
        <w:t>Canadian Journal of Fisheries and Aquatic Sciences</w:t>
      </w:r>
      <w:r w:rsidRPr="00937D72">
        <w:t xml:space="preserve">, </w:t>
      </w:r>
      <w:r w:rsidRPr="00937D72">
        <w:rPr>
          <w:i/>
          <w:iCs/>
        </w:rPr>
        <w:t>66</w:t>
      </w:r>
      <w:r w:rsidRPr="00937D72">
        <w:t>(10), 1809–1820. https://doi.org/10.1139/F09-114</w:t>
      </w:r>
    </w:p>
    <w:p w14:paraId="17F8E504" w14:textId="77777777" w:rsidR="00937D72" w:rsidRPr="00937D72" w:rsidRDefault="00937D72" w:rsidP="001643E6">
      <w:pPr>
        <w:pStyle w:val="Bibliography"/>
      </w:pPr>
      <w:r w:rsidRPr="00937D72">
        <w:lastRenderedPageBreak/>
        <w:t xml:space="preserve">Lezama-Ochoa, N., Pennino, M. G., Hall, M. A., Lopez, J., &amp; Murua, H. (2020). Using a Bayesian modelling approach (INLA-SPDE) to predict the occurrence of the Spinetail Devil Ray (Mobular mobular). </w:t>
      </w:r>
      <w:r w:rsidRPr="00937D72">
        <w:rPr>
          <w:i/>
          <w:iCs/>
        </w:rPr>
        <w:t>Scientific Reports</w:t>
      </w:r>
      <w:r w:rsidRPr="00937D72">
        <w:t xml:space="preserve">, </w:t>
      </w:r>
      <w:r w:rsidRPr="00937D72">
        <w:rPr>
          <w:i/>
          <w:iCs/>
        </w:rPr>
        <w:t>10</w:t>
      </w:r>
      <w:r w:rsidRPr="00937D72">
        <w:t>(1), 18822. https://doi.org/10.1038/s41598-020-73879-3</w:t>
      </w:r>
    </w:p>
    <w:p w14:paraId="42768E30" w14:textId="77777777" w:rsidR="00937D72" w:rsidRPr="00937D72" w:rsidRDefault="00937D72" w:rsidP="001643E6">
      <w:pPr>
        <w:pStyle w:val="Bibliography"/>
      </w:pPr>
      <w:r w:rsidRPr="00937D72">
        <w:t xml:space="preserve">Li, X., &amp; Wang, Y. (2013). Applying various algorithms for species distribution modelling. </w:t>
      </w:r>
      <w:r w:rsidRPr="00937D72">
        <w:rPr>
          <w:i/>
          <w:iCs/>
        </w:rPr>
        <w:t>Integrative Zoology</w:t>
      </w:r>
      <w:r w:rsidRPr="00937D72">
        <w:t xml:space="preserve">, </w:t>
      </w:r>
      <w:r w:rsidRPr="00937D72">
        <w:rPr>
          <w:i/>
          <w:iCs/>
        </w:rPr>
        <w:t>8</w:t>
      </w:r>
      <w:r w:rsidRPr="00937D72">
        <w:t>(2), 124–135. https://doi.org/10.1111/1749-4877.12000</w:t>
      </w:r>
    </w:p>
    <w:p w14:paraId="5939A911" w14:textId="77777777" w:rsidR="00937D72" w:rsidRPr="00937D72" w:rsidRDefault="00937D72" w:rsidP="001643E6">
      <w:pPr>
        <w:pStyle w:val="Bibliography"/>
      </w:pPr>
      <w:r w:rsidRPr="00937D72">
        <w:t xml:space="preserve">Li, Z., Ramón, C. L., Bogdanowicz, S., Koeberle, A. L., Wang, D., Rueda, F. J., Cowen, E. A., Walter, M. T., Sethi, S. A., Lodge, D. M., Luo, D., &amp; Andrés, J. A. (2026). Tracing Environmental DNA Transport in a Large Lake with Synthetic DNA Microparticles and Hydrodynamic Modeling. </w:t>
      </w:r>
      <w:r w:rsidRPr="00937D72">
        <w:rPr>
          <w:i/>
          <w:iCs/>
        </w:rPr>
        <w:t>Environmental Science &amp; Technology</w:t>
      </w:r>
      <w:r w:rsidRPr="00937D72">
        <w:t xml:space="preserve">, </w:t>
      </w:r>
      <w:r w:rsidRPr="00937D72">
        <w:rPr>
          <w:i/>
          <w:iCs/>
        </w:rPr>
        <w:t>60</w:t>
      </w:r>
      <w:r w:rsidRPr="00937D72">
        <w:t>(4), 3519–3531. https://doi.org/10.1021/acs.est.5c11071</w:t>
      </w:r>
    </w:p>
    <w:p w14:paraId="1417E505" w14:textId="77777777" w:rsidR="00937D72" w:rsidRPr="00937D72" w:rsidRDefault="00937D72" w:rsidP="001643E6">
      <w:pPr>
        <w:pStyle w:val="Bibliography"/>
      </w:pPr>
      <w:r w:rsidRPr="00937D72">
        <w:t xml:space="preserve">Liu, O. R., Shelton, A. O., Ramón-Laca, A., Nichols, K. M., Ward, E. J., Phillips, E. M., Zamon, J. E., Wells, A., &amp; Kelly, R. P. (2026). Mapping the marine distribution of eulachon (Thaleichthys pacificus) in the Northeast Pacific using environmental DNA. </w:t>
      </w:r>
      <w:r w:rsidRPr="00937D72">
        <w:rPr>
          <w:i/>
          <w:iCs/>
        </w:rPr>
        <w:t>Communications Biology</w:t>
      </w:r>
      <w:r w:rsidRPr="00937D72">
        <w:t xml:space="preserve">, </w:t>
      </w:r>
      <w:r w:rsidRPr="00937D72">
        <w:rPr>
          <w:i/>
          <w:iCs/>
        </w:rPr>
        <w:t>9</w:t>
      </w:r>
      <w:r w:rsidRPr="00937D72">
        <w:t>(1), 465. https://doi.org/10.1038/s42003-026-09733-5</w:t>
      </w:r>
    </w:p>
    <w:p w14:paraId="73B99D3F" w14:textId="77777777" w:rsidR="00937D72" w:rsidRPr="00937D72" w:rsidRDefault="00937D72" w:rsidP="001643E6">
      <w:pPr>
        <w:pStyle w:val="Bibliography"/>
      </w:pPr>
      <w:r w:rsidRPr="00937D7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37D72">
        <w:rPr>
          <w:i/>
          <w:iCs/>
        </w:rPr>
        <w:t>Royal Society Open Science</w:t>
      </w:r>
      <w:r w:rsidRPr="00937D72">
        <w:t>. https://doi.org/10.1098/rsos.150088</w:t>
      </w:r>
    </w:p>
    <w:p w14:paraId="32D26F13" w14:textId="77777777" w:rsidR="00937D72" w:rsidRPr="00937D72" w:rsidRDefault="00937D72" w:rsidP="001643E6">
      <w:pPr>
        <w:pStyle w:val="Bibliography"/>
      </w:pPr>
      <w:r w:rsidRPr="00937D72">
        <w:t xml:space="preserve">Muradian, M. L., Branch, T. A., &amp; Punt, A. E. (2019). A framework for assessing which sampling programmes provide the best trade-off between accuracy and cost of data in stock assessments. </w:t>
      </w:r>
      <w:r w:rsidRPr="00937D72">
        <w:rPr>
          <w:i/>
          <w:iCs/>
        </w:rPr>
        <w:t>ICES Journal of Marine Science</w:t>
      </w:r>
      <w:r w:rsidRPr="00937D72">
        <w:t xml:space="preserve">, </w:t>
      </w:r>
      <w:r w:rsidRPr="00937D72">
        <w:rPr>
          <w:i/>
          <w:iCs/>
        </w:rPr>
        <w:t>76</w:t>
      </w:r>
      <w:r w:rsidRPr="00937D72">
        <w:t>(7), 2102–2113. https://doi.org/10.1093/icesjms/fsz163</w:t>
      </w:r>
    </w:p>
    <w:p w14:paraId="4DFC090A" w14:textId="77777777" w:rsidR="00937D72" w:rsidRPr="00937D72" w:rsidRDefault="00937D72" w:rsidP="001643E6">
      <w:pPr>
        <w:pStyle w:val="Bibliography"/>
      </w:pPr>
      <w:r w:rsidRPr="00937D72">
        <w:t xml:space="preserve">Nielsen, J. R., Kristensen, K., Lewy, P., &amp; Bastardie, F. (2016). A Statistical Model for Estimation of Fish Density Including Correlation in Size, Space, Time and between Species from Research Survey Data. </w:t>
      </w:r>
      <w:r w:rsidRPr="00937D72">
        <w:rPr>
          <w:i/>
          <w:iCs/>
        </w:rPr>
        <w:t>PLOS ONE</w:t>
      </w:r>
      <w:r w:rsidRPr="00937D72">
        <w:t xml:space="preserve">, </w:t>
      </w:r>
      <w:r w:rsidRPr="00937D72">
        <w:rPr>
          <w:i/>
          <w:iCs/>
        </w:rPr>
        <w:t>11</w:t>
      </w:r>
      <w:r w:rsidRPr="00937D72">
        <w:t>(2), e0148722. https://doi.org/10.1371/journal.pone.0148722</w:t>
      </w:r>
    </w:p>
    <w:p w14:paraId="58F39601" w14:textId="77777777" w:rsidR="00937D72" w:rsidRPr="00937D72" w:rsidRDefault="00937D72" w:rsidP="001643E6">
      <w:pPr>
        <w:pStyle w:val="Bibliography"/>
      </w:pPr>
      <w:r w:rsidRPr="00937D72">
        <w:t xml:space="preserve">Paciorek, C. J. (2010). The Importance of Scale for Spatial-Confounding Bias and Precision of Spatial Regression Estimators. </w:t>
      </w:r>
      <w:r w:rsidRPr="00937D72">
        <w:rPr>
          <w:i/>
          <w:iCs/>
        </w:rPr>
        <w:t>Statistical Science</w:t>
      </w:r>
      <w:r w:rsidRPr="00937D72">
        <w:t xml:space="preserve">, </w:t>
      </w:r>
      <w:r w:rsidRPr="00937D72">
        <w:rPr>
          <w:i/>
          <w:iCs/>
        </w:rPr>
        <w:t>25</w:t>
      </w:r>
      <w:r w:rsidRPr="00937D72">
        <w:t>(1). https://doi.org/10.1214/10-STS326</w:t>
      </w:r>
    </w:p>
    <w:p w14:paraId="13CE883F" w14:textId="77777777" w:rsidR="00937D72" w:rsidRPr="00937D72" w:rsidRDefault="00937D72" w:rsidP="001643E6">
      <w:pPr>
        <w:pStyle w:val="Bibliography"/>
      </w:pPr>
      <w:r w:rsidRPr="00937D72">
        <w:lastRenderedPageBreak/>
        <w:t xml:space="preserve">Paciorek, C. J., &amp; Schervish, M. J. (2006). Spatial modelling using a new class of nonstationary covariance functions. </w:t>
      </w:r>
      <w:r w:rsidRPr="00937D72">
        <w:rPr>
          <w:i/>
          <w:iCs/>
        </w:rPr>
        <w:t>Environmetrics</w:t>
      </w:r>
      <w:r w:rsidRPr="00937D72">
        <w:t xml:space="preserve">, </w:t>
      </w:r>
      <w:r w:rsidRPr="00937D72">
        <w:rPr>
          <w:i/>
          <w:iCs/>
        </w:rPr>
        <w:t>17</w:t>
      </w:r>
      <w:r w:rsidRPr="00937D72">
        <w:t>(5), 483–506. https://doi.org/10.1002/env.785</w:t>
      </w:r>
    </w:p>
    <w:p w14:paraId="754D913B" w14:textId="77777777" w:rsidR="00937D72" w:rsidRPr="00937D72" w:rsidRDefault="00937D72" w:rsidP="001643E6">
      <w:pPr>
        <w:pStyle w:val="Bibliography"/>
      </w:pPr>
      <w:r w:rsidRPr="00937D72">
        <w:t xml:space="preserve">Perkins, N. R., Prall, M., Chakraborty, A., White, J. W., Baskett, M. L., &amp; Morgan, S. G. (2021). Quantifying the statistical power of monitoring programs for marine protected areas. </w:t>
      </w:r>
      <w:r w:rsidRPr="00937D72">
        <w:rPr>
          <w:i/>
          <w:iCs/>
        </w:rPr>
        <w:t>Ecological Applications</w:t>
      </w:r>
      <w:r w:rsidRPr="00937D72">
        <w:t xml:space="preserve">, </w:t>
      </w:r>
      <w:r w:rsidRPr="00937D72">
        <w:rPr>
          <w:i/>
          <w:iCs/>
        </w:rPr>
        <w:t>31</w:t>
      </w:r>
      <w:r w:rsidRPr="00937D72">
        <w:t>(1), e2215. https://doi.org/10.1002/eap.2215</w:t>
      </w:r>
    </w:p>
    <w:p w14:paraId="3BC9750D" w14:textId="77777777" w:rsidR="00937D72" w:rsidRPr="00937D72" w:rsidRDefault="00937D72" w:rsidP="001643E6">
      <w:pPr>
        <w:pStyle w:val="Bibliography"/>
      </w:pPr>
      <w:r w:rsidRPr="00937D72">
        <w:t xml:space="preserve">Perret, J., Charpentier, A., Pradel, R., Papuga, G., &amp; Besnard, A. (2022). Spatially balanced sampling methods are always more precise than random ones for estimating the size of aggregated populations. </w:t>
      </w:r>
      <w:r w:rsidRPr="00937D72">
        <w:rPr>
          <w:i/>
          <w:iCs/>
        </w:rPr>
        <w:t>Methods in Ecology and Evolution</w:t>
      </w:r>
      <w:r w:rsidRPr="00937D72">
        <w:t xml:space="preserve">, </w:t>
      </w:r>
      <w:r w:rsidRPr="00937D72">
        <w:rPr>
          <w:i/>
          <w:iCs/>
        </w:rPr>
        <w:t>13</w:t>
      </w:r>
      <w:r w:rsidRPr="00937D72">
        <w:t>(12), 2743–2756. https://doi.org/10.1111/2041-210X.14015</w:t>
      </w:r>
    </w:p>
    <w:p w14:paraId="3A9C4DDD" w14:textId="77777777" w:rsidR="00937D72" w:rsidRPr="00937D72" w:rsidRDefault="00937D72" w:rsidP="001643E6">
      <w:pPr>
        <w:pStyle w:val="Bibliography"/>
      </w:pPr>
      <w:r w:rsidRPr="00937D72">
        <w:t xml:space="preserve">Radinger, J., Britton, J. R., Carlson, S. M., Magurran, A. E., Alcaraz‐Hernández, J. D., Almodóvar, A., Benejam, L., Fernández‐Delgado, C., Nicola, G. G., Oliva‐Paterna, F. J., Torralva, M., &amp; García‐Berthou, E. (2019). Effective monitoring of freshwater fish. </w:t>
      </w:r>
      <w:r w:rsidRPr="00937D72">
        <w:rPr>
          <w:i/>
          <w:iCs/>
        </w:rPr>
        <w:t>Fish and Fisheries</w:t>
      </w:r>
      <w:r w:rsidRPr="00937D72">
        <w:t xml:space="preserve">, </w:t>
      </w:r>
      <w:r w:rsidRPr="00937D72">
        <w:rPr>
          <w:i/>
          <w:iCs/>
        </w:rPr>
        <w:t>20</w:t>
      </w:r>
      <w:r w:rsidRPr="00937D72">
        <w:t>(4), 729–747. https://doi.org/10.1111/faf.12373</w:t>
      </w:r>
    </w:p>
    <w:p w14:paraId="1963DE78" w14:textId="77777777" w:rsidR="00937D72" w:rsidRPr="00937D72" w:rsidRDefault="00937D72" w:rsidP="001643E6">
      <w:pPr>
        <w:pStyle w:val="Bibliography"/>
      </w:pPr>
      <w:r w:rsidRPr="00937D72">
        <w:t xml:space="preserve">Ramón-Laca, A., Wells, A., &amp; Park, L. (2021). A workflow for the relative quantification of multiple fish species from oceanic water samples using environmental DNA (eDNA) to support large-scale fishery surveys. </w:t>
      </w:r>
      <w:r w:rsidRPr="00937D72">
        <w:rPr>
          <w:i/>
          <w:iCs/>
        </w:rPr>
        <w:t>PLOS ONE</w:t>
      </w:r>
      <w:r w:rsidRPr="00937D72">
        <w:t xml:space="preserve">, </w:t>
      </w:r>
      <w:r w:rsidRPr="00937D72">
        <w:rPr>
          <w:i/>
          <w:iCs/>
        </w:rPr>
        <w:t>16</w:t>
      </w:r>
      <w:r w:rsidRPr="00937D72">
        <w:t>(9), e0257773. https://doi.org/10.1371/journal.pone.0257773</w:t>
      </w:r>
    </w:p>
    <w:p w14:paraId="275A6A80" w14:textId="77777777" w:rsidR="00937D72" w:rsidRPr="00937D72" w:rsidRDefault="00937D72" w:rsidP="001643E6">
      <w:pPr>
        <w:pStyle w:val="Bibliography"/>
      </w:pPr>
      <w:r w:rsidRPr="00937D72">
        <w:t xml:space="preserve">Redfern, J., Ferguson, M., Becker, E., Hyrenbach, K., Good, C., Barlow, J., Kaschner, K., Baumgartner, M., Forney, K., Ballance, L., Fauchald, P., Halpin, P., Hamazaki, T., Pershing, A., Qian, S., Read, A., Reilly, S., Torres, L., &amp; Werne, F. (2006). Techniques for cetaceanhabitat modeling. </w:t>
      </w:r>
      <w:r w:rsidRPr="00937D72">
        <w:rPr>
          <w:i/>
          <w:iCs/>
        </w:rPr>
        <w:t>Marine Ecology Progress Series</w:t>
      </w:r>
      <w:r w:rsidRPr="00937D72">
        <w:t xml:space="preserve">, </w:t>
      </w:r>
      <w:r w:rsidRPr="00937D72">
        <w:rPr>
          <w:i/>
          <w:iCs/>
        </w:rPr>
        <w:t>310</w:t>
      </w:r>
      <w:r w:rsidRPr="00937D72">
        <w:t>, 271–295. https://doi.org/10.3354/meps310271</w:t>
      </w:r>
    </w:p>
    <w:p w14:paraId="52B48039" w14:textId="77777777" w:rsidR="00937D72" w:rsidRPr="00937D72" w:rsidRDefault="00937D72" w:rsidP="001643E6">
      <w:pPr>
        <w:pStyle w:val="Bibliography"/>
      </w:pPr>
      <w:r w:rsidRPr="00937D72">
        <w:t xml:space="preserve">Rocha, A. D., Groen, T. A., Skidmore, A. K., &amp; Willemen, L. (2021). Role of Sampling Design When Predicting Spatially Dependent Ecological Data With Remote Sensing. </w:t>
      </w:r>
      <w:r w:rsidRPr="00937D72">
        <w:rPr>
          <w:i/>
          <w:iCs/>
        </w:rPr>
        <w:t>IEEE Transactions on Geoscience and Remote Sensing</w:t>
      </w:r>
      <w:r w:rsidRPr="00937D72">
        <w:t xml:space="preserve">, </w:t>
      </w:r>
      <w:r w:rsidRPr="00937D72">
        <w:rPr>
          <w:i/>
          <w:iCs/>
        </w:rPr>
        <w:t>59</w:t>
      </w:r>
      <w:r w:rsidRPr="00937D72">
        <w:t>(1), 663–674. https://doi.org/10.1109/TGRS.2020.2989216</w:t>
      </w:r>
    </w:p>
    <w:p w14:paraId="71A7EEBC" w14:textId="77777777" w:rsidR="00937D72" w:rsidRPr="00937D72" w:rsidRDefault="00937D72" w:rsidP="001643E6">
      <w:pPr>
        <w:pStyle w:val="Bibliography"/>
      </w:pPr>
      <w:r w:rsidRPr="00937D72">
        <w:t xml:space="preserve">Salter, I., Brandner, M., Djurhuus, A., Præbel, K., &amp; Wangensteen, O. (2026). Comparison of Environmental </w:t>
      </w:r>
      <w:r w:rsidRPr="00937D72">
        <w:rPr>
          <w:smallCaps/>
        </w:rPr>
        <w:t>DNA</w:t>
      </w:r>
      <w:r w:rsidRPr="00937D72">
        <w:t xml:space="preserve"> Metabarcoding and Trawl Data Highlights Gear Selectivity of Marine Demersal Fish Surveys on the Faroese Plateau. </w:t>
      </w:r>
      <w:r w:rsidRPr="00937D72">
        <w:rPr>
          <w:i/>
          <w:iCs/>
        </w:rPr>
        <w:t>Environmental DNA</w:t>
      </w:r>
      <w:r w:rsidRPr="00937D72">
        <w:t xml:space="preserve">, </w:t>
      </w:r>
      <w:r w:rsidRPr="00937D72">
        <w:rPr>
          <w:i/>
          <w:iCs/>
        </w:rPr>
        <w:t>8</w:t>
      </w:r>
      <w:r w:rsidRPr="00937D72">
        <w:t>(2), e70253. https://doi.org/10.1002/edn3.70253</w:t>
      </w:r>
    </w:p>
    <w:p w14:paraId="527E8EF1" w14:textId="77777777" w:rsidR="00937D72" w:rsidRPr="00937D72" w:rsidRDefault="00937D72" w:rsidP="001643E6">
      <w:pPr>
        <w:pStyle w:val="Bibliography"/>
      </w:pPr>
      <w:r w:rsidRPr="00937D72">
        <w:lastRenderedPageBreak/>
        <w:t xml:space="preserve">Schweiger, A. H., Irl, S. D. H., Steinbauer, M. J., Dengler, J., &amp; Beierkuhnlein, C. (2016). Optimizing sampling approaches along ecological gradients. </w:t>
      </w:r>
      <w:r w:rsidRPr="00937D72">
        <w:rPr>
          <w:i/>
          <w:iCs/>
        </w:rPr>
        <w:t>Methods in Ecology and Evolution</w:t>
      </w:r>
      <w:r w:rsidRPr="00937D72">
        <w:t xml:space="preserve">, </w:t>
      </w:r>
      <w:r w:rsidRPr="00937D72">
        <w:rPr>
          <w:i/>
          <w:iCs/>
        </w:rPr>
        <w:t>7</w:t>
      </w:r>
      <w:r w:rsidRPr="00937D72">
        <w:t>(4), 463–471. https://doi.org/10.1111/2041-210X.12495</w:t>
      </w:r>
    </w:p>
    <w:p w14:paraId="5C3E9BED" w14:textId="77777777" w:rsidR="00937D72" w:rsidRPr="00937D72" w:rsidRDefault="00937D72" w:rsidP="001643E6">
      <w:pPr>
        <w:pStyle w:val="Bibliography"/>
      </w:pPr>
      <w:r w:rsidRPr="00937D72">
        <w:t xml:space="preserve">Shaffer, M. R., Andruszkiewicz Allan, E., Van Cise, A. M., Parsons, K. M., Shelton, A. O., &amp; Kelly, R. P. (2025). Observation Bias in Metabarcoding. </w:t>
      </w:r>
      <w:r w:rsidRPr="00937D72">
        <w:rPr>
          <w:i/>
          <w:iCs/>
        </w:rPr>
        <w:t>Molecular Ecology Resources</w:t>
      </w:r>
      <w:r w:rsidRPr="00937D72">
        <w:t xml:space="preserve">, </w:t>
      </w:r>
      <w:r w:rsidRPr="00937D72">
        <w:rPr>
          <w:i/>
          <w:iCs/>
        </w:rPr>
        <w:t>25</w:t>
      </w:r>
      <w:r w:rsidRPr="00937D72">
        <w:t>(7), e14119. https://doi.org/10.1111/1755-0998.14119</w:t>
      </w:r>
    </w:p>
    <w:p w14:paraId="68F0ADE9" w14:textId="77777777" w:rsidR="00937D72" w:rsidRPr="00937D72" w:rsidRDefault="00937D72" w:rsidP="001643E6">
      <w:pPr>
        <w:pStyle w:val="Bibliography"/>
      </w:pPr>
      <w:r w:rsidRPr="00937D72">
        <w:t xml:space="preserve">Shelton, A. O., Ramón-Laca, A., Wells, A., Clemons, J., Chu, D., Feist, B. E., Kelly, R. P., Parker-Stetter, S. L., Thomas, R., Nichols, K. M., &amp; Park, L. (2022). Environmental DNA provides quantitative estimates of Pacific hake abundance and distribution in the open ocean. </w:t>
      </w:r>
      <w:r w:rsidRPr="00937D72">
        <w:rPr>
          <w:i/>
          <w:iCs/>
        </w:rPr>
        <w:t>Proceedings of the Royal Society B: Biological Sciences</w:t>
      </w:r>
      <w:r w:rsidRPr="00937D72">
        <w:t xml:space="preserve">, </w:t>
      </w:r>
      <w:r w:rsidRPr="00937D72">
        <w:rPr>
          <w:i/>
          <w:iCs/>
        </w:rPr>
        <w:t>289</w:t>
      </w:r>
      <w:r w:rsidRPr="00937D72">
        <w:t>(1971), 20212613. https://doi.org/https://doi.org/10.1098/rspb.2021.2613</w:t>
      </w:r>
    </w:p>
    <w:p w14:paraId="744CA32D" w14:textId="77777777" w:rsidR="00937D72" w:rsidRPr="00937D72" w:rsidRDefault="00937D72" w:rsidP="001643E6">
      <w:pPr>
        <w:pStyle w:val="Bibliography"/>
      </w:pPr>
      <w:r w:rsidRPr="00937D72">
        <w:t xml:space="preserve">Stan Development Team. (2023). </w:t>
      </w:r>
      <w:r w:rsidRPr="00937D72">
        <w:rPr>
          <w:i/>
          <w:iCs/>
        </w:rPr>
        <w:t>Stan Modeling Language Users Guide and Reference Manual</w:t>
      </w:r>
      <w:r w:rsidRPr="00937D72">
        <w:t xml:space="preserve"> (Version 2.26.1) [Computer software]. https://mc-stan.org/</w:t>
      </w:r>
    </w:p>
    <w:p w14:paraId="3B1CE5E4" w14:textId="77777777" w:rsidR="00937D72" w:rsidRPr="00937D72" w:rsidRDefault="00937D72" w:rsidP="001643E6">
      <w:pPr>
        <w:pStyle w:val="Bibliography"/>
      </w:pPr>
      <w:r w:rsidRPr="00937D72">
        <w:t xml:space="preserve">Stein, A., &amp; Ettema, C. (2003). An overview of spatial sampling procedures and experimental design of spatial studies for ecosystem comparisons. </w:t>
      </w:r>
      <w:r w:rsidRPr="00937D72">
        <w:rPr>
          <w:i/>
          <w:iCs/>
        </w:rPr>
        <w:t>Agriculture, Ecosystems &amp; Environment</w:t>
      </w:r>
      <w:r w:rsidRPr="00937D72">
        <w:t xml:space="preserve">, </w:t>
      </w:r>
      <w:r w:rsidRPr="00937D72">
        <w:rPr>
          <w:i/>
          <w:iCs/>
        </w:rPr>
        <w:t>94</w:t>
      </w:r>
      <w:r w:rsidRPr="00937D72">
        <w:t>(1), 31–47. https://doi.org/10.1016/S0167-8809(02)00013-0</w:t>
      </w:r>
    </w:p>
    <w:p w14:paraId="5EAC2EEC" w14:textId="77777777" w:rsidR="00937D72" w:rsidRPr="00937D72" w:rsidRDefault="00937D72" w:rsidP="001643E6">
      <w:pPr>
        <w:pStyle w:val="Bibliography"/>
      </w:pPr>
      <w:r w:rsidRPr="00937D72">
        <w:t xml:space="preserve">Taberlet, P., Coissac, E., Hajibabaei, M., &amp; Rieseberg, L. H. (2012). Environmental DNA. </w:t>
      </w:r>
      <w:r w:rsidRPr="00937D72">
        <w:rPr>
          <w:i/>
          <w:iCs/>
        </w:rPr>
        <w:t>Molecular Ecology</w:t>
      </w:r>
      <w:r w:rsidRPr="00937D72">
        <w:t xml:space="preserve">, </w:t>
      </w:r>
      <w:r w:rsidRPr="00937D72">
        <w:rPr>
          <w:i/>
          <w:iCs/>
        </w:rPr>
        <w:t>21</w:t>
      </w:r>
      <w:r w:rsidRPr="00937D72">
        <w:t>(8), 1789–1793. https://doi.org/10.1111/j.1365-294X.2012.05542.x</w:t>
      </w:r>
    </w:p>
    <w:p w14:paraId="0E90FE70" w14:textId="77777777" w:rsidR="00937D72" w:rsidRPr="00937D72" w:rsidRDefault="00937D72" w:rsidP="001643E6">
      <w:pPr>
        <w:pStyle w:val="Bibliography"/>
      </w:pPr>
      <w:r w:rsidRPr="00937D72">
        <w:t xml:space="preserve">Tarugara, A., Clegg, B. W., Gandiwa, E., &amp; Muposhi, V. K. (2019). Cost-benefit analysis of increasing sampling effort in a baited-camera trap survey of an African leopard (Panthera pardus) population. </w:t>
      </w:r>
      <w:r w:rsidRPr="00937D72">
        <w:rPr>
          <w:i/>
          <w:iCs/>
        </w:rPr>
        <w:t>Global Ecology and Conservation</w:t>
      </w:r>
      <w:r w:rsidRPr="00937D72">
        <w:t xml:space="preserve">, </w:t>
      </w:r>
      <w:r w:rsidRPr="00937D72">
        <w:rPr>
          <w:i/>
          <w:iCs/>
        </w:rPr>
        <w:t>18</w:t>
      </w:r>
      <w:r w:rsidRPr="00937D72">
        <w:t>, e00627. https://doi.org/10.1016/j.gecco.2019.e00627</w:t>
      </w:r>
    </w:p>
    <w:p w14:paraId="6B7DB4F9" w14:textId="77777777" w:rsidR="00937D72" w:rsidRPr="00937D72" w:rsidRDefault="00937D72" w:rsidP="001643E6">
      <w:pPr>
        <w:pStyle w:val="Bibliography"/>
      </w:pPr>
      <w:r w:rsidRPr="00937D72">
        <w:t xml:space="preserve">Thiele, J., Schulte Auf’M Erley, G., Glemnitz, M., &amp; Gabriel, D. (2023). Efficiency of spatial sampling designs in estimating abundance and species richness of carabids at the landscape level. </w:t>
      </w:r>
      <w:r w:rsidRPr="00937D72">
        <w:rPr>
          <w:i/>
          <w:iCs/>
        </w:rPr>
        <w:t>Landscape Ecology</w:t>
      </w:r>
      <w:r w:rsidRPr="00937D72">
        <w:t xml:space="preserve">, </w:t>
      </w:r>
      <w:r w:rsidRPr="00937D72">
        <w:rPr>
          <w:i/>
          <w:iCs/>
        </w:rPr>
        <w:t>38</w:t>
      </w:r>
      <w:r w:rsidRPr="00937D72">
        <w:t>(4), 919–932. https://doi.org/10.1007/s10980-023-01605-1</w:t>
      </w:r>
    </w:p>
    <w:p w14:paraId="5094ADB1" w14:textId="77777777" w:rsidR="00937D72" w:rsidRPr="00937D72" w:rsidRDefault="00937D72" w:rsidP="001643E6">
      <w:pPr>
        <w:pStyle w:val="Bibliography"/>
      </w:pPr>
      <w:r w:rsidRPr="00937D72">
        <w:lastRenderedPageBreak/>
        <w:t xml:space="preserve">Thorson, J. T., Shelton, A. O., Ward, E. J., &amp; Skaug, H. J. (2015). Geostatistical delta-generalized linear mixed models improve precision for estimated abundance indices for West Coast groundfishes. </w:t>
      </w:r>
      <w:r w:rsidRPr="00937D72">
        <w:rPr>
          <w:i/>
          <w:iCs/>
        </w:rPr>
        <w:t>ICES Journal of Marine Science</w:t>
      </w:r>
      <w:r w:rsidRPr="00937D72">
        <w:t xml:space="preserve">, </w:t>
      </w:r>
      <w:r w:rsidRPr="00937D72">
        <w:rPr>
          <w:i/>
          <w:iCs/>
        </w:rPr>
        <w:t>72</w:t>
      </w:r>
      <w:r w:rsidRPr="00937D72">
        <w:t>(5), 1297–1310. https://doi.org/10.1093/icesjms/fsu243</w:t>
      </w:r>
    </w:p>
    <w:p w14:paraId="72D83517" w14:textId="77777777" w:rsidR="00937D72" w:rsidRPr="00937D72" w:rsidRDefault="00937D72" w:rsidP="001643E6">
      <w:pPr>
        <w:pStyle w:val="Bibliography"/>
      </w:pPr>
      <w:r w:rsidRPr="00937D72">
        <w:t xml:space="preserve">Wagner, H. H., &amp; Fortin, M.-J. (2005). Spatial analysis of landscapes: Concepts and statistics. </w:t>
      </w:r>
      <w:r w:rsidRPr="00937D72">
        <w:rPr>
          <w:i/>
          <w:iCs/>
        </w:rPr>
        <w:t>Ecology</w:t>
      </w:r>
      <w:r w:rsidRPr="00937D72">
        <w:t xml:space="preserve">, </w:t>
      </w:r>
      <w:r w:rsidRPr="00937D72">
        <w:rPr>
          <w:i/>
          <w:iCs/>
        </w:rPr>
        <w:t>86</w:t>
      </w:r>
      <w:r w:rsidRPr="00937D72">
        <w:t>(8), 1975–1987. https://doi.org/10.1890/04-0914</w:t>
      </w:r>
    </w:p>
    <w:p w14:paraId="6B79B2BB" w14:textId="77777777" w:rsidR="00937D72" w:rsidRPr="00937D72" w:rsidRDefault="00937D72" w:rsidP="001643E6">
      <w:pPr>
        <w:pStyle w:val="Bibliography"/>
      </w:pPr>
      <w:r w:rsidRPr="00937D72">
        <w:t xml:space="preserve">Xu, B., Zhang, C., Xue, Y., Ren, Y., &amp; Chen, Y. (2015). Optimization of sampling effort for a fishery-independent survey with multiple goals. </w:t>
      </w:r>
      <w:r w:rsidRPr="00937D72">
        <w:rPr>
          <w:i/>
          <w:iCs/>
        </w:rPr>
        <w:t>Environmental Monitoring and Assessment</w:t>
      </w:r>
      <w:r w:rsidRPr="00937D72">
        <w:t xml:space="preserve">, </w:t>
      </w:r>
      <w:r w:rsidRPr="00937D72">
        <w:rPr>
          <w:i/>
          <w:iCs/>
        </w:rPr>
        <w:t>187</w:t>
      </w:r>
      <w:r w:rsidRPr="00937D72">
        <w:t>(5). https://doi.org/10.1007/s10661-015-4483-9</w:t>
      </w:r>
    </w:p>
    <w:p w14:paraId="36CAA80B" w14:textId="77777777" w:rsidR="00937D72" w:rsidRPr="00937D72" w:rsidRDefault="00937D72" w:rsidP="001643E6">
      <w:pPr>
        <w:pStyle w:val="Bibliography"/>
      </w:pPr>
      <w:r w:rsidRPr="00937D72">
        <w:t xml:space="preserve">Yoccoz, N. G., Nichols, J. D., &amp; Boulinier, T. (2001). Monitoring of biological diversity in space and time. </w:t>
      </w:r>
      <w:r w:rsidRPr="00937D72">
        <w:rPr>
          <w:i/>
          <w:iCs/>
        </w:rPr>
        <w:t>Trends in Ecology &amp; Evolution</w:t>
      </w:r>
      <w:r w:rsidRPr="00937D72">
        <w:t xml:space="preserve">, </w:t>
      </w:r>
      <w:r w:rsidRPr="00937D72">
        <w:rPr>
          <w:i/>
          <w:iCs/>
        </w:rPr>
        <w:t>16</w:t>
      </w:r>
      <w:r w:rsidRPr="00937D72">
        <w:t>(8), 446–453. https://doi.org/10.1016/S0169-5347(01)02205-4</w:t>
      </w:r>
    </w:p>
    <w:p w14:paraId="179D8E6E" w14:textId="77777777" w:rsidR="00937D72" w:rsidRPr="00937D72" w:rsidRDefault="00937D72" w:rsidP="001643E6">
      <w:pPr>
        <w:pStyle w:val="Bibliography"/>
      </w:pPr>
      <w:r w:rsidRPr="00937D72">
        <w:t xml:space="preserve">Zhao, J., Yang, K., &amp; Ma, J. (2022). Optimization of Sampling Effort for Different Fishery Groups in the Yangtze River Estuary, China. </w:t>
      </w:r>
      <w:r w:rsidRPr="00937D72">
        <w:rPr>
          <w:i/>
          <w:iCs/>
        </w:rPr>
        <w:t>Marine and Coastal Fisheries</w:t>
      </w:r>
      <w:r w:rsidRPr="00937D72">
        <w:t xml:space="preserve">, </w:t>
      </w:r>
      <w:r w:rsidRPr="00937D72">
        <w:rPr>
          <w:i/>
          <w:iCs/>
        </w:rPr>
        <w:t>14</w:t>
      </w:r>
      <w:r w:rsidRPr="00937D72">
        <w:t>(4). https://doi.org/10.1002/mcf2.10214</w:t>
      </w:r>
    </w:p>
    <w:p w14:paraId="5940244E" w14:textId="126DE309" w:rsidR="000974AE" w:rsidRDefault="00F553D1" w:rsidP="001643E6">
      <w:pPr>
        <w:pStyle w:val="Bibliography"/>
      </w:pPr>
      <w:r w:rsidRPr="007A589B">
        <w:rPr>
          <w:rFonts w:cs="Times New Roman"/>
        </w:rPr>
        <w:fldChar w:fldCharType="end"/>
      </w:r>
      <w:r w:rsidR="000974AE">
        <w:br w:type="page"/>
      </w:r>
    </w:p>
    <w:sectPr w:rsidR="000974AE" w:rsidSect="00FE50DF">
      <w:footerReference w:type="even" r:id="rId18"/>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16E47" w14:textId="77777777" w:rsidR="00B74108" w:rsidRDefault="00B74108" w:rsidP="009A2297">
      <w:pPr>
        <w:spacing w:after="0"/>
      </w:pPr>
      <w:r>
        <w:separator/>
      </w:r>
    </w:p>
  </w:endnote>
  <w:endnote w:type="continuationSeparator" w:id="0">
    <w:p w14:paraId="2D5B728D" w14:textId="77777777" w:rsidR="00B74108" w:rsidRDefault="00B74108"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75695C" w14:textId="77777777" w:rsidR="00B74108" w:rsidRDefault="00B74108" w:rsidP="009A2297">
      <w:pPr>
        <w:spacing w:after="0"/>
      </w:pPr>
      <w:r>
        <w:separator/>
      </w:r>
    </w:p>
  </w:footnote>
  <w:footnote w:type="continuationSeparator" w:id="0">
    <w:p w14:paraId="431561C2" w14:textId="77777777" w:rsidR="00B74108" w:rsidRDefault="00B74108"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94C"/>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github.com/gledguri/Smart-eDNA-samplin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42</Pages>
  <Words>37457</Words>
  <Characters>213506</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250463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25</cp:revision>
  <cp:lastPrinted>2026-04-15T23:13:00Z</cp:lastPrinted>
  <dcterms:created xsi:type="dcterms:W3CDTF">2026-07-02T19:48:00Z</dcterms:created>
  <dcterms:modified xsi:type="dcterms:W3CDTF">2026-07-03T20:57:00Z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zotero-version="9.0.4"&gt;&lt;session id="LUEis6zL"/&gt;&lt;style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