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r w:rsidRPr="00C40337">
        <w:rPr>
          <w:rFonts w:ascii="Times New Roman" w:hAnsi="Times New Roman" w:cs="Times New Roman"/>
        </w:rPr>
        <w:t>Smart eDNA sampling strategies: spatial autocorrelation can guide efficient survey design</w:t>
      </w:r>
    </w:p>
    <w:p w14:paraId="5516F167" w14:textId="4B1CA171" w:rsidR="0032076E" w:rsidRPr="00C40337" w:rsidRDefault="00D04708" w:rsidP="005E765B">
      <w:pPr>
        <w:pStyle w:val="Author"/>
        <w:spacing w:after="0" w:line="360" w:lineRule="auto"/>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00140286" w:rsidRPr="00C40337">
        <w:rPr>
          <w:rFonts w:ascii="Times New Roman" w:hAnsi="Times New Roman" w:cs="Times New Roman"/>
        </w:rPr>
        <w:t>,</w:t>
      </w:r>
      <w:r w:rsidR="00C40337">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00140286" w:rsidRPr="00C40337">
        <w:rPr>
          <w:rFonts w:ascii="Times New Roman" w:hAnsi="Times New Roman" w:cs="Times New Roman"/>
        </w:rPr>
        <w:t xml:space="preserve">, </w:t>
      </w:r>
      <w:r w:rsidR="00C87744">
        <w:rPr>
          <w:rFonts w:ascii="Times New Roman" w:hAnsi="Times New Roman" w:cs="Times New Roman"/>
        </w:rPr>
        <w:t xml:space="preserve">Andrew </w:t>
      </w:r>
      <w:r w:rsidR="00C87744" w:rsidRPr="00C40337">
        <w:rPr>
          <w:rFonts w:ascii="Times New Roman" w:hAnsi="Times New Roman" w:cs="Times New Roman"/>
        </w:rPr>
        <w:t>O</w:t>
      </w:r>
      <w:r w:rsidR="00C87744">
        <w:rPr>
          <w:rFonts w:ascii="Times New Roman" w:hAnsi="Times New Roman" w:cs="Times New Roman"/>
        </w:rPr>
        <w:t>.</w:t>
      </w:r>
      <w:r w:rsidR="00C87744" w:rsidRPr="00C40337">
        <w:rPr>
          <w:rFonts w:ascii="Times New Roman" w:hAnsi="Times New Roman" w:cs="Times New Roman"/>
        </w:rPr>
        <w:t xml:space="preserve"> </w:t>
      </w:r>
      <w:r w:rsidRPr="00C40337">
        <w:rPr>
          <w:rFonts w:ascii="Times New Roman" w:hAnsi="Times New Roman" w:cs="Times New Roman"/>
        </w:rPr>
        <w:t>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00140286" w:rsidRPr="00C40337">
        <w:rPr>
          <w:rFonts w:ascii="Times New Roman" w:hAnsi="Times New Roman" w:cs="Times New Roman"/>
        </w:rPr>
        <w:t xml:space="preserve">, </w:t>
      </w:r>
      <w:r w:rsidR="00C40337" w:rsidRPr="00C40337">
        <w:rPr>
          <w:rFonts w:ascii="Times New Roman" w:hAnsi="Times New Roman" w:cs="Times New Roman"/>
        </w:rPr>
        <w:t xml:space="preserve">Owen </w:t>
      </w:r>
      <w:r w:rsidR="00056B67">
        <w:rPr>
          <w:rFonts w:ascii="Times New Roman" w:hAnsi="Times New Roman" w:cs="Times New Roman"/>
        </w:rPr>
        <w:t xml:space="preserve">R. </w:t>
      </w:r>
      <w:r w:rsidR="00C40337" w:rsidRPr="00C40337">
        <w:rPr>
          <w:rFonts w:ascii="Times New Roman" w:hAnsi="Times New Roman" w:cs="Times New Roman"/>
        </w:rPr>
        <w:t>Liu</w:t>
      </w:r>
      <w:r w:rsidR="00056B67">
        <w:rPr>
          <w:rFonts w:ascii="Times New Roman" w:hAnsi="Times New Roman" w:cs="Times New Roman"/>
          <w:vertAlign w:val="superscript"/>
        </w:rPr>
        <w:t>3</w:t>
      </w:r>
      <w:r w:rsidR="00C40337">
        <w:rPr>
          <w:rFonts w:ascii="Times New Roman" w:hAnsi="Times New Roman" w:cs="Times New Roman"/>
        </w:rPr>
        <w:t>,</w:t>
      </w:r>
      <w:r w:rsidR="00C40337" w:rsidRPr="00C40337">
        <w:rPr>
          <w:rFonts w:ascii="Times New Roman" w:hAnsi="Times New Roman" w:cs="Times New Roman"/>
        </w:rPr>
        <w:t xml:space="preserve"> </w:t>
      </w:r>
      <w:r w:rsidRPr="00C40337">
        <w:rPr>
          <w:rFonts w:ascii="Times New Roman" w:hAnsi="Times New Roman" w:cs="Times New Roman"/>
        </w:rPr>
        <w:t>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101BFB">
            <w:pPr>
              <w:pStyle w:val="Compact"/>
            </w:pPr>
            <w:r w:rsidRPr="00C40337">
              <w:t>1</w:t>
            </w:r>
          </w:p>
        </w:tc>
        <w:tc>
          <w:tcPr>
            <w:tcW w:w="0" w:type="auto"/>
          </w:tcPr>
          <w:p w14:paraId="5516F16B" w14:textId="77777777" w:rsidR="0032076E" w:rsidRPr="00C40337" w:rsidRDefault="00D04708" w:rsidP="00101BFB">
            <w:pPr>
              <w:pStyle w:val="Compact"/>
            </w:pPr>
            <w:r w:rsidRPr="00C40337">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101BFB">
            <w:pPr>
              <w:pStyle w:val="Compact"/>
            </w:pPr>
            <w:r w:rsidRPr="00C40337">
              <w:t>2</w:t>
            </w:r>
          </w:p>
        </w:tc>
        <w:tc>
          <w:tcPr>
            <w:tcW w:w="0" w:type="auto"/>
          </w:tcPr>
          <w:p w14:paraId="5516F16E" w14:textId="7EB1D1F9" w:rsidR="0032076E" w:rsidRPr="00C40337" w:rsidRDefault="00D04708" w:rsidP="00101BFB">
            <w:pPr>
              <w:pStyle w:val="Compact"/>
            </w:pPr>
            <w:r w:rsidRPr="00C40337">
              <w:t>Conservation Biology Division, Northwest Fisheries Science Center, NOAA Fisheries,</w:t>
            </w:r>
            <w:r w:rsidR="005E765B">
              <w:t xml:space="preserve"> </w:t>
            </w:r>
            <w:r w:rsidR="005E765B" w:rsidRPr="005E765B">
              <w:t>Montlake Blvd E. Seattle, Washington, USA</w:t>
            </w:r>
          </w:p>
        </w:tc>
      </w:tr>
      <w:tr w:rsidR="0032076E" w:rsidRPr="00C40337" w14:paraId="5516F172" w14:textId="77777777" w:rsidTr="005E765B">
        <w:tc>
          <w:tcPr>
            <w:tcW w:w="0" w:type="auto"/>
          </w:tcPr>
          <w:p w14:paraId="5516F170" w14:textId="7E50FE0C" w:rsidR="0032076E" w:rsidRPr="00C40337" w:rsidRDefault="005E765B" w:rsidP="00101BFB">
            <w:pPr>
              <w:pStyle w:val="Compact"/>
            </w:pPr>
            <w:r>
              <w:t>3</w:t>
            </w:r>
          </w:p>
        </w:tc>
        <w:tc>
          <w:tcPr>
            <w:tcW w:w="0" w:type="auto"/>
          </w:tcPr>
          <w:p w14:paraId="68876C7C" w14:textId="260617C8" w:rsidR="00056B67" w:rsidRDefault="00056B67" w:rsidP="00101BFB">
            <w:pPr>
              <w:pStyle w:val="Compact"/>
            </w:pPr>
            <w:r>
              <w:t>School of Aquatic and Fishery Sciences, University of Washington, Seattle, Washington, USA</w:t>
            </w:r>
          </w:p>
          <w:p w14:paraId="5516F171" w14:textId="77777777" w:rsidR="00056B67" w:rsidRPr="00C40337" w:rsidRDefault="00056B67" w:rsidP="00101BFB">
            <w:pPr>
              <w:pStyle w:val="Compact"/>
            </w:pPr>
          </w:p>
        </w:tc>
      </w:tr>
      <w:tr w:rsidR="0032076E" w:rsidRPr="00C40337" w14:paraId="5516F175" w14:textId="77777777" w:rsidTr="005E765B">
        <w:tc>
          <w:tcPr>
            <w:tcW w:w="0" w:type="auto"/>
          </w:tcPr>
          <w:p w14:paraId="5516F173" w14:textId="77777777" w:rsidR="0032076E" w:rsidRPr="00C40337" w:rsidRDefault="0032076E" w:rsidP="00101BFB">
            <w:pPr>
              <w:pStyle w:val="Compact"/>
            </w:pPr>
          </w:p>
        </w:tc>
        <w:tc>
          <w:tcPr>
            <w:tcW w:w="0" w:type="auto"/>
          </w:tcPr>
          <w:p w14:paraId="70C9E80A" w14:textId="67098AAB" w:rsidR="0032076E" w:rsidRPr="00C40337" w:rsidRDefault="00D04708" w:rsidP="00101BFB">
            <w:pPr>
              <w:pStyle w:val="Compact"/>
              <w:rPr>
                <w:b/>
              </w:rPr>
            </w:pPr>
            <w:r w:rsidRPr="00C40337">
              <w:t xml:space="preserve">corresponding author </w:t>
            </w:r>
            <w:hyperlink r:id="rId11" w:history="1">
              <w:r w:rsidR="00D477E6" w:rsidRPr="00C40337">
                <w:rPr>
                  <w:rStyle w:val="Hyperlink"/>
                  <w:rFonts w:cs="Times New Roman"/>
                  <w:b/>
                </w:rPr>
                <w:t>gguri@uw.edu</w:t>
              </w:r>
            </w:hyperlink>
          </w:p>
          <w:p w14:paraId="5516F174" w14:textId="77777777" w:rsidR="00D477E6" w:rsidRPr="00C40337" w:rsidRDefault="00D477E6" w:rsidP="00101BFB">
            <w:pPr>
              <w:pStyle w:val="Compact"/>
            </w:pPr>
          </w:p>
        </w:tc>
      </w:tr>
    </w:tbl>
    <w:p w14:paraId="5516F176" w14:textId="77777777" w:rsidR="0032076E" w:rsidRDefault="00D04708" w:rsidP="00F82C02">
      <w:pPr>
        <w:pStyle w:val="Heading1"/>
        <w:spacing w:before="0" w:after="0" w:line="360" w:lineRule="auto"/>
      </w:pPr>
      <w:bookmarkStart w:id="1" w:name="abstract"/>
      <w:bookmarkEnd w:id="0"/>
      <w:r>
        <w:t>Abstract</w:t>
      </w:r>
    </w:p>
    <w:p w14:paraId="76C1BD25" w14:textId="3791E391" w:rsidR="00D477E6" w:rsidRDefault="003B5D12" w:rsidP="00101BFB">
      <w:pPr>
        <w:pStyle w:val="BodyText"/>
      </w:pPr>
      <w:r w:rsidRPr="003B5D12">
        <w: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w:t>
      </w:r>
      <w:r w:rsidRPr="003B5D12">
        <w:lastRenderedPageBreak/>
        <w:t xml:space="preserve">maximize inference accuracy and efficiency. Prediction accuracy improved with higher spatial autocorrelation and increasing sampling density with the largest marginal gains in accuracy occurring in our </w:t>
      </w:r>
      <w:proofErr w:type="gramStart"/>
      <w:r w:rsidRPr="003B5D12">
        <w:t>particular use-case</w:t>
      </w:r>
      <w:proofErr w:type="gramEnd"/>
      <w:r w:rsidRPr="003B5D12">
        <w:t xml:space="preserve"> at around 4-9 samples per 10000 km</w:t>
      </w:r>
      <w:r w:rsidRPr="004762FC">
        <w:rPr>
          <w:vertAlign w:val="superscript"/>
        </w:rPr>
        <w:t>2</w:t>
      </w:r>
      <w:r w:rsidR="00ED1A95" w:rsidRPr="00ED1A95">
        <w:t xml:space="preserve"> per depth layer across the five sampled depth strata</w:t>
      </w:r>
      <w:r w:rsidR="00ED1A95">
        <w:t>.</w:t>
      </w:r>
      <w:r w:rsidRPr="003B5D12">
        <w:t xml:space="preserve"> </w:t>
      </w:r>
      <w:r w:rsidR="00F81883">
        <w:t>Additionally, GP parameter recovery under reduced sampling effort showed diminishing returns, with little marginal gain past 6 samples per</w:t>
      </w:r>
      <w:r w:rsidR="00F81883" w:rsidRPr="003B5D12">
        <w:t xml:space="preserve"> </w:t>
      </w:r>
      <w:r w:rsidRPr="003B5D12">
        <w:t>10000 km</w:t>
      </w:r>
      <w:r w:rsidRPr="004762FC">
        <w:rPr>
          <w:vertAlign w:val="superscript"/>
        </w:rPr>
        <w:t>2</w:t>
      </w:r>
      <w:r w:rsidRPr="003B5D12">
        <w: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t>
      </w:r>
    </w:p>
    <w:p w14:paraId="4345CD1D" w14:textId="77777777" w:rsidR="003B5D12" w:rsidRPr="00915163" w:rsidRDefault="003B5D12" w:rsidP="00101BFB">
      <w:pPr>
        <w:pStyle w:val="BodyText"/>
      </w:pPr>
    </w:p>
    <w:p w14:paraId="5516F177" w14:textId="548551F0" w:rsidR="0032076E" w:rsidRDefault="00D04708" w:rsidP="00101BFB">
      <w:pPr>
        <w:pStyle w:val="FirstParagraph"/>
      </w:pPr>
      <w:r>
        <w:rPr>
          <w:b/>
        </w:rPr>
        <w:t>Keywords</w:t>
      </w:r>
      <w:r>
        <w:t>:</w:t>
      </w:r>
      <w:r w:rsidR="00BC6D1B">
        <w:t xml:space="preserve"> eDNA, metabarcoding, fish, spatial, gaussian process, </w:t>
      </w:r>
      <w:r w:rsidR="00D477E6">
        <w:t>Bayesian</w:t>
      </w:r>
    </w:p>
    <w:p w14:paraId="6B62DA99" w14:textId="77777777" w:rsidR="00D477E6" w:rsidRPr="00D477E6" w:rsidRDefault="00D477E6" w:rsidP="00101BFB">
      <w:pPr>
        <w:pStyle w:val="BodyText"/>
      </w:pPr>
    </w:p>
    <w:p w14:paraId="5516F178" w14:textId="77777777" w:rsidR="0032076E" w:rsidRDefault="00D04708" w:rsidP="00BC2A9B">
      <w:pPr>
        <w:pStyle w:val="Heading1"/>
        <w:spacing w:before="0" w:after="0" w:line="360" w:lineRule="auto"/>
      </w:pPr>
      <w:bookmarkStart w:id="2" w:name="introduction"/>
      <w:bookmarkEnd w:id="1"/>
      <w:r>
        <w:t>Introduction</w:t>
      </w:r>
    </w:p>
    <w:p w14:paraId="12A3A315" w14:textId="0C5680B7" w:rsidR="00E656D3" w:rsidRDefault="00686350" w:rsidP="00101BFB">
      <w:pPr>
        <w:pStyle w:val="BodyText"/>
      </w:pPr>
      <w:bookmarkStart w:id="3" w:name="OLE_LINK9"/>
      <w:r w:rsidRPr="00686350">
        <w:t>Appropriate sampling design plays a critical role in accurately assessing species distributions, forming the foundation for evidence-based ecological inference and resource management</w:t>
      </w:r>
      <w:r w:rsidR="00D829D6">
        <w:t xml:space="preserve"> </w:t>
      </w:r>
      <w:r w:rsidR="00F8348C">
        <w:fldChar w:fldCharType="begin"/>
      </w:r>
      <w:r w:rsidR="00E456BF">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F8348C">
        <w:fldChar w:fldCharType="separate"/>
      </w:r>
      <w:r w:rsidR="00E456BF">
        <w:rPr>
          <w:noProof/>
        </w:rPr>
        <w:t>(Yoccoz et al., 2001)</w:t>
      </w:r>
      <w:r w:rsidR="00F8348C">
        <w:fldChar w:fldCharType="end"/>
      </w:r>
      <w:r>
        <w:t xml:space="preserve">. </w:t>
      </w:r>
      <w:r w:rsidR="00E656D3" w:rsidRPr="00E656D3">
        <w:t>Across ecological systems, indices of abundance and distribution are commonly derived from a range of survey approaches, including capture-based methods</w:t>
      </w:r>
      <w:r w:rsidR="009A606B">
        <w:t xml:space="preserve"> </w:t>
      </w:r>
      <w:r w:rsidR="00E456BF">
        <w:fldChar w:fldCharType="begin"/>
      </w:r>
      <w:r w:rsidR="00EE63D1">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r>
      <w:r w:rsidR="00E456BF">
        <w:fldChar w:fldCharType="separate"/>
      </w:r>
      <w:r w:rsidR="00EE63D1">
        <w:rPr>
          <w:noProof/>
        </w:rPr>
        <w:t>(Fraser et al., 2007)</w:t>
      </w:r>
      <w:r w:rsidR="00E456BF">
        <w:fldChar w:fldCharType="end"/>
      </w:r>
      <w:r w:rsidR="00E656D3" w:rsidRPr="00E656D3">
        <w:t>, acoustic techniques</w:t>
      </w:r>
      <w:r w:rsidR="00236259">
        <w:t xml:space="preserve"> </w:t>
      </w:r>
      <w:r w:rsidR="00E456BF">
        <w:fldChar w:fldCharType="begin"/>
      </w:r>
      <w:r w:rsidR="00E456BF">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r>
      <w:r w:rsidR="00E456BF">
        <w:fldChar w:fldCharType="separate"/>
      </w:r>
      <w:r w:rsidR="00E456BF">
        <w:rPr>
          <w:noProof/>
        </w:rPr>
        <w:t>(Lees et al., 2021)</w:t>
      </w:r>
      <w:r w:rsidR="00E456BF">
        <w:fldChar w:fldCharType="end"/>
      </w:r>
      <w:r w:rsidR="00E656D3" w:rsidRPr="00E656D3">
        <w:t>, and direct visual observations</w:t>
      </w:r>
      <w:r w:rsidR="0097055C">
        <w:t xml:space="preserve"> </w:t>
      </w:r>
      <w:r w:rsidR="00EE63D1">
        <w:fldChar w:fldCharType="begin"/>
      </w:r>
      <w:r w:rsidR="00EE63D1">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r>
      <w:r w:rsidR="00EE63D1">
        <w:fldChar w:fldCharType="separate"/>
      </w:r>
      <w:r w:rsidR="00EE63D1">
        <w:rPr>
          <w:noProof/>
        </w:rPr>
        <w:t>(Ip et al., 2025)</w:t>
      </w:r>
      <w:r w:rsidR="00EE63D1">
        <w:fldChar w:fldCharType="end"/>
      </w:r>
      <w:r w:rsidR="00E656D3" w:rsidRPr="00E656D3">
        <w:t xml:space="preserve">. All of these approaches </w:t>
      </w:r>
      <w:r w:rsidR="00B54981">
        <w:t xml:space="preserve">require a sample size appropriate for reliably estimating population parameters including abundance, demographic structure, and spatial distribution patterns </w:t>
      </w:r>
      <w:r w:rsidR="00EE63D1">
        <w:fldChar w:fldCharType="begin"/>
      </w:r>
      <w:r w:rsidR="008A6B47">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EE63D1">
        <w:fldChar w:fldCharType="separate"/>
      </w:r>
      <w:r w:rsidR="008A6B47" w:rsidRPr="008A6B47">
        <w:rPr>
          <w:rFonts w:cs="Times New Roman"/>
        </w:rPr>
        <w:t>(Guillera‐Arroita &amp; Lahoz‐Monfort, 2012; Yoccoz et al., 2001)</w:t>
      </w:r>
      <w:r w:rsidR="00EE63D1">
        <w:fldChar w:fldCharType="end"/>
      </w:r>
      <w:r w:rsidR="00B54981" w:rsidRPr="00B54981">
        <w:t xml:space="preserve"> </w:t>
      </w:r>
      <w:r w:rsidR="00B54981">
        <w:t>This process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01BFB">
      <w:pPr>
        <w:pStyle w:val="BodyText"/>
      </w:pPr>
    </w:p>
    <w:p w14:paraId="0267C06D" w14:textId="47BC6680" w:rsidR="00CE6B24" w:rsidRDefault="0066533A" w:rsidP="00101BFB">
      <w:pPr>
        <w:pStyle w:val="BodyText"/>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In contrast to traditional survey techniques that are typically species-specific or require separate sampling efforts for different taxa, eDNA enables simultaneous, multi-species detection from a single sample</w:t>
      </w:r>
      <w:r w:rsidR="00344228">
        <w:t xml:space="preserve"> </w:t>
      </w:r>
      <w:r w:rsidR="00FA3259">
        <w:fldChar w:fldCharType="begin"/>
      </w:r>
      <w:r w:rsidR="00A45D3E">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FA3259">
        <w:fldChar w:fldCharType="separate"/>
      </w:r>
      <w:r w:rsidR="00A45D3E">
        <w:rPr>
          <w:noProof/>
        </w:rPr>
        <w:t>(Guri et al., 2024)</w:t>
      </w:r>
      <w:r w:rsidR="00FA3259">
        <w:fldChar w:fldCharType="end"/>
      </w:r>
      <w:r>
        <w:t xml:space="preserve">. This holistic approach </w:t>
      </w:r>
      <w:r w:rsidR="003004DE">
        <w:t>promises</w:t>
      </w:r>
      <w:r>
        <w:t xml:space="preserve"> a more comprehensive assessment of community composition while substantially reducing field effort and </w:t>
      </w:r>
      <w:r w:rsidR="00100A8A" w:rsidRPr="00100A8A">
        <w:t>impacts on sampled organisms</w:t>
      </w:r>
      <w:r w:rsidR="00A0357E">
        <w:t xml:space="preserve"> </w:t>
      </w:r>
      <w:r w:rsidR="00A45D3E">
        <w:fldChar w:fldCharType="begin"/>
      </w:r>
      <w:r w:rsidR="00A45D3E">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A45D3E">
        <w:fldChar w:fldCharType="separate"/>
      </w:r>
      <w:r w:rsidR="00A45D3E">
        <w:rPr>
          <w:noProof/>
        </w:rPr>
        <w:t>(Guri et al., 2023)</w:t>
      </w:r>
      <w:r w:rsidR="00A45D3E">
        <w:fldChar w:fldCharType="end"/>
      </w:r>
      <w:r w:rsidR="00C72FBD">
        <w:t xml:space="preserve">. </w:t>
      </w:r>
      <w:r w:rsidR="00C72FBD" w:rsidRPr="00C72FBD">
        <w:t xml:space="preserve">Recent synthesis work shows that eDNA methods have matured sufficiently for key </w:t>
      </w:r>
      <w:r w:rsidR="00C72FBD" w:rsidRPr="00C72FBD">
        <w:lastRenderedPageBreak/>
        <w:t>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Additionally, while conventional methods detect organisms directly at the point of capture or observation, eDNA signals integrate information from surrounding areas through processes of DNA transport and decay</w:t>
      </w:r>
      <w:r w:rsidR="00E54BD9">
        <w:t xml:space="preserve"> </w:t>
      </w:r>
      <w:r w:rsidR="00E54BD9">
        <w:fldChar w:fldCharType="begin"/>
      </w:r>
      <w:r w:rsidR="00BC0903">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r>
      <w:r w:rsidR="00E54BD9">
        <w:fldChar w:fldCharType="separate"/>
      </w:r>
      <w:r w:rsidR="00BC0903" w:rsidRPr="00BC0903">
        <w:rPr>
          <w:rFonts w:cs="Times New Roman"/>
        </w:rPr>
        <w:t>(Brandão-Dias et al., 2025; Z. Li et al., 2026)</w:t>
      </w:r>
      <w:r w:rsidR="00E54BD9">
        <w:fldChar w:fldCharType="end"/>
      </w:r>
      <w:r>
        <w:t>. This spatial integration effect means that adjacent eDNA samples may contain overlapping information</w:t>
      </w:r>
      <w:r w:rsidR="00CE6B24">
        <w:t xml:space="preserve"> beyond what would be expected from species distribution patterns alone</w:t>
      </w:r>
      <w:r w:rsidR="00B44103">
        <w:t xml:space="preserve"> </w:t>
      </w:r>
      <w:r w:rsidR="00864D91">
        <w:fldChar w:fldCharType="begin"/>
      </w:r>
      <w:r w:rsidR="00FF5201">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864D91">
        <w:fldChar w:fldCharType="separate"/>
      </w:r>
      <w:r w:rsidR="00FF5201">
        <w:rPr>
          <w:noProof/>
        </w:rPr>
        <w:t>(Guri et al., 2024)</w:t>
      </w:r>
      <w:r w:rsidR="00864D91">
        <w:fldChar w:fldCharType="end"/>
      </w:r>
      <w:r w:rsidR="00CE6B24">
        <w:t>.</w:t>
      </w:r>
      <w:r>
        <w:t xml:space="preserve"> </w:t>
      </w:r>
      <w:r w:rsidR="00CE6B24">
        <w:t>This fact motivates increased consideration of how to design and interpret surveys that collect eDNA.</w:t>
      </w:r>
    </w:p>
    <w:p w14:paraId="2A2BAAFC" w14:textId="77777777" w:rsidR="00BF4A9D" w:rsidRDefault="00BF4A9D" w:rsidP="00101BFB">
      <w:pPr>
        <w:pStyle w:val="BodyText"/>
      </w:pPr>
    </w:p>
    <w:p w14:paraId="204E2337" w14:textId="5C12154E" w:rsidR="00BF4A9D" w:rsidRDefault="00BF4A9D" w:rsidP="00101BFB">
      <w:pPr>
        <w:pStyle w:val="BodyText"/>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rsidRPr="00BF4A9D">
        <w:t xml:space="preserve">. The optimal sampling </w:t>
      </w:r>
      <w:r w:rsidR="00B44103">
        <w:t xml:space="preserve">effort </w:t>
      </w:r>
      <w:r w:rsidRPr="00BF4A9D">
        <w:t>occurs at the point where incremental improvements in precision or information content become disproportionately small relative to the required investment of resources and effort</w:t>
      </w:r>
      <w:r w:rsidR="000B7F3C">
        <w:t xml:space="preserve"> </w:t>
      </w:r>
      <w:r w:rsidR="000B7F3C">
        <w:fldChar w:fldCharType="begin"/>
      </w:r>
      <w:r w:rsidR="00AA6C90">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0B7F3C">
        <w:fldChar w:fldCharType="separate"/>
      </w:r>
      <w:r w:rsidR="003D1914">
        <w:rPr>
          <w:noProof/>
        </w:rPr>
        <w:t>(Tarugara et al., 2019; Thiele et al., 2023; Zhao et al., 2022)</w:t>
      </w:r>
      <w:r w:rsidR="000B7F3C">
        <w:fldChar w:fldCharType="end"/>
      </w:r>
      <w:r w:rsidRPr="00BF4A9D">
        <w:t>. This principle guides the development of cost-effective sampling strategies that maximize analytical power while minimizing operational expenditure</w:t>
      </w:r>
      <w:r w:rsidR="00BC0903" w:rsidRPr="00BC0903">
        <w:t xml:space="preserve"> </w:t>
      </w:r>
      <w:r w:rsidR="00BC0903">
        <w:fldChar w:fldCharType="begin"/>
      </w:r>
      <w:r w:rsidR="00BC0903">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r>
      <w:r w:rsidR="00BC0903">
        <w:fldChar w:fldCharType="separate"/>
      </w:r>
      <w:r w:rsidR="00BC0903">
        <w:rPr>
          <w:noProof/>
        </w:rPr>
        <w:t>(Muradian et al., 2019)</w:t>
      </w:r>
      <w:r w:rsidR="00BC0903">
        <w:fldChar w:fldCharType="end"/>
      </w:r>
      <w:r w:rsidRPr="00BF4A9D">
        <w:t>.</w:t>
      </w:r>
    </w:p>
    <w:p w14:paraId="0B0E1BF3" w14:textId="77777777" w:rsidR="00BF4A9D" w:rsidRDefault="00BF4A9D" w:rsidP="00101BFB">
      <w:pPr>
        <w:pStyle w:val="BodyText"/>
      </w:pPr>
    </w:p>
    <w:p w14:paraId="26B68E00" w14:textId="41E5E6C5" w:rsidR="00264629" w:rsidRDefault="00264629" w:rsidP="00101BFB">
      <w:pPr>
        <w:pStyle w:val="BodyText"/>
      </w:pPr>
      <w:r w:rsidRPr="00D74919">
        <w:t>Species</w:t>
      </w:r>
      <w:r>
        <w:t xml:space="preserve"> </w:t>
      </w:r>
      <w:r w:rsidRPr="00D74919">
        <w:t xml:space="preserve">distribution </w:t>
      </w:r>
      <w:r>
        <w:t>inferences</w:t>
      </w:r>
      <w:r w:rsidRPr="00D74919">
        <w:t xml:space="preserve"> can be performed with a variety of mathematical frameworks, including spline‑based generalized additive models</w:t>
      </w:r>
      <w:r w:rsidR="00FF770D">
        <w:t xml:space="preserve"> (GAMs)</w:t>
      </w:r>
      <w:r w:rsidRPr="00D74919">
        <w:t xml:space="preserve">, hierarchical </w:t>
      </w:r>
      <w:r w:rsidR="00BE4D8B" w:rsidRPr="00021267">
        <w:t>stochastic</w:t>
      </w:r>
      <w:r w:rsidR="00021267" w:rsidRPr="00021267">
        <w:t xml:space="preserve"> partial differential equation</w:t>
      </w:r>
      <w:r w:rsidR="00021267">
        <w:t xml:space="preserve"> (</w:t>
      </w:r>
      <w:r w:rsidRPr="00D74919">
        <w:t>SPDE</w:t>
      </w:r>
      <w:r w:rsidR="00021267">
        <w:t>)</w:t>
      </w:r>
      <w:r w:rsidRPr="00D74919">
        <w:t xml:space="preserve"> models fitted </w:t>
      </w:r>
      <w:r w:rsidR="00021267" w:rsidRPr="00021267">
        <w:t>using integrated nested Laplace approximation (INLA)</w:t>
      </w:r>
      <w:r w:rsidRPr="00D74919">
        <w:t>, conventional linear or additive regressions, spatial autoregressive structures, kernel‑based methods</w:t>
      </w:r>
      <w:r>
        <w:t xml:space="preserve"> such as Gaussian processes (GP)</w:t>
      </w:r>
      <w:r w:rsidR="00CD3E18">
        <w:t xml:space="preserve"> </w:t>
      </w:r>
      <w:r w:rsidR="00133DD4" w:rsidRPr="00133DD4">
        <w:t xml:space="preserve">and an expanding class of machine learning methods such as boosted regression trees (BRTs), random forests (RFs), and artificial neural networks (ANNs) </w:t>
      </w:r>
      <w:r w:rsidR="005123FE">
        <w:fldChar w:fldCharType="begin"/>
      </w:r>
      <w:r w:rsidR="00387956">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r>
      <w:r w:rsidR="005123FE">
        <w:fldChar w:fldCharType="separate"/>
      </w:r>
      <w:r w:rsidR="00387956" w:rsidRPr="00387956">
        <w:rPr>
          <w:rFonts w:cs="Times New Roman"/>
        </w:rPr>
        <w:t>(Dormann et al., 2007; Elith et al., 2008; Guisan &amp; Zimmermann, 2000; Lek &amp; Guégan, 1999; Lezama-Ochoa et al., 2020; X. Li &amp; Wang, 2013)</w:t>
      </w:r>
      <w:r w:rsidR="005123FE">
        <w:fldChar w:fldCharType="end"/>
      </w:r>
      <w:r w:rsidRPr="00D74919">
        <w:t xml:space="preserve">. </w:t>
      </w:r>
      <w:r w:rsidRPr="00E303CB">
        <w:t xml:space="preserve">In ecological and fisheries research, Gaussian Process (GP) models have been widely adopted </w:t>
      </w:r>
      <w:r>
        <w:t xml:space="preserve">due to </w:t>
      </w:r>
      <w:r w:rsidRPr="00E303CB">
        <w:t>their covariance parameters</w:t>
      </w:r>
      <w:r>
        <w:t xml:space="preserve"> which has</w:t>
      </w:r>
      <w:r w:rsidRPr="00E303CB">
        <w:t xml:space="preserve"> clear </w:t>
      </w:r>
      <w:r w:rsidRPr="00E303CB">
        <w:lastRenderedPageBreak/>
        <w:t>ecological interpretations and provide a flexible, non‑parametric way to capture spatial and environmental smooths</w:t>
      </w:r>
      <w:r>
        <w:t xml:space="preserve"> </w:t>
      </w:r>
      <w:r w:rsidR="00F86CCF">
        <w:fldChar w:fldCharType="begin"/>
      </w:r>
      <w:r w:rsidR="008F35CC">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r>
      <w:r w:rsidR="00F86CCF">
        <w:fldChar w:fldCharType="separate"/>
      </w:r>
      <w:r w:rsidR="008F35CC">
        <w:rPr>
          <w:noProof/>
        </w:rPr>
        <w:t>(Lewy &amp; Kristensen, 2009; Nielsen et al., 2016)</w:t>
      </w:r>
      <w:r w:rsidR="00F86CCF">
        <w:fldChar w:fldCharType="end"/>
      </w:r>
      <w:r w:rsidR="008F35CC">
        <w:t xml:space="preserve"> </w:t>
      </w:r>
    </w:p>
    <w:p w14:paraId="21B56FD1" w14:textId="77777777" w:rsidR="00CE6B24" w:rsidRDefault="00CE6B24" w:rsidP="00101BFB">
      <w:pPr>
        <w:pStyle w:val="BodyText"/>
      </w:pPr>
    </w:p>
    <w:p w14:paraId="5516F17C" w14:textId="19872C50" w:rsidR="0032076E" w:rsidRDefault="00D04708" w:rsidP="00101BFB">
      <w:pPr>
        <w:pStyle w:val="BodyText"/>
      </w:pPr>
      <w:r>
        <w:t>This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rsidR="009D2167" w:rsidRPr="005126D7">
        <w:t>G</w:t>
      </w:r>
      <w:r w:rsidR="009D2167">
        <w:t>P</w:t>
      </w:r>
      <w:r w:rsidR="009D2167" w:rsidRPr="005126D7">
        <w:t xml:space="preserve"> models are appropriate only to the extent that their underlying smoothness assumptions are </w:t>
      </w:r>
      <w:r w:rsidR="00525775" w:rsidRPr="005126D7">
        <w:t>met and</w:t>
      </w:r>
      <w:r w:rsidR="009D2167" w:rsidRPr="005126D7">
        <w:t xml:space="preserve"> may therefore perform poorly in systems characterized by sharp boundaries or abrupt, non-smooth variation in space or covariate relationships.</w:t>
      </w:r>
      <w:r w:rsidR="009D2167">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A422E3">
        <w:t xml:space="preserve">Generally, the similarity among observations </w:t>
      </w:r>
      <w:r>
        <w:t>is quantified through a covariance function</w:t>
      </w:r>
      <w:r w:rsidR="00373AC6">
        <w:t xml:space="preserve"> (</w:t>
      </w:r>
      <w:r>
        <w:t>or kernel</w:t>
      </w:r>
      <w:r w:rsidR="00373AC6">
        <w:t>)</w:t>
      </w:r>
      <w:r>
        <w:t xml:space="preserve">, which governs the </w:t>
      </w:r>
      <w:r w:rsidR="00350360" w:rsidRPr="00350360">
        <w:t xml:space="preserve">covariance </w:t>
      </w:r>
      <w:r w:rsidR="00EC3CE6">
        <w:t xml:space="preserve">change </w:t>
      </w:r>
      <w:r>
        <w:t xml:space="preserve">between two points </w:t>
      </w:r>
      <w:r w:rsidR="00F059D3" w:rsidRPr="00F059D3">
        <w:rPr>
          <w:i/>
          <w:iCs/>
        </w:rPr>
        <w:t>x</w:t>
      </w:r>
      <w:r>
        <w:t xml:space="preserve"> and </w:t>
      </w:r>
      <w:r w:rsidR="00F059D3" w:rsidRPr="00F059D3">
        <w:rPr>
          <w:i/>
          <w:iCs/>
        </w:rPr>
        <w:t>x</w:t>
      </w:r>
      <w:r w:rsidR="00F059D3">
        <w:rPr>
          <w:i/>
          <w:iCs/>
        </w:rPr>
        <w:t xml:space="preserve">' </w:t>
      </w:r>
      <w:r>
        <w:t>with increasing distance.</w:t>
      </w:r>
      <w:r w:rsidR="00A422E3">
        <w:t xml:space="preserve"> </w:t>
      </w:r>
      <w:r w:rsidR="00E33EA0" w:rsidRPr="00E33EA0">
        <w:t xml:space="preserve">Although this distance can be defined in terms of spatial location, environmental covariates, or both, </w:t>
      </w:r>
      <w:r w:rsidR="00074790">
        <w:t xml:space="preserve">in this study we </w:t>
      </w:r>
      <w:r w:rsidR="00E33EA0" w:rsidRPr="00E33EA0">
        <w:t>focus on</w:t>
      </w:r>
      <w:r w:rsidR="00074790">
        <w:t>ly</w:t>
      </w:r>
      <w:r w:rsidR="00C053C4">
        <w:t xml:space="preserve"> on</w:t>
      </w:r>
      <w:r w:rsidR="00E33EA0" w:rsidRPr="00E33EA0">
        <w:t xml:space="preserve"> spatial </w:t>
      </w:r>
      <w:r w:rsidR="00A60478">
        <w:t>covariance</w:t>
      </w:r>
      <w:r w:rsidR="00E33EA0" w:rsidRPr="00E33EA0">
        <w:t>.</w:t>
      </w:r>
      <w:r w:rsidR="00E33EA0">
        <w:t xml:space="preserve"> </w:t>
      </w:r>
      <w:r w:rsidR="007566A0">
        <w:t xml:space="preserve">For exponential and squared-exponential covariance functions, a single parameter known as the length-scale controls how correlation changes with distance. </w:t>
      </w:r>
      <w:r>
        <w:t xml:space="preserve">Large length-scales </w:t>
      </w:r>
      <w:r w:rsidR="00DF3574">
        <w:t>mean that</w:t>
      </w:r>
      <w:r w:rsidR="007566A0">
        <w:t xml:space="preserve"> </w:t>
      </w:r>
      <w:r>
        <w:t xml:space="preserve">nearby points </w:t>
      </w:r>
      <w:r w:rsidR="00DF3574">
        <w:t xml:space="preserve">are </w:t>
      </w:r>
      <w:r>
        <w:t xml:space="preserve">highly correlated, whereas small length-scales imply </w:t>
      </w:r>
      <w:r w:rsidR="007566A0">
        <w:t xml:space="preserve">a </w:t>
      </w:r>
      <w:r>
        <w:t xml:space="preserve">rapid </w:t>
      </w:r>
      <w:r w:rsidR="007566A0">
        <w:t xml:space="preserve">decline in </w:t>
      </w:r>
      <w:r>
        <w:t xml:space="preserve">correlation </w:t>
      </w:r>
      <w:r w:rsidR="007566A0">
        <w:t>with distance</w:t>
      </w:r>
      <w:r>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65601BFB" w14:textId="1C66EE13" w:rsidR="00506C1B" w:rsidRPr="007664E1" w:rsidRDefault="00000000" w:rsidP="00101BF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01BFB">
      <w:pPr>
        <w:pStyle w:val="FirstParagraph"/>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w:t>
      </w:r>
      <w:bookmarkStart w:id="4" w:name="OLE_LINK10"/>
      <w:r>
        <w:t>covaria</w:t>
      </w:r>
      <w:r w:rsidR="008766A3">
        <w:t>nce</w:t>
      </w:r>
      <w:r w:rsidR="00705D45">
        <w:t xml:space="preserve"> </w:t>
      </w:r>
      <w:bookmarkEnd w:id="4"/>
      <w:r w:rsidR="00705D45">
        <w:t>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5516F17D" w14:textId="3E455AF7" w:rsidR="0032076E" w:rsidRPr="00D2585C" w:rsidRDefault="00000000" w:rsidP="00101BF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01BFB">
      <w:pPr>
        <w:pStyle w:val="FirstParagraph"/>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Species with small </w:t>
      </w:r>
      <w:r w:rsidR="00AC47EE">
        <w:t xml:space="preserve">spatial </w:t>
      </w:r>
      <w:r>
        <w:t>autocorrelation (</w:t>
      </w:r>
      <w:r w:rsidR="007664E1" w:rsidRPr="007664E1">
        <w:rPr>
          <w:i/>
          <w:iCs/>
          <w:lang w:val="el-GR"/>
        </w:rPr>
        <w:t>ρ</w:t>
      </w:r>
      <w:r>
        <w:t xml:space="preserve">) values exhibit abundance patterns that vary sharply across space </w:t>
      </w:r>
      <w:r w:rsidR="00C702F6">
        <w:t>(</w:t>
      </w:r>
      <w:r w:rsidR="00C702F6" w:rsidRPr="00C702F6">
        <w:t>Figure 1</w:t>
      </w:r>
      <w:r w:rsidR="00C702F6">
        <w:t>)</w:t>
      </w:r>
      <w:r>
        <w:t xml:space="preserve">. </w:t>
      </w:r>
    </w:p>
    <w:p w14:paraId="18ECF99A" w14:textId="77777777" w:rsidR="00AD411F" w:rsidRPr="00AD411F" w:rsidRDefault="00AD411F" w:rsidP="00101BFB">
      <w:pPr>
        <w:pStyle w:val="BodyText"/>
      </w:pPr>
    </w:p>
    <w:p w14:paraId="5516F180" w14:textId="744FA11A" w:rsidR="0032076E" w:rsidRDefault="00FB27EA" w:rsidP="00101BFB">
      <w:pPr>
        <w:pStyle w:val="BodyText"/>
      </w:pPr>
      <w:r>
        <w:t>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C31296" w:rsidRPr="00F71AC9">
        <w:t>. Specifically, s</w:t>
      </w:r>
      <w:r w:rsidR="00D04708" w:rsidRPr="00F71AC9">
        <w:t xml:space="preserve">pecies </w:t>
      </w:r>
      <w:r w:rsidR="00126047">
        <w:t xml:space="preserve">with </w:t>
      </w:r>
      <w:r w:rsidR="00D04708" w:rsidRPr="00F71AC9">
        <w:t>high spatial autocorrelation</w:t>
      </w:r>
      <w:r w:rsidR="00D04708">
        <w:t xml:space="preserve"> should require fewer samples to capture their distribution patterns due to their extended spatial coherence</w:t>
      </w:r>
      <w:r w:rsidR="00020F2C">
        <w:t xml:space="preserve"> (Figure </w:t>
      </w:r>
      <w:r w:rsidR="00BC5693">
        <w:t>1</w:t>
      </w:r>
      <w:r w:rsidR="00020F2C">
        <w:t>)</w:t>
      </w:r>
      <w:r w:rsidR="00E92698">
        <w:t xml:space="preserve"> and vice-versa</w:t>
      </w:r>
      <w:r w:rsidR="000757FC">
        <w:t xml:space="preserve"> </w:t>
      </w:r>
      <w:r w:rsidR="001365D9">
        <w:fldChar w:fldCharType="begin"/>
      </w:r>
      <w:r w:rsidR="001365D9">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1365D9">
        <w:fldChar w:fldCharType="separate"/>
      </w:r>
      <w:r w:rsidR="001365D9">
        <w:rPr>
          <w:noProof/>
        </w:rPr>
        <w:t>(Wagner &amp; Fortin, 2005)</w:t>
      </w:r>
      <w:r w:rsidR="001365D9">
        <w:fldChar w:fldCharType="end"/>
      </w:r>
      <w:r w:rsidR="00D04708">
        <w:t xml:space="preserve">. </w:t>
      </w:r>
      <w:r w:rsidR="00C416FB">
        <w:t>Hence,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w:t>
      </w:r>
      <w:proofErr w:type="spellStart"/>
      <w:r w:rsidR="00A24888">
        <w:t>i</w:t>
      </w:r>
      <w:proofErr w:type="spellEnd"/>
      <w:r w:rsidR="00A24888">
        <w:t xml:space="preserve">) </w:t>
      </w:r>
      <w:r w:rsidR="00741A6A" w:rsidRPr="00741A6A">
        <w:t>the predictive accuracy of species distribution models</w:t>
      </w:r>
      <w:r w:rsidR="00741A6A">
        <w:t xml:space="preserve"> and </w:t>
      </w:r>
      <w:r w:rsidR="00774EEB">
        <w:t>(ii)</w:t>
      </w:r>
      <w:r w:rsidR="004A6683">
        <w:t xml:space="preserve"> the</w:t>
      </w:r>
      <w:r w:rsidR="005A4BD9">
        <w:t xml:space="preserve"> </w:t>
      </w:r>
      <w:r w:rsidR="004A6683" w:rsidRPr="004A6683">
        <w:t>accuracy</w:t>
      </w:r>
      <w:r w:rsidR="004A6683">
        <w:t xml:space="preserve"> of </w:t>
      </w:r>
      <w:r w:rsidR="005A4BD9">
        <w:t xml:space="preserve">GP parameter </w:t>
      </w:r>
      <w:r w:rsidR="004A6683" w:rsidRPr="004A6683">
        <w:t>estimation</w:t>
      </w:r>
      <w:r w:rsidR="00251B03">
        <w:t xml:space="preserve">. </w:t>
      </w:r>
      <w:r w:rsidR="00683868" w:rsidRPr="00683868">
        <w:t>Although the GP framework can incorporate a wide array of covariates</w:t>
      </w:r>
      <w:r w:rsidR="00683868">
        <w:t xml:space="preserve">, i.e., </w:t>
      </w:r>
      <w:r w:rsidR="00683868" w:rsidRPr="00683868">
        <w:t>temperature, salinity, bathymetry, and biotic interactions</w:t>
      </w:r>
      <w:r w:rsidR="00683868">
        <w:t xml:space="preserve">, </w:t>
      </w:r>
      <w:r w:rsidR="00683868" w:rsidRPr="00683868">
        <w:t>this study focuses exclusively on spatial coordinates.</w:t>
      </w:r>
      <w:r w:rsidR="00683868">
        <w:t xml:space="preserve"> </w:t>
      </w:r>
      <w:r w:rsidR="00D04708">
        <w:t>By explicitly quantifying the trade-off between spatial autocorrelation, sampl</w:t>
      </w:r>
      <w:r w:rsidR="00B320D5">
        <w:t>ing effort</w:t>
      </w:r>
      <w:r w:rsidR="00D04708">
        <w:t xml:space="preserve">, and prediction accuracy, </w:t>
      </w:r>
      <w:r w:rsidR="0028513F">
        <w:t>we can</w:t>
      </w:r>
      <w:r w:rsidR="00D04708">
        <w:t xml:space="preserve"> identify thresholds of sampling effort that maximize information gain and minimize redundancy</w:t>
      </w:r>
      <w:r w:rsidR="00273825">
        <w:t>,</w:t>
      </w:r>
      <w:r w:rsidR="001F72E9">
        <w:t xml:space="preserve"> </w:t>
      </w:r>
      <w:r w:rsidR="00D04708">
        <w:t xml:space="preserve">offering a principled, quantitative foundation for designing efficient </w:t>
      </w:r>
      <w:r w:rsidR="00497D73">
        <w:t xml:space="preserve">eDNA </w:t>
      </w:r>
      <w:r w:rsidR="00D04708">
        <w:t>surveys.</w:t>
      </w:r>
    </w:p>
    <w:p w14:paraId="406949DD" w14:textId="77777777" w:rsidR="00286ADA" w:rsidRDefault="00286ADA" w:rsidP="00101BFB">
      <w:pPr>
        <w:pStyle w:val="BodyText"/>
      </w:pPr>
    </w:p>
    <w:p w14:paraId="4723CA1B" w14:textId="7E84112C" w:rsidR="006E5251" w:rsidRDefault="0025394F" w:rsidP="00101BFB">
      <w:pPr>
        <w:pStyle w:val="BodyText"/>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624AB" w:rsidRDefault="00B65A9C" w:rsidP="00101BFB">
      <w:pPr>
        <w:pStyle w:val="BodyText"/>
      </w:pPr>
      <w:r w:rsidRPr="00B65A9C">
        <w:t xml:space="preserve">Figure 1. Conceptual figure illustrating how sampling density affects reconstruction of spatial concentration patterns across </w:t>
      </w:r>
      <w:r w:rsidR="00DF45D1">
        <w:t>different</w:t>
      </w:r>
      <w:r w:rsidRPr="00B65A9C">
        <w:t xml:space="preserve"> spatial structures. Panel A shows a patchy </w:t>
      </w:r>
      <w:r w:rsidR="007A5A7E">
        <w:t xml:space="preserve">species </w:t>
      </w:r>
      <w:r w:rsidRPr="00B65A9C">
        <w:lastRenderedPageBreak/>
        <w:t>distribution in space, whereas panel B shows a smooth distribution in space, along a one-dimensional spatial transect (x-axis; space in km units). In the top row of each panel, the solid black line represents the true underlying concentration distribution</w:t>
      </w:r>
      <w:r w:rsidR="00C75E34">
        <w:t xml:space="preserve"> whereas the</w:t>
      </w:r>
      <w:r w:rsidRPr="00B65A9C">
        <w:t xml:space="preserve"> middle and bottom rows show reconstructions </w:t>
      </w:r>
      <w:r w:rsidR="00F51361">
        <w:t xml:space="preserve">of </w:t>
      </w:r>
      <w:r w:rsidR="00D265B9">
        <w:t xml:space="preserve">concentration distribution (red dashed line) </w:t>
      </w:r>
      <w:r w:rsidRPr="00B65A9C">
        <w:t>based on a low number of samples and a high number of samples, respectively. Green circles indicate discrete observation points</w:t>
      </w:r>
      <w:r w:rsidR="00D265B9">
        <w:t xml:space="preserve">. </w:t>
      </w:r>
      <w:r w:rsidR="00071304">
        <w:t xml:space="preserve">For species A, high sample density is necessary to approximate the true distribution because of its low spatial autocorrelation, while the pattern for species B is well captured with fewer samples, with </w:t>
      </w:r>
      <w:r w:rsidR="00006E74" w:rsidRPr="00006E74">
        <w:t>excessive sampling lead</w:t>
      </w:r>
      <w:r w:rsidR="00071304">
        <w:t>ing</w:t>
      </w:r>
      <w:r w:rsidR="00006E74" w:rsidRPr="00006E74">
        <w:t xml:space="preserve"> to redundant data (multiple samples that give the exact same information, thus wasting time and money)</w:t>
      </w:r>
      <w:r w:rsidR="00071304">
        <w:t>.</w:t>
      </w:r>
      <w:r w:rsidR="00966BB9" w:rsidRPr="00966BB9">
        <w:t xml:space="preserve"> </w:t>
      </w:r>
    </w:p>
    <w:p w14:paraId="10CBF52C" w14:textId="77777777" w:rsidR="00006E74" w:rsidRPr="00006E74" w:rsidRDefault="00006E74" w:rsidP="00101BFB">
      <w:pPr>
        <w:pStyle w:val="BodyText"/>
      </w:pPr>
    </w:p>
    <w:p w14:paraId="5516F181" w14:textId="77777777" w:rsidR="0032076E" w:rsidRDefault="00D04708" w:rsidP="00F82C02">
      <w:pPr>
        <w:pStyle w:val="Heading1"/>
        <w:spacing w:before="0" w:after="0" w:line="360" w:lineRule="auto"/>
      </w:pPr>
      <w:bookmarkStart w:id="5" w:name="materials-and-methods"/>
      <w:bookmarkEnd w:id="2"/>
      <w:r>
        <w:t>Materials and methods</w:t>
      </w:r>
    </w:p>
    <w:p w14:paraId="6D460FDF" w14:textId="28F45267" w:rsidR="001B4F2A" w:rsidRDefault="003676DB" w:rsidP="00101BFB">
      <w:pPr>
        <w:pStyle w:val="BodyText"/>
      </w:pPr>
      <w:bookmarkStart w:id="6"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rsidR="001B4F2A" w:rsidRPr="001B4F2A">
        <w:t>For both empirical and simulated data, we evaluated how reduced sampling effort affected spatial prediction accuracy and the recovery of GP parameters through systematic thinning analyses.</w:t>
      </w:r>
      <w:r w:rsidR="001B4F2A">
        <w:t xml:space="preserve"> </w:t>
      </w:r>
      <w:r w:rsidR="001B4F2A" w:rsidRPr="001B4F2A">
        <w:t>By combining empirical and simulation-based evaluation, this framework allowed us to assess sampling efficiency beyond the limits of the empirical dataset alone</w:t>
      </w:r>
      <w:r w:rsidR="001B4F2A">
        <w:t xml:space="preserve"> (</w:t>
      </w:r>
      <w:r w:rsidR="001B4F2A" w:rsidRPr="001B4F2A">
        <w:t>restricted to 358 observations</w:t>
      </w:r>
      <w:r w:rsidR="001B4F2A">
        <w:t>)</w:t>
      </w:r>
      <w:r w:rsidR="001B4F2A" w:rsidRPr="001B4F2A">
        <w:t xml:space="preserve"> and thus to evaluate the sampling </w:t>
      </w:r>
      <w:r w:rsidR="001B4F2A">
        <w:t>effort</w:t>
      </w:r>
      <w:r w:rsidR="001B4F2A" w:rsidRPr="001B4F2A">
        <w:t xml:space="preserve"> required for reliable inference across a broader range of effort.</w:t>
      </w:r>
    </w:p>
    <w:p w14:paraId="04ECAC86" w14:textId="77777777" w:rsidR="001B4F2A" w:rsidRDefault="001B4F2A" w:rsidP="00101BFB">
      <w:pPr>
        <w:pStyle w:val="BodyText"/>
      </w:pPr>
    </w:p>
    <w:p w14:paraId="1FF8BFD3" w14:textId="5629A3D0" w:rsidR="000974AE" w:rsidRDefault="000974AE" w:rsidP="000974AE">
      <w:pPr>
        <w:pStyle w:val="Heading2"/>
        <w:spacing w:before="0" w:after="0" w:line="360" w:lineRule="auto"/>
      </w:pPr>
      <w:r>
        <w:t>Empirical eDNA data</w:t>
      </w:r>
    </w:p>
    <w:p w14:paraId="4E6F073F" w14:textId="2DE4467A" w:rsidR="000974AE" w:rsidRDefault="000974AE" w:rsidP="00101BFB">
      <w:pPr>
        <w:pStyle w:val="FirstParagraph"/>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rsidR="0046620B" w:rsidRPr="00F82035">
        <w:t>Sampling spanned a broad latitudinal and longitudinal gradient along the U.S. West Coast, extending from</w:t>
      </w:r>
      <w:r w:rsidR="0046620B">
        <w:t xml:space="preserve"> 123.53° to 125.93° W </w:t>
      </w:r>
      <w:r w:rsidR="0046620B" w:rsidRPr="00F82035">
        <w:t>(243–461 km UTM eastings; span = 218 km) and from</w:t>
      </w:r>
      <w:r w:rsidR="0046620B">
        <w:t xml:space="preserve"> 38.36° - 48.46° N (4249 - 5367 km UTM northings; range 1118 km), corresponding to a </w:t>
      </w:r>
      <w:r w:rsidR="0046620B">
        <w:lastRenderedPageBreak/>
        <w:t xml:space="preserve">region from central California to northern Washington. </w:t>
      </w:r>
      <w:r>
        <w:t xml:space="preserve">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01BFB">
      <w:pPr>
        <w:pStyle w:val="BodyText"/>
      </w:pPr>
    </w:p>
    <w:p w14:paraId="5902B6BB" w14:textId="3820AD87" w:rsidR="00E05D8F" w:rsidRDefault="000974AE" w:rsidP="00101BFB">
      <w:pPr>
        <w:pStyle w:val="BodyText"/>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w:t>
      </w:r>
      <w:proofErr w:type="spellStart"/>
      <w:r>
        <w:t>MiSeq</w:t>
      </w:r>
      <w:proofErr w:type="spellEnd"/>
      <w:r>
        <w:t xml:space="preserve">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w:t>
      </w:r>
      <w:r w:rsidR="00232D1E">
        <w:t xml:space="preserv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sidR="00232D1E">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rsidR="00FC3664" w:rsidRPr="00FC3664">
        <w:t>The focal assemblage comprised a mixture of pelagic, mesopelagic, and demersal taxa characteristic of the California Current ecosystem, including Pacific herring (</w:t>
      </w:r>
      <w:r w:rsidR="00FC3664" w:rsidRPr="00FC3664">
        <w:rPr>
          <w:i/>
          <w:iCs/>
        </w:rPr>
        <w:t xml:space="preserve">Clupea </w:t>
      </w:r>
      <w:proofErr w:type="spellStart"/>
      <w:r w:rsidR="00FC3664" w:rsidRPr="00FC3664">
        <w:rPr>
          <w:i/>
          <w:iCs/>
        </w:rPr>
        <w:t>pallasii</w:t>
      </w:r>
      <w:proofErr w:type="spellEnd"/>
      <w:r w:rsidR="00FC3664" w:rsidRPr="00FC3664">
        <w:t>), northern anchovy (</w:t>
      </w:r>
      <w:proofErr w:type="spellStart"/>
      <w:r w:rsidR="00FC3664" w:rsidRPr="00FC3664">
        <w:rPr>
          <w:i/>
          <w:iCs/>
        </w:rPr>
        <w:t>Engraulis</w:t>
      </w:r>
      <w:proofErr w:type="spellEnd"/>
      <w:r w:rsidR="00FC3664" w:rsidRPr="00FC3664">
        <w:rPr>
          <w:i/>
          <w:iCs/>
        </w:rPr>
        <w:t xml:space="preserve"> mordax</w:t>
      </w:r>
      <w:r w:rsidR="00FC3664" w:rsidRPr="00FC3664">
        <w:t xml:space="preserve">), northern </w:t>
      </w:r>
      <w:proofErr w:type="spellStart"/>
      <w:r w:rsidR="00FC3664" w:rsidRPr="00FC3664">
        <w:t>smoothtongue</w:t>
      </w:r>
      <w:proofErr w:type="spellEnd"/>
      <w:r w:rsidR="00FC3664" w:rsidRPr="00FC3664">
        <w:t xml:space="preserve"> (</w:t>
      </w:r>
      <w:proofErr w:type="spellStart"/>
      <w:r w:rsidR="00FC3664" w:rsidRPr="00FC3664">
        <w:rPr>
          <w:i/>
          <w:iCs/>
        </w:rPr>
        <w:t>Leuroglossus</w:t>
      </w:r>
      <w:proofErr w:type="spellEnd"/>
      <w:r w:rsidR="00FC3664" w:rsidRPr="00FC3664">
        <w:rPr>
          <w:i/>
          <w:iCs/>
        </w:rPr>
        <w:t xml:space="preserve"> </w:t>
      </w:r>
      <w:proofErr w:type="spellStart"/>
      <w:r w:rsidR="00FC3664" w:rsidRPr="00FC3664">
        <w:rPr>
          <w:i/>
          <w:iCs/>
        </w:rPr>
        <w:t>stilbius</w:t>
      </w:r>
      <w:proofErr w:type="spellEnd"/>
      <w:r w:rsidR="00FC3664" w:rsidRPr="00FC3664">
        <w:t>), Dover sole (</w:t>
      </w:r>
      <w:proofErr w:type="spellStart"/>
      <w:r w:rsidR="00FC3664" w:rsidRPr="00FC3664">
        <w:rPr>
          <w:i/>
          <w:iCs/>
        </w:rPr>
        <w:t>Microstomus</w:t>
      </w:r>
      <w:proofErr w:type="spellEnd"/>
      <w:r w:rsidR="00FC3664" w:rsidRPr="00FC3664">
        <w:rPr>
          <w:i/>
          <w:iCs/>
        </w:rPr>
        <w:t xml:space="preserve"> pacificus</w:t>
      </w:r>
      <w:r w:rsidR="00FC3664" w:rsidRPr="00FC3664">
        <w:t>), Pacific sardine (</w:t>
      </w:r>
      <w:r w:rsidR="00FC3664" w:rsidRPr="00FC3664">
        <w:rPr>
          <w:i/>
          <w:iCs/>
        </w:rPr>
        <w:t xml:space="preserve">Sardinops </w:t>
      </w:r>
      <w:proofErr w:type="spellStart"/>
      <w:r w:rsidR="00FC3664" w:rsidRPr="00FC3664">
        <w:rPr>
          <w:i/>
          <w:iCs/>
        </w:rPr>
        <w:t>sagax</w:t>
      </w:r>
      <w:proofErr w:type="spellEnd"/>
      <w:r w:rsidR="00FC3664" w:rsidRPr="00FC3664">
        <w:t>), Pacific chub mackerel (</w:t>
      </w:r>
      <w:proofErr w:type="spellStart"/>
      <w:r w:rsidR="00FC3664" w:rsidRPr="00FC3664">
        <w:rPr>
          <w:i/>
          <w:iCs/>
        </w:rPr>
        <w:t>Scomber</w:t>
      </w:r>
      <w:proofErr w:type="spellEnd"/>
      <w:r w:rsidR="00FC3664" w:rsidRPr="00FC3664">
        <w:rPr>
          <w:i/>
          <w:iCs/>
        </w:rPr>
        <w:t xml:space="preserve"> japonicus</w:t>
      </w:r>
      <w:r w:rsidR="00FC3664" w:rsidRPr="00FC3664">
        <w:t>), widow rockfish (</w:t>
      </w:r>
      <w:r w:rsidR="00FC3664" w:rsidRPr="00FC3664">
        <w:rPr>
          <w:i/>
          <w:iCs/>
        </w:rPr>
        <w:t xml:space="preserve">Sebastes </w:t>
      </w:r>
      <w:proofErr w:type="spellStart"/>
      <w:r w:rsidR="00FC3664" w:rsidRPr="00FC3664">
        <w:rPr>
          <w:i/>
          <w:iCs/>
        </w:rPr>
        <w:t>entomelas</w:t>
      </w:r>
      <w:proofErr w:type="spellEnd"/>
      <w:r w:rsidR="00FC3664" w:rsidRPr="00FC3664">
        <w:t xml:space="preserve">), northern </w:t>
      </w:r>
      <w:proofErr w:type="spellStart"/>
      <w:r w:rsidR="00FC3664" w:rsidRPr="00FC3664">
        <w:t>lampfish</w:t>
      </w:r>
      <w:proofErr w:type="spellEnd"/>
      <w:r w:rsidR="00FC3664" w:rsidRPr="00FC3664">
        <w:t xml:space="preserve"> (</w:t>
      </w:r>
      <w:proofErr w:type="spellStart"/>
      <w:r w:rsidR="00FC3664" w:rsidRPr="00FC3664">
        <w:rPr>
          <w:i/>
          <w:iCs/>
        </w:rPr>
        <w:t>Stenobrachius</w:t>
      </w:r>
      <w:proofErr w:type="spellEnd"/>
      <w:r w:rsidR="00FC3664" w:rsidRPr="00FC3664">
        <w:rPr>
          <w:i/>
          <w:iCs/>
        </w:rPr>
        <w:t xml:space="preserve"> </w:t>
      </w:r>
      <w:proofErr w:type="spellStart"/>
      <w:r w:rsidR="00FC3664" w:rsidRPr="00FC3664">
        <w:rPr>
          <w:i/>
          <w:iCs/>
        </w:rPr>
        <w:t>leucopsarus</w:t>
      </w:r>
      <w:proofErr w:type="spellEnd"/>
      <w:r w:rsidR="00FC3664" w:rsidRPr="00FC3664">
        <w:t>), longfin dragonfish (</w:t>
      </w:r>
      <w:proofErr w:type="spellStart"/>
      <w:r w:rsidR="00FC3664" w:rsidRPr="00FC3664">
        <w:rPr>
          <w:i/>
          <w:iCs/>
        </w:rPr>
        <w:t>Tactostoma</w:t>
      </w:r>
      <w:proofErr w:type="spellEnd"/>
      <w:r w:rsidR="00FC3664" w:rsidRPr="00FC3664">
        <w:rPr>
          <w:i/>
          <w:iCs/>
        </w:rPr>
        <w:t xml:space="preserve"> </w:t>
      </w:r>
      <w:proofErr w:type="spellStart"/>
      <w:r w:rsidR="00FC3664" w:rsidRPr="00FC3664">
        <w:rPr>
          <w:i/>
          <w:iCs/>
        </w:rPr>
        <w:t>macropus</w:t>
      </w:r>
      <w:proofErr w:type="spellEnd"/>
      <w:r w:rsidR="00FC3664" w:rsidRPr="00FC3664">
        <w:t xml:space="preserve">), </w:t>
      </w:r>
      <w:proofErr w:type="spellStart"/>
      <w:r w:rsidR="00FC3664" w:rsidRPr="00FC3664">
        <w:t>plainfin</w:t>
      </w:r>
      <w:proofErr w:type="spellEnd"/>
      <w:r w:rsidR="00FC3664" w:rsidRPr="00FC3664">
        <w:t xml:space="preserve"> midshipman (</w:t>
      </w:r>
      <w:proofErr w:type="spellStart"/>
      <w:r w:rsidR="00FC3664" w:rsidRPr="00FC3664">
        <w:rPr>
          <w:i/>
          <w:iCs/>
        </w:rPr>
        <w:t>Tarletonbeania</w:t>
      </w:r>
      <w:proofErr w:type="spellEnd"/>
      <w:r w:rsidR="00FC3664" w:rsidRPr="00FC3664">
        <w:rPr>
          <w:i/>
          <w:iCs/>
        </w:rPr>
        <w:t xml:space="preserve"> </w:t>
      </w:r>
      <w:proofErr w:type="spellStart"/>
      <w:r w:rsidR="00FC3664" w:rsidRPr="00FC3664">
        <w:rPr>
          <w:i/>
          <w:iCs/>
        </w:rPr>
        <w:t>crenularis</w:t>
      </w:r>
      <w:proofErr w:type="spellEnd"/>
      <w:r w:rsidR="00FC3664" w:rsidRPr="00FC3664">
        <w:t>), eulachon (</w:t>
      </w:r>
      <w:proofErr w:type="spellStart"/>
      <w:r w:rsidR="00FC3664" w:rsidRPr="00FC3664">
        <w:rPr>
          <w:i/>
          <w:iCs/>
        </w:rPr>
        <w:t>Thaleichthys</w:t>
      </w:r>
      <w:proofErr w:type="spellEnd"/>
      <w:r w:rsidR="00FC3664" w:rsidRPr="00FC3664">
        <w:rPr>
          <w:i/>
          <w:iCs/>
        </w:rPr>
        <w:t xml:space="preserve"> pacificus</w:t>
      </w:r>
      <w:r w:rsidR="00FC3664" w:rsidRPr="00FC3664">
        <w:t>), and Pacific jack mackerel (</w:t>
      </w:r>
      <w:r w:rsidR="00FC3664" w:rsidRPr="00FC3664">
        <w:rPr>
          <w:i/>
          <w:iCs/>
        </w:rPr>
        <w:t xml:space="preserve">Trachurus </w:t>
      </w:r>
      <w:proofErr w:type="spellStart"/>
      <w:r w:rsidR="00FC3664" w:rsidRPr="00FC3664">
        <w:rPr>
          <w:i/>
          <w:iCs/>
        </w:rPr>
        <w:t>symmetricus</w:t>
      </w:r>
      <w:proofErr w:type="spellEnd"/>
      <w:r w:rsidR="00FC3664" w:rsidRPr="00FC3664">
        <w:t>).</w:t>
      </w:r>
      <w:r w:rsidR="00FC3664">
        <w:t xml:space="preserve"> </w:t>
      </w:r>
      <w:r w:rsidR="00E36663">
        <w:t xml:space="preserve">The final </w:t>
      </w:r>
      <w:r w:rsidR="00BD0F30">
        <w:t xml:space="preserve">empirical </w:t>
      </w:r>
      <w:r w:rsidR="00E36663">
        <w:t>dataset include</w:t>
      </w:r>
      <w:r w:rsidR="000A685B">
        <w:t>d</w:t>
      </w:r>
      <w:r w:rsidR="00E36663">
        <w:t xml:space="preserve"> eDNA measurements (in log copies/L) from 358 spatially distributed sampling among the reported depth layers.</w:t>
      </w:r>
    </w:p>
    <w:p w14:paraId="56FCDECE" w14:textId="77777777" w:rsidR="00162082" w:rsidRDefault="00162082" w:rsidP="00101BFB">
      <w:pPr>
        <w:pStyle w:val="BodyText"/>
      </w:pPr>
    </w:p>
    <w:p w14:paraId="3369C701" w14:textId="688C77DF" w:rsidR="00A15ACC" w:rsidRPr="008D73E1" w:rsidRDefault="00162082" w:rsidP="00101BFB">
      <w:pPr>
        <w:pStyle w:val="BodyText"/>
      </w:pPr>
      <w:r w:rsidRPr="00CF5B2C">
        <w:rPr>
          <w:b/>
          <w:bCs w:val="0"/>
        </w:rPr>
        <w:t>Estimation of species-specific spatial structure</w:t>
      </w:r>
    </w:p>
    <w:p w14:paraId="6CD5011B" w14:textId="5CFD7908" w:rsidR="00D94C80" w:rsidRDefault="0039223E" w:rsidP="00101BFB">
      <w:pPr>
        <w:pStyle w:val="BodyText"/>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xml:space="preserve">. We then used the GP model (Eq. 1–2) to infer the underlying spatial structure and learn key parameters governing the spatial </w:t>
      </w:r>
      <w:r w:rsidRPr="006A2F1A">
        <w:lastRenderedPageBreak/>
        <w:t>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00D8163B" w:rsidRPr="001E644C">
        <w:t xml:space="preserve">; </w:t>
      </w:r>
      <w:r w:rsidR="001E644C" w:rsidRPr="001E644C">
        <w:t>a scaling parameter that reflects the magnitude of spatially structured variability in the signal over the length scale</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rsidR="00D94C80">
        <w:t>. The number of points differed among depth layers (4,000, 4,000, 4,000, 3,622, and 3,294 points, respectively) because deeper layers covered a smaller spatial extent than shallower layers</w:t>
      </w:r>
      <w:r w:rsidR="003B0195">
        <w:t xml:space="preserve"> due to bathymetry</w:t>
      </w:r>
      <w:r w:rsidR="00D94C80">
        <w:t>.</w:t>
      </w:r>
    </w:p>
    <w:p w14:paraId="52C40E28" w14:textId="42986C15" w:rsidR="00AA6F77" w:rsidRDefault="00AA6F77" w:rsidP="00101BFB">
      <w:pPr>
        <w:pStyle w:val="BodyText"/>
      </w:pPr>
    </w:p>
    <w:p w14:paraId="584735BD" w14:textId="16A724B0" w:rsidR="007A35C1" w:rsidRDefault="00E0592E" w:rsidP="007A35C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5A5E6EFE" w:rsidR="005E3F20" w:rsidRPr="004834A6" w:rsidRDefault="005E3F20" w:rsidP="005E3F20">
      <w:pPr>
        <w:pStyle w:val="p1"/>
        <w:spacing w:before="0" w:beforeAutospacing="0" w:after="0" w:afterAutospacing="0" w:line="36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rsidR="007E6DD0" w:rsidRPr="00596EE8">
        <w:t>This framework enables direct, like-for-like comparisons of reconstructed fields across sampling intensities</w:t>
      </w:r>
      <w:r w:rsidR="008019A3">
        <w:t xml:space="preserve"> since the predicted </w:t>
      </w:r>
      <w:r w:rsidR="002A222B">
        <w:t>field</w:t>
      </w:r>
      <w:r w:rsidR="008019A3">
        <w:t xml:space="preserve"> is the same (</w:t>
      </w:r>
      <w:r w:rsidR="008019A3" w:rsidRPr="002E117D">
        <w:rPr>
          <w:i/>
          <w:iCs/>
        </w:rPr>
        <w:t>Q</w:t>
      </w:r>
      <w:r w:rsidR="008019A3">
        <w:t>)</w:t>
      </w:r>
      <w:r w:rsidR="007E6DD0" w:rsidRPr="00596EE8">
        <w:t>.</w:t>
      </w:r>
      <w:r w:rsidR="004834A6">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01BFB">
      <w:pPr>
        <w:pStyle w:val="BodyText"/>
      </w:pPr>
    </w:p>
    <w:p w14:paraId="182BD2A3" w14:textId="0BD682B7" w:rsidR="008C05CD" w:rsidRDefault="008C05CD" w:rsidP="008C05CD">
      <w:pPr>
        <w:pStyle w:val="p1"/>
        <w:spacing w:before="0" w:beforeAutospacing="0" w:after="0" w:afterAutospacing="0" w:line="360" w:lineRule="auto"/>
        <w:jc w:val="both"/>
      </w:pPr>
      <w:r>
        <w:lastRenderedPageBreak/>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01BFB">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01BFB">
      <w:pPr>
        <w:pStyle w:val="BodyText"/>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2A222B">
        <w:t xml:space="preserve"> to</w:t>
      </w:r>
      <w:r w:rsidR="008A5961" w:rsidRPr="008A5961">
        <w:t xml:space="preserve"> mitigate the effects of sampling stochasticity on our prediction accuracy estimates</w:t>
      </w:r>
      <w:r w:rsidR="008A5961">
        <w:t>.</w:t>
      </w:r>
    </w:p>
    <w:p w14:paraId="1BF23A1D" w14:textId="60194420" w:rsidR="008C05CD" w:rsidRDefault="008C05CD" w:rsidP="00101BFB">
      <w:pPr>
        <w:pStyle w:val="BodyText"/>
      </w:pPr>
      <w:r>
        <w:t xml:space="preserve"> </w:t>
      </w:r>
    </w:p>
    <w:p w14:paraId="37453850" w14:textId="77777777" w:rsidR="0047549D" w:rsidRDefault="0047549D" w:rsidP="00E810CC">
      <w:pPr>
        <w:pStyle w:val="Heading2"/>
        <w:spacing w:before="0" w:after="0" w:line="360" w:lineRule="auto"/>
      </w:pPr>
      <w:r>
        <w:t>Simulated eDNA data</w:t>
      </w:r>
    </w:p>
    <w:p w14:paraId="3908C333" w14:textId="344FBE6A" w:rsidR="00895A6B" w:rsidRDefault="00B62303" w:rsidP="00101BFB">
      <w:pPr>
        <w:pStyle w:val="BodyText"/>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01BFB">
      <w:pPr>
        <w:pStyle w:val="BodyText"/>
      </w:pPr>
    </w:p>
    <w:p w14:paraId="6B5D7D7D" w14:textId="6DAA52BC" w:rsidR="004242D5" w:rsidRDefault="00D46036" w:rsidP="00101BFB">
      <w:pPr>
        <w:pStyle w:val="BodyText"/>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4837D4" w:rsidRPr="00C3078A">
        <w:rPr>
          <w:szCs w:val="36"/>
        </w:rPr>
        <w:t xml:space="preserve">Supplementary </w:t>
      </w:r>
      <w:r w:rsidR="004837D4">
        <w:rPr>
          <w:szCs w:val="36"/>
        </w:rPr>
        <w:t>Table S1)</w:t>
      </w:r>
      <w:r w:rsidRPr="00D46036">
        <w:t xml:space="preserve">. These values were selected to represent </w:t>
      </w:r>
      <w:r w:rsidR="003A6403">
        <w:t>differing</w:t>
      </w:r>
      <w:r w:rsidRPr="00D46036">
        <w:t xml:space="preserve"> degrees of spatial autocorrelation observed in </w:t>
      </w:r>
      <w:r w:rsidR="004C5337" w:rsidRPr="004C5337">
        <w:t>empirical</w:t>
      </w:r>
      <w:r w:rsidRPr="00D46036">
        <w:t xml:space="preserve"> data.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2C6985" w:rsidRPr="00C3078A">
        <w:rPr>
          <w:szCs w:val="36"/>
        </w:rPr>
        <w:t xml:space="preserve">Supplementary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r w:rsidR="000C1D95" w:rsidRPr="000C1D95">
        <w:t>Although incorporating dependence among depths may better reflect ecological structure, doing so would substantially increase model complexity and make the results more difficult to interpret.</w:t>
      </w:r>
      <w:r w:rsidR="000C1D95">
        <w:t xml:space="preserve"> </w:t>
      </w:r>
      <w:bookmarkStart w:id="7"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7"/>
      <w:r w:rsidR="004D2E90">
        <w:t xml:space="preserve"> </w:t>
      </w:r>
      <w:r w:rsidR="0063681B">
        <w:t xml:space="preserve"> </w:t>
      </w:r>
      <w:bookmarkStart w:id="8" w:name="OLE_LINK12"/>
      <w:r w:rsidR="00AF2D8F">
        <w:t>F</w:t>
      </w:r>
      <w:r w:rsidR="000C295A" w:rsidRPr="000C295A">
        <w:t>ixing</w:t>
      </w:r>
      <w:r w:rsidR="000C295A">
        <w:t xml:space="preserve"> </w:t>
      </w:r>
      <w:r w:rsidR="0063681B" w:rsidRPr="0063681B">
        <w:rPr>
          <w:i/>
          <w:iCs/>
          <w:lang w:val="el-GR"/>
        </w:rPr>
        <w:t>α</w:t>
      </w:r>
      <w:r w:rsidR="00BD7F2B" w:rsidRPr="00BD7F2B">
        <w:rPr>
          <w:i/>
          <w:iCs/>
          <w:vertAlign w:val="superscript"/>
        </w:rPr>
        <w:t>2</w:t>
      </w:r>
      <w:r w:rsidR="009E0D6B">
        <w:t xml:space="preserve"> </w:t>
      </w:r>
      <w:r w:rsidR="00C9230A" w:rsidRPr="00C9230A">
        <w:t xml:space="preserve">reduced the number of parameter combinations </w:t>
      </w:r>
      <w:r w:rsidR="00C9230A">
        <w:t xml:space="preserve">of simulations </w:t>
      </w:r>
      <w:r w:rsidR="00C9230A" w:rsidRPr="00C9230A">
        <w:t xml:space="preserve">and maintained computational </w:t>
      </w:r>
      <w:r w:rsidR="00C9230A" w:rsidRPr="00C9230A">
        <w:lastRenderedPageBreak/>
        <w:t xml:space="preserve">tractability. This choice is further supported by the empirical data, where estimated </w:t>
      </w:r>
      <w:r w:rsidR="00C9230A" w:rsidRPr="0063681B">
        <w:rPr>
          <w:i/>
          <w:iCs/>
          <w:lang w:val="el-GR"/>
        </w:rPr>
        <w:t>α</w:t>
      </w:r>
      <w:r w:rsidR="00C9230A" w:rsidRPr="00BD7F2B">
        <w:rPr>
          <w:i/>
          <w:iCs/>
          <w:vertAlign w:val="superscript"/>
        </w:rPr>
        <w:t>2</w:t>
      </w:r>
      <w:r w:rsidR="00C9230A" w:rsidRPr="00C9230A">
        <w:t xml:space="preserve"> values ranged between 2 and 4 across species, indicating that fixing </w:t>
      </w:r>
      <w:r w:rsidR="00C9230A" w:rsidRPr="0063681B">
        <w:rPr>
          <w:i/>
          <w:iCs/>
          <w:lang w:val="el-GR"/>
        </w:rPr>
        <w:t>α</w:t>
      </w:r>
      <w:r w:rsidR="00C9230A" w:rsidRPr="00BD7F2B">
        <w:rPr>
          <w:i/>
          <w:iCs/>
          <w:vertAlign w:val="superscript"/>
        </w:rPr>
        <w:t>2</w:t>
      </w:r>
      <w:r w:rsidR="00C9230A" w:rsidRPr="00C9230A">
        <w:t xml:space="preserve"> at 4 remains within a realistic range</w:t>
      </w:r>
      <w:r w:rsidR="00616E8D">
        <w:t xml:space="preserve"> (</w:t>
      </w:r>
      <w:r w:rsidR="00616E8D" w:rsidRPr="00C3078A">
        <w:rPr>
          <w:szCs w:val="36"/>
        </w:rPr>
        <w:t xml:space="preserve">Supplementary </w:t>
      </w:r>
      <w:r w:rsidR="00616E8D">
        <w:rPr>
          <w:szCs w:val="36"/>
        </w:rPr>
        <w:t>Table S1</w:t>
      </w:r>
      <w:r w:rsidR="00616E8D">
        <w:t>)</w:t>
      </w:r>
      <w:r w:rsidR="00C9230A" w:rsidRPr="00C9230A">
        <w:t>.</w:t>
      </w:r>
      <w:r w:rsidR="00D905C8">
        <w:t xml:space="preserve"> In contrast</w:t>
      </w:r>
      <w:r w:rsidR="004249EA">
        <w:t xml:space="preserve"> </w:t>
      </w:r>
      <w:r w:rsidR="0063681B" w:rsidRPr="0063681B">
        <w:rPr>
          <w:i/>
          <w:iCs/>
          <w:lang w:val="el-GR"/>
        </w:rPr>
        <w:t>σ</w:t>
      </w:r>
      <w:r w:rsidR="00BD7F2B" w:rsidRPr="00BD7F2B">
        <w:rPr>
          <w:i/>
          <w:iCs/>
          <w:vertAlign w:val="superscript"/>
        </w:rPr>
        <w:t>2</w:t>
      </w:r>
      <w:r w:rsidR="009E0D6B">
        <w:t xml:space="preserve"> </w:t>
      </w:r>
      <w:r w:rsidR="00CA0A3C">
        <w:t>represents</w:t>
      </w:r>
      <w:r w:rsidR="000C295A" w:rsidRPr="000C295A">
        <w:t xml:space="preserve"> </w:t>
      </w:r>
      <w:r w:rsidR="00D905C8">
        <w:t>the</w:t>
      </w:r>
      <w:r w:rsidR="000C295A" w:rsidRPr="000C295A">
        <w:t xml:space="preserve"> method-specific measurement uncertainty and therefore </w:t>
      </w:r>
      <w:r w:rsidR="00CA0A3C">
        <w:t>reflecting</w:t>
      </w:r>
      <w:r w:rsidR="004242D5">
        <w:t xml:space="preserve"> </w:t>
      </w:r>
      <w:r w:rsidR="004242D5" w:rsidRPr="004242D5">
        <w:t>a shared observation process across species</w:t>
      </w:r>
      <w:r w:rsidR="00CA0A3C">
        <w:t>.</w:t>
      </w:r>
    </w:p>
    <w:bookmarkEnd w:id="8"/>
    <w:p w14:paraId="5A754501" w14:textId="77777777" w:rsidR="00180245" w:rsidRDefault="00180245" w:rsidP="00101BFB">
      <w:pPr>
        <w:pStyle w:val="BodyText"/>
      </w:pPr>
    </w:p>
    <w:p w14:paraId="3144ED2B" w14:textId="34CDFDCF" w:rsidR="00640CD9" w:rsidRDefault="00180245" w:rsidP="00101BFB">
      <w:pPr>
        <w:pStyle w:val="BodyText"/>
      </w:pPr>
      <w:r>
        <w:t xml:space="preserve">Given the large number of </w:t>
      </w:r>
      <w:r w:rsidR="00CA0A3C" w:rsidRPr="00CA0A3C">
        <w:t>projected</w:t>
      </w:r>
      <w:r w:rsidR="00CA0A3C">
        <w:rPr>
          <w:i/>
          <w:iCs/>
        </w:rPr>
        <w:t xml:space="preserve"> </w:t>
      </w:r>
      <w:r>
        <w:t>eDNA points (</w:t>
      </w:r>
      <w:r w:rsidRPr="002362C0">
        <w:rPr>
          <w:i/>
          <w:iCs/>
        </w:rPr>
        <w:t>Q</w:t>
      </w:r>
      <w:r>
        <w:t xml:space="preserve">), fitting a GP model using all locations (≈ 20,000 input values) was computationally prohibitive. </w:t>
      </w:r>
      <w:r w:rsidR="00AD0717" w:rsidRPr="00AD0717">
        <w:t>To overcome this, we established a baseline for our analysis by randomly selecting a subset of 4,000 sampling points from each of the 200 simulated datasets.</w:t>
      </w:r>
      <w:r w:rsidR="00D71941">
        <w:t xml:space="preserve"> </w:t>
      </w:r>
      <w:r w:rsidR="00640CD9" w:rsidRPr="00640CD9">
        <w:t xml:space="preserve">This subset served as the </w:t>
      </w:r>
      <w:r w:rsidR="00640CD9">
        <w:t>“</w:t>
      </w:r>
      <w:r w:rsidR="00640CD9" w:rsidRPr="00640CD9">
        <w:t>complete</w:t>
      </w:r>
      <w:r w:rsidR="00640CD9">
        <w:t>”</w:t>
      </w:r>
      <w:r w:rsidR="00640CD9" w:rsidRPr="00640CD9">
        <w:t xml:space="preserve"> observation dataset (</w:t>
      </w:r>
      <w:r w:rsidR="00640CD9" w:rsidRPr="001C5725">
        <w:rPr>
          <w:i/>
          <w:iCs/>
        </w:rPr>
        <w:t>Y</w:t>
      </w:r>
      <w:r w:rsidR="00640CD9" w:rsidRPr="00640CD9">
        <w:t xml:space="preserve">) </w:t>
      </w:r>
      <w:r w:rsidR="00D209C7">
        <w:t>and its covariate (</w:t>
      </w:r>
      <w:r w:rsidR="00D209C7" w:rsidRPr="00D209C7">
        <w:rPr>
          <w:i/>
          <w:iCs/>
        </w:rPr>
        <w:t>X</w:t>
      </w:r>
      <w:r w:rsidR="00D209C7" w:rsidRPr="00D209C7">
        <w:t>)</w:t>
      </w:r>
      <w:r w:rsidR="00D209C7">
        <w:rPr>
          <w:i/>
          <w:iCs/>
        </w:rPr>
        <w:t xml:space="preserve"> </w:t>
      </w:r>
      <w:r w:rsidR="00640CD9" w:rsidRPr="00640CD9">
        <w:t>for each simulation run. Following a procedure identical to that used for the empirical data, we first fit the GP model (Eq. 1–2) to each complete simulated dataset (</w:t>
      </w:r>
      <w:r w:rsidR="00640CD9" w:rsidRPr="001C5725">
        <w:rPr>
          <w:i/>
          <w:iCs/>
        </w:rPr>
        <w:t>Y</w:t>
      </w:r>
      <w:r w:rsidR="00640CD9" w:rsidRPr="00640CD9">
        <w:t xml:space="preserve">) </w:t>
      </w:r>
      <w:r w:rsidR="0099337B">
        <w:t>and covariate (</w:t>
      </w:r>
      <w:r w:rsidR="0099337B" w:rsidRPr="0099337B">
        <w:rPr>
          <w:i/>
          <w:iCs/>
        </w:rPr>
        <w:t>X</w:t>
      </w:r>
      <w:r w:rsidR="0099337B">
        <w:t xml:space="preserve">) </w:t>
      </w:r>
      <w:r w:rsidR="00640CD9" w:rsidRPr="00640CD9">
        <w:t xml:space="preserve">to infer its governing parameters </w:t>
      </w:r>
      <w:r w:rsidR="00C47431">
        <w:t>(</w:t>
      </w:r>
      <w:proofErr w:type="spellStart"/>
      <w:r w:rsidR="00C47431" w:rsidRPr="001B3530">
        <w:rPr>
          <w:i/>
          <w:iCs/>
        </w:rPr>
        <w:t>μ</w:t>
      </w:r>
      <w:r w:rsidR="00C47431" w:rsidRPr="001B3530">
        <w:rPr>
          <w:i/>
          <w:iCs/>
          <w:vertAlign w:val="subscript"/>
        </w:rPr>
        <w:t>d</w:t>
      </w:r>
      <w:proofErr w:type="spellEnd"/>
      <w:r w:rsidR="00C47431">
        <w:t xml:space="preserve">, </w:t>
      </w:r>
      <w:r w:rsidR="00C47431" w:rsidRPr="001B3530">
        <w:rPr>
          <w:i/>
          <w:iCs/>
        </w:rPr>
        <w:t>ρ</w:t>
      </w:r>
      <w:r w:rsidR="00C47431">
        <w:t xml:space="preserve">, </w:t>
      </w:r>
      <w:r w:rsidR="00C47431" w:rsidRPr="001B3530">
        <w:rPr>
          <w:i/>
          <w:iCs/>
        </w:rPr>
        <w:t>α</w:t>
      </w:r>
      <w:r w:rsidR="0099337B" w:rsidRPr="0099337B">
        <w:rPr>
          <w:i/>
          <w:iCs/>
          <w:vertAlign w:val="superscript"/>
        </w:rPr>
        <w:t>2</w:t>
      </w:r>
      <w:r w:rsidR="00C47431">
        <w:t xml:space="preserve">, and </w:t>
      </w:r>
      <w:r w:rsidR="00C47431" w:rsidRPr="001B3530">
        <w:rPr>
          <w:i/>
          <w:iCs/>
        </w:rPr>
        <w:t>σ</w:t>
      </w:r>
      <w:r w:rsidR="0099337B">
        <w:rPr>
          <w:i/>
          <w:iCs/>
          <w:vertAlign w:val="superscript"/>
        </w:rPr>
        <w:t>2</w:t>
      </w:r>
      <w:r w:rsidR="00640CD9" w:rsidRPr="00640CD9">
        <w:t xml:space="preserve">) and </w:t>
      </w:r>
      <w:r w:rsidR="00C535D8">
        <w:t>thereafter</w:t>
      </w:r>
      <w:r w:rsidR="00640CD9" w:rsidRPr="00640CD9">
        <w:t xml:space="preserve"> predict eDNA concentrations (</w:t>
      </w:r>
      <w:r w:rsidR="00640CD9" w:rsidRPr="001C5725">
        <w:rPr>
          <w:i/>
          <w:iCs/>
        </w:rPr>
        <w:t>Z</w:t>
      </w:r>
      <w:r w:rsidR="00640CD9" w:rsidRPr="00640CD9">
        <w:t>) across the full spatial grid (</w:t>
      </w:r>
      <w:r w:rsidR="00640CD9" w:rsidRPr="001C5725">
        <w:rPr>
          <w:i/>
          <w:iCs/>
        </w:rPr>
        <w:t>Q</w:t>
      </w:r>
      <w:r w:rsidR="00640CD9" w:rsidRPr="00640CD9">
        <w:t>)</w:t>
      </w:r>
      <w:r w:rsidR="008E4574">
        <w:t xml:space="preserve"> using Eq. 3</w:t>
      </w:r>
      <w:r w:rsidR="00640CD9" w:rsidRPr="00640CD9">
        <w:t>.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01BFB">
      <w:pPr>
        <w:pStyle w:val="BodyText"/>
      </w:pPr>
    </w:p>
    <w:p w14:paraId="56A96515" w14:textId="651AE397" w:rsidR="00B11167" w:rsidRDefault="00D71941" w:rsidP="00101BFB">
      <w:pPr>
        <w:pStyle w:val="BodyText"/>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rsidR="003A49B0" w:rsidRPr="003A49B0">
        <w:t>Following the same procedure used for the empirical data, we fit the GP model</w:t>
      </w:r>
      <w:r w:rsidR="003A49B0">
        <w:t xml:space="preserve"> (Eq. 1-</w:t>
      </w:r>
      <w:r w:rsidR="005130A3">
        <w:t>3</w:t>
      </w:r>
      <w:r w:rsidR="003A49B0">
        <w:t>)</w:t>
      </w:r>
      <w:r w:rsidR="00C30246" w:rsidRPr="00C30246">
        <w:t xml:space="preserve"> </w:t>
      </w:r>
      <w:r w:rsidRPr="00D71941">
        <w:t>to</w:t>
      </w:r>
      <w:r w:rsidR="00B7045F">
        <w:t xml:space="preserve"> estimate the </w:t>
      </w:r>
      <w:r w:rsidR="00B7045F" w:rsidRPr="00640CD9">
        <w:t>governing parameters</w:t>
      </w:r>
      <w:r w:rsidRPr="00D71941">
        <w:t xml:space="preserve"> </w:t>
      </w:r>
      <w:r w:rsidR="00B7045F">
        <w:t xml:space="preserve">and </w:t>
      </w:r>
      <w:r w:rsidRPr="00D71941">
        <w:t xml:space="preserve">generate an effort-specific spatial prediction </w:t>
      </w:r>
      <w:r w:rsidR="0096274C" w:rsidRPr="00D71941">
        <w:t>(</w:t>
      </w:r>
      <w:r w:rsidR="0096274C" w:rsidRPr="0096274C">
        <w:rPr>
          <w:i/>
          <w:iCs/>
        </w:rPr>
        <w:t>S</w:t>
      </w:r>
      <w:r w:rsidR="0096274C" w:rsidRPr="0096274C">
        <w:rPr>
          <w:i/>
          <w:iCs/>
          <w:vertAlign w:val="subscript"/>
        </w:rPr>
        <w:t>E</w:t>
      </w:r>
      <w:r w:rsidR="0096274C" w:rsidRPr="00D71941">
        <w:t>)</w:t>
      </w:r>
      <w:r w:rsidR="00B7045F">
        <w:t xml:space="preserve"> on the </w:t>
      </w:r>
      <w:r w:rsidR="00B7045F" w:rsidRPr="00640CD9">
        <w:t>full spatial grid (</w:t>
      </w:r>
      <w:r w:rsidR="00B7045F" w:rsidRPr="00B7045F">
        <w:rPr>
          <w:i/>
          <w:iCs/>
        </w:rPr>
        <w:t>Q</w:t>
      </w:r>
      <w:r w:rsidR="00B7045F" w:rsidRPr="00640CD9">
        <w:t>)</w:t>
      </w:r>
      <w:r w:rsidRPr="00D71941">
        <w:t xml:space="preserve">. We then 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rsidRPr="00D71941">
        <w:t>.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01BFB">
      <w:pPr>
        <w:pStyle w:val="BodyText"/>
      </w:pPr>
    </w:p>
    <w:p w14:paraId="4CFA0088" w14:textId="1C314B50" w:rsidR="00BB5672" w:rsidRDefault="00BB5672" w:rsidP="00101BFB">
      <w:pPr>
        <w:pStyle w:val="BodyText"/>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rsidR="00C30AD9">
        <w:t xml:space="preserve">This </w:t>
      </w:r>
      <w:r w:rsidR="00C30AD9">
        <w:lastRenderedPageBreak/>
        <w:t>allowed us to quantify how reliably different sampling effort (</w:t>
      </w:r>
      <w:r w:rsidR="00C30AD9" w:rsidRPr="00601EEA">
        <w:rPr>
          <w:i/>
          <w:iCs/>
        </w:rPr>
        <w:t>E</w:t>
      </w:r>
      <w:r w:rsidR="00C30AD9">
        <w:t>) recovered the underlying governing parameters of GP models.</w:t>
      </w:r>
    </w:p>
    <w:p w14:paraId="3F904544" w14:textId="77777777" w:rsidR="00B11167" w:rsidRDefault="00B11167" w:rsidP="00101BFB">
      <w:pPr>
        <w:pStyle w:val="BodyText"/>
      </w:pPr>
    </w:p>
    <w:p w14:paraId="4BD01BB9" w14:textId="5E5A0C21" w:rsidR="00792AAF" w:rsidRPr="009E1270" w:rsidRDefault="00B11167" w:rsidP="00101BFB">
      <w:pPr>
        <w:pStyle w:val="BodyText"/>
      </w:pPr>
      <w:r w:rsidRPr="00BF6F31">
        <w:rPr>
          <w:b/>
          <w:bCs w:val="0"/>
        </w:rPr>
        <w:t>Regression analysis of prediction error</w:t>
      </w:r>
    </w:p>
    <w:p w14:paraId="1E0862D8" w14:textId="6D8AD382" w:rsidR="00F67F82" w:rsidRDefault="00904831" w:rsidP="00101BFB">
      <w:pPr>
        <w:pStyle w:val="FirstParagraph"/>
      </w:pPr>
      <w:bookmarkStart w:id="10" w:name="OLE_LINK6"/>
      <w:r w:rsidRPr="00904831">
        <w:t>After quantifying prediction error for the empirical and simulated datasets, we next asked how the two key drivers</w:t>
      </w:r>
      <w:r w:rsidR="00F65D5F">
        <w:t xml:space="preserve"> (i.e., </w:t>
      </w:r>
      <w:r w:rsidRPr="00904831">
        <w:t xml:space="preserve">sampling </w:t>
      </w:r>
      <w:r w:rsidR="00F65D5F">
        <w:t>effort</w:t>
      </w:r>
      <w:r w:rsidRPr="00904831">
        <w:t xml:space="preserve"> and spatial autocorrelation</w:t>
      </w:r>
      <w:r w:rsidR="00F65D5F">
        <w:t xml:space="preserve">) </w:t>
      </w:r>
      <w:r w:rsidRPr="00904831">
        <w:t xml:space="preserve">jointly shape that error. By fitting a simple log‑linear model to </w:t>
      </w:r>
      <w:r w:rsidR="00C17112">
        <w:t>each</w:t>
      </w:r>
      <w:r w:rsidRPr="00904831">
        <w:t xml:space="preserve"> </w:t>
      </w:r>
      <w:r w:rsidR="00EF4E5D">
        <w:t xml:space="preserve">dataset </w:t>
      </w:r>
      <w:r w:rsidR="00730F4E" w:rsidRPr="00730F4E">
        <w:t xml:space="preserve">separately </w:t>
      </w:r>
      <w:r w:rsidR="00EF4E5D">
        <w:t>(</w:t>
      </w:r>
      <w:r w:rsidR="00106A43">
        <w:rPr>
          <w:lang w:val="el-GR"/>
        </w:rPr>
        <w:t>ε</w:t>
      </w:r>
      <w:r w:rsidR="00106A43" w:rsidRPr="004A7175">
        <w:rPr>
          <w:vertAlign w:val="subscript"/>
        </w:rPr>
        <w:t>1</w:t>
      </w:r>
      <w:r w:rsidR="00106A43">
        <w:t xml:space="preserve"> and </w:t>
      </w:r>
      <w:r w:rsidR="00106A43">
        <w:rPr>
          <w:lang w:val="el-GR"/>
        </w:rPr>
        <w:t>ε</w:t>
      </w:r>
      <w:r w:rsidR="00106A43" w:rsidRPr="004A7175">
        <w:rPr>
          <w:vertAlign w:val="subscript"/>
        </w:rPr>
        <w:t>2</w:t>
      </w:r>
      <w:r w:rsidR="00106A43">
        <w:t xml:space="preserve"> respectively</w:t>
      </w:r>
      <w:r w:rsidR="000A3533">
        <w:t xml:space="preserve"> for empirical and simulation</w:t>
      </w:r>
      <w:r w:rsidR="00EF4E5D">
        <w:t>)</w:t>
      </w:r>
      <w:r w:rsidRPr="00904831">
        <w:t xml:space="preserve">, we were able to isolate the individual contributions of each factor and </w:t>
      </w:r>
      <w:r w:rsidR="00164CCE">
        <w:t>compare between the two data</w:t>
      </w:r>
      <w:r w:rsidR="006354DD">
        <w:t>sets</w:t>
      </w:r>
      <w:r w:rsidRPr="00904831">
        <w:t xml:space="preserve">. </w:t>
      </w:r>
    </w:p>
    <w:bookmarkEnd w:id="10"/>
    <w:p w14:paraId="58DABC85" w14:textId="77777777" w:rsidR="00F65D5F" w:rsidRPr="00F65D5F" w:rsidRDefault="00F65D5F" w:rsidP="00101BFB">
      <w:pPr>
        <w:pStyle w:val="BodyText"/>
      </w:pPr>
    </w:p>
    <w:p w14:paraId="4B1FC85F" w14:textId="088A87AA" w:rsidR="007D39EF" w:rsidRPr="007D39EF" w:rsidRDefault="007D39EF" w:rsidP="00101BFB">
      <w:pPr>
        <w:pStyle w:val="FirstParagraph"/>
      </w:pPr>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01BF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01BFB">
      <w:pPr>
        <w:pStyle w:val="BodyText"/>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3B127CBD" w14:textId="77777777" w:rsidR="00966400" w:rsidRDefault="00966400" w:rsidP="00101BFB">
      <w:pPr>
        <w:pStyle w:val="BodyText"/>
      </w:pPr>
    </w:p>
    <w:p w14:paraId="12B2A826" w14:textId="4C57DF21" w:rsidR="00DC0E33" w:rsidRPr="00450784" w:rsidRDefault="00095871" w:rsidP="00101BFB">
      <w:pPr>
        <w:pStyle w:val="BodyText"/>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2C8842F2" w:rsidR="00AD3A27" w:rsidRDefault="00DB2CB7" w:rsidP="00101BFB">
      <w:pPr>
        <w:pStyle w:val="BodyText"/>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 xml:space="preserve">4,000 samples. </w:t>
      </w:r>
      <w:r w:rsidR="00AD3A27" w:rsidRPr="00D36B91">
        <w:t>Consequently</w:t>
      </w:r>
      <w:r w:rsidR="00AD3A27" w:rsidRPr="00852B43">
        <w:t>, prediction accuracy</w:t>
      </w:r>
      <w:r w:rsidR="00AD3A27">
        <w:t xml:space="preserve"> </w:t>
      </w:r>
      <w:r w:rsidR="00AD3A27">
        <w:rPr>
          <w:lang w:val="el-GR"/>
        </w:rPr>
        <w:t>ε</w:t>
      </w:r>
      <w:r w:rsidR="00AD3A27" w:rsidRPr="00700CCC">
        <w:rPr>
          <w:vertAlign w:val="subscript"/>
        </w:rPr>
        <w:t>1</w:t>
      </w:r>
      <w:r w:rsidR="00AD3A27" w:rsidRPr="00852B43">
        <w:t xml:space="preserve"> in the empirical and</w:t>
      </w:r>
      <w:r w:rsidR="00AD3A27">
        <w:t xml:space="preserve"> </w:t>
      </w:r>
      <w:r w:rsidR="00AD3A27" w:rsidRPr="00311B63">
        <w:rPr>
          <w:i/>
          <w:iCs/>
          <w:lang w:val="el-GR"/>
        </w:rPr>
        <w:t>ε</w:t>
      </w:r>
      <w:r w:rsidR="00AD3A27" w:rsidRPr="00311B63">
        <w:rPr>
          <w:i/>
          <w:iCs/>
          <w:vertAlign w:val="subscript"/>
          <w:lang w:val="el-GR"/>
        </w:rPr>
        <w:t>2</w:t>
      </w:r>
      <w:r w:rsidR="00AD3A27">
        <w:rPr>
          <w:lang w:val="el-GR"/>
        </w:rPr>
        <w:t xml:space="preserve"> </w:t>
      </w:r>
      <w:r w:rsidR="00AD3A27">
        <w:t>in</w:t>
      </w:r>
      <w:r w:rsidR="00AD3A27" w:rsidRPr="00852B43">
        <w:t xml:space="preserve"> </w:t>
      </w:r>
      <w:r w:rsidR="00AD3A27">
        <w:t xml:space="preserve">the </w:t>
      </w:r>
      <w:r w:rsidR="00AD3A27" w:rsidRPr="00852B43">
        <w:t xml:space="preserve">simulation </w:t>
      </w:r>
      <w:r w:rsidR="00AD3A27">
        <w:t>datasets</w:t>
      </w:r>
      <w:r w:rsidR="00AD3A27" w:rsidRPr="00852B43">
        <w:t xml:space="preserve"> was evaluated against different reference benchmarks</w:t>
      </w:r>
      <w:r w:rsidR="00AD3A27">
        <w:t xml:space="preserve"> </w:t>
      </w:r>
      <w:r w:rsidR="00AD3A27" w:rsidRPr="00117CD3">
        <w:t>and is therefore not directly comparable</w:t>
      </w:r>
      <w:r w:rsidR="00AE01EE">
        <w:t xml:space="preserve"> (</w:t>
      </w:r>
      <w:r w:rsidR="00AE01EE">
        <w:rPr>
          <w:rStyle w:val="s2"/>
        </w:rPr>
        <w:t>Figure 2</w:t>
      </w:r>
      <w:r w:rsidR="00AE01EE">
        <w:t>)</w:t>
      </w:r>
      <w:r w:rsidR="00AD3A27" w:rsidRPr="00852B43">
        <w:t>.</w:t>
      </w:r>
      <w:r w:rsidR="00AD3A27">
        <w:t xml:space="preserve"> </w:t>
      </w:r>
      <w:r w:rsidR="00AD3A27" w:rsidRPr="001F10CE">
        <w:t>Moreover, the empirical dataset could not be used to evaluate prediction accuracy at sampling efforts greater than</w:t>
      </w:r>
      <w:r w:rsidR="00D926E4">
        <w:t xml:space="preserve"> the </w:t>
      </w:r>
      <w:r w:rsidR="00D25D98">
        <w:t>existing sampling scheme</w:t>
      </w:r>
      <w:r w:rsidR="00AD3A27">
        <w:t>.</w:t>
      </w:r>
    </w:p>
    <w:p w14:paraId="465C749A" w14:textId="77777777" w:rsidR="008A2651" w:rsidRDefault="008A2651" w:rsidP="00101BFB">
      <w:pPr>
        <w:pStyle w:val="BodyText"/>
      </w:pPr>
      <w:bookmarkStart w:id="11" w:name="OLE_LINK7"/>
    </w:p>
    <w:p w14:paraId="566D1DFE" w14:textId="61D9D6C0" w:rsidR="003A0DF7" w:rsidRDefault="007D272A" w:rsidP="00101BFB">
      <w:pPr>
        <w:pStyle w:val="BodyText"/>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1"/>
      <w:r w:rsidR="00017D18">
        <w:t xml:space="preserve"> </w:t>
      </w:r>
      <w:r w:rsidR="00F12156" w:rsidRPr="00F12156">
        <w:t xml:space="preserve">Specifically, for each simulated </w:t>
      </w:r>
      <w:r w:rsidR="005068E0">
        <w:t xml:space="preserve">scenario and iteration </w:t>
      </w:r>
      <w:r w:rsidR="00F12156" w:rsidRPr="00F12156">
        <w:t xml:space="preserve">we </w:t>
      </w:r>
      <w:r w:rsidR="003438BD">
        <w:t>used</w:t>
      </w:r>
      <w:r w:rsidR="005068E0">
        <w:t xml:space="preserve"> the</w:t>
      </w:r>
      <w:r w:rsidR="00F12156" w:rsidRPr="00F12156">
        <w:t xml:space="preserve"> subsample of size </w:t>
      </w:r>
      <w:r w:rsidR="00F12156" w:rsidRPr="007D5E5E">
        <w:rPr>
          <w:i/>
          <w:iCs/>
        </w:rPr>
        <w:t>N</w:t>
      </w:r>
      <w:r w:rsidR="00F12156" w:rsidRPr="00F12156">
        <w:t>=358</w:t>
      </w:r>
      <w:r w:rsidR="002A1B4E" w:rsidRPr="002A1B4E">
        <w:t xml:space="preserve"> </w:t>
      </w:r>
      <w:r w:rsidR="002A1B4E">
        <w:t>(</w:t>
      </w:r>
      <w:r w:rsidR="00A66B72">
        <w:rPr>
          <w:i/>
          <w:iCs/>
        </w:rPr>
        <w:t>Y</w:t>
      </w:r>
      <w:r w:rsidR="00A66B72" w:rsidRPr="00F12156">
        <w:t xml:space="preserve"> </w:t>
      </w:r>
      <w:r w:rsidR="00A66B72">
        <w:sym w:font="Symbol" w:char="F0AC"/>
      </w:r>
      <w:r w:rsidR="007D5E5E">
        <w:rPr>
          <w:i/>
          <w:iCs/>
        </w:rPr>
        <w:t>Y</w:t>
      </w:r>
      <w:r w:rsidR="007D5E5E">
        <w:rPr>
          <w:i/>
          <w:iCs/>
          <w:vertAlign w:val="subscript"/>
        </w:rPr>
        <w:t>E</w:t>
      </w:r>
      <w:r w:rsidR="002A1B4E" w:rsidRPr="00E96C5B">
        <w:rPr>
          <w:i/>
          <w:iCs/>
          <w:vertAlign w:val="subscript"/>
        </w:rPr>
        <w:t>=3</w:t>
      </w:r>
      <w:r w:rsidR="00A4706A">
        <w:rPr>
          <w:i/>
          <w:iCs/>
          <w:vertAlign w:val="subscript"/>
        </w:rPr>
        <w:t>5</w:t>
      </w:r>
      <w:r w:rsidR="00693DEA">
        <w:rPr>
          <w:i/>
          <w:iCs/>
          <w:vertAlign w:val="subscript"/>
        </w:rPr>
        <w:t>8</w:t>
      </w:r>
      <w:r w:rsidR="00C40601">
        <w:rPr>
          <w:i/>
          <w:iCs/>
          <w:vertAlign w:val="subscript"/>
        </w:rPr>
        <w:t xml:space="preserve"> </w:t>
      </w:r>
      <w:r w:rsidR="00C40601" w:rsidRPr="00C40601">
        <w:t>and covariance</w:t>
      </w:r>
      <w:r w:rsidR="00C40601">
        <w:rPr>
          <w:i/>
          <w:iCs/>
        </w:rPr>
        <w:t xml:space="preserve"> X</w:t>
      </w:r>
      <w:r w:rsidR="00C40601" w:rsidRPr="00F12156">
        <w:t xml:space="preserve"> </w:t>
      </w:r>
      <w:r w:rsidR="00C40601">
        <w:sym w:font="Symbol" w:char="F0AC"/>
      </w:r>
      <w:r w:rsidR="00C40601">
        <w:rPr>
          <w:i/>
          <w:iCs/>
        </w:rPr>
        <w:t>X</w:t>
      </w:r>
      <w:r w:rsidR="00C40601">
        <w:rPr>
          <w:i/>
          <w:iCs/>
          <w:vertAlign w:val="subscript"/>
        </w:rPr>
        <w:t>E</w:t>
      </w:r>
      <w:r w:rsidR="00C40601" w:rsidRPr="00E96C5B">
        <w:rPr>
          <w:i/>
          <w:iCs/>
          <w:vertAlign w:val="subscript"/>
        </w:rPr>
        <w:t>=3</w:t>
      </w:r>
      <w:r w:rsidR="00C40601">
        <w:rPr>
          <w:i/>
          <w:iCs/>
          <w:vertAlign w:val="subscript"/>
        </w:rPr>
        <w:t>58</w:t>
      </w:r>
      <w:r w:rsidR="002A1B4E" w:rsidRPr="002A1B4E">
        <w:t>)</w:t>
      </w:r>
      <w:r w:rsidR="00F12156" w:rsidRPr="00F12156">
        <w:t xml:space="preserve"> and treated this dataset as the reference observation set</w:t>
      </w:r>
      <w:r w:rsidR="00C40601">
        <w:t xml:space="preserve"> (benchmark)</w:t>
      </w:r>
      <w:r w:rsidR="00F12156" w:rsidRPr="00F12156">
        <w:t>. We then generated the corresponding prediction</w:t>
      </w:r>
      <w:r w:rsidR="008C75A1" w:rsidRPr="008C75A1">
        <w:t xml:space="preserve"> </w:t>
      </w:r>
      <w:r w:rsidR="00AE48A0">
        <w:rPr>
          <w:i/>
          <w:iCs/>
        </w:rPr>
        <w:t>Z</w:t>
      </w:r>
      <w:r w:rsidR="00AE48A0" w:rsidRPr="00F12156">
        <w:t xml:space="preserve"> </w:t>
      </w:r>
      <w:r w:rsidR="00AE48A0">
        <w:sym w:font="Symbol" w:char="F0AC"/>
      </w:r>
      <w:r w:rsidR="00AE48A0" w:rsidRPr="00F12156">
        <w:t xml:space="preserve"> </w:t>
      </w:r>
      <w:r w:rsidR="00AE48A0">
        <w:rPr>
          <w:i/>
          <w:iCs/>
        </w:rPr>
        <w:t>S</w:t>
      </w:r>
      <w:r w:rsidR="007D5E5E">
        <w:rPr>
          <w:i/>
          <w:iCs/>
          <w:vertAlign w:val="subscript"/>
        </w:rPr>
        <w:t>E</w:t>
      </w:r>
      <w:r w:rsidR="00AE48A0" w:rsidRPr="001F6996">
        <w:rPr>
          <w:i/>
          <w:iCs/>
          <w:vertAlign w:val="subscript"/>
        </w:rPr>
        <w:t>=3</w:t>
      </w:r>
      <w:r w:rsidR="00FE24FB">
        <w:rPr>
          <w:i/>
          <w:iCs/>
          <w:vertAlign w:val="subscript"/>
        </w:rPr>
        <w:t>58</w:t>
      </w:r>
      <w:r w:rsidR="00AE48A0">
        <w:t xml:space="preserve"> </w:t>
      </w:r>
      <w:r w:rsidR="00F12156" w:rsidRPr="00F12156">
        <w:t xml:space="preserve">on </w:t>
      </w:r>
      <w:r w:rsidR="00F12156" w:rsidRPr="0070347A">
        <w:rPr>
          <w:i/>
          <w:iCs/>
        </w:rPr>
        <w:t>Q</w:t>
      </w:r>
      <w:r w:rsidR="00F12156" w:rsidRPr="00F12156">
        <w:t xml:space="preserve">, using Eq. 3. From this </w:t>
      </w:r>
      <w:r w:rsidR="00AE48A0">
        <w:t xml:space="preserve">generated </w:t>
      </w:r>
      <w:r w:rsidR="00F12156" w:rsidRPr="00F12156">
        <w:t>baseline</w:t>
      </w:r>
      <w:r w:rsidR="00A66B72">
        <w:t xml:space="preserve"> (</w:t>
      </w:r>
      <w:r w:rsidR="00A66B72" w:rsidRPr="00A66B72">
        <w:rPr>
          <w:i/>
          <w:iCs/>
        </w:rPr>
        <w:t>Z</w:t>
      </w:r>
      <w:r w:rsidR="00A66B72">
        <w:t>)</w:t>
      </w:r>
      <w:r w:rsidR="00F12156" w:rsidRPr="00F12156">
        <w:t xml:space="preserve">, we </w:t>
      </w:r>
      <w:r w:rsidR="00B44F60">
        <w:lastRenderedPageBreak/>
        <w:t xml:space="preserve">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01BFB">
      <w:pPr>
        <w:pStyle w:val="BodyText"/>
      </w:pPr>
    </w:p>
    <w:p w14:paraId="539C881D" w14:textId="65595C74" w:rsidR="007C0AAD" w:rsidRDefault="00F869DE" w:rsidP="00101BFB">
      <w:pPr>
        <w:pStyle w:val="BodyText"/>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rsidR="00994043" w:rsidRPr="00994043">
        <w:t xml:space="preserve"> function in R (R Core Team, 2024), with </w:t>
      </w:r>
      <w:r w:rsidR="00D11C02">
        <w:t xml:space="preserve">log </w:t>
      </w:r>
      <w:r w:rsidR="00994043" w:rsidRPr="00994043">
        <w:t>prediction error as the response variable and log-transformed sampling density and spatial autocorrelation as predictors</w:t>
      </w:r>
      <w:r w:rsidR="00C412FE">
        <w:t xml:space="preserve"> (Supplementary Figure S5 for </w:t>
      </w:r>
      <w:r w:rsidR="00C02218" w:rsidRPr="0065718E">
        <w:t>model fit diagnostics</w:t>
      </w:r>
      <w:r w:rsidR="00C412FE">
        <w:t>)</w:t>
      </w:r>
      <w:r w:rsidR="00994043" w:rsidRPr="00994043">
        <w:t>.</w:t>
      </w:r>
    </w:p>
    <w:p w14:paraId="15C4B441" w14:textId="77777777" w:rsidR="00286ADA" w:rsidRDefault="00286ADA" w:rsidP="00101BFB">
      <w:pPr>
        <w:pStyle w:val="BodyText"/>
      </w:pPr>
    </w:p>
    <w:p w14:paraId="5516F19A" w14:textId="3CDF4E0B" w:rsidR="0032076E" w:rsidRPr="00286ADA" w:rsidRDefault="00A116CB" w:rsidP="007718FD">
      <w:pPr>
        <w:pStyle w:val="TableCaption"/>
        <w:spacing w:after="0" w:line="360" w:lineRule="auto"/>
        <w:rPr>
          <w:rFonts w:ascii="Times New Roman" w:hAnsi="Times New Roman" w:cs="Times New Roman"/>
        </w:rPr>
      </w:pPr>
      <w:bookmarkStart w:id="12"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101BFB">
            <w:pPr>
              <w:pStyle w:val="Compact"/>
            </w:pPr>
            <w:r>
              <w:t>Parameter</w:t>
            </w:r>
          </w:p>
        </w:tc>
        <w:tc>
          <w:tcPr>
            <w:tcW w:w="0" w:type="auto"/>
          </w:tcPr>
          <w:p w14:paraId="5516F19C" w14:textId="77777777" w:rsidR="0032076E" w:rsidRDefault="00D04708" w:rsidP="00101BFB">
            <w:pPr>
              <w:pStyle w:val="Compact"/>
            </w:pPr>
            <w:r>
              <w:t>Prior</w:t>
            </w:r>
          </w:p>
        </w:tc>
        <w:tc>
          <w:tcPr>
            <w:tcW w:w="0" w:type="auto"/>
            <w:gridSpan w:val="2"/>
          </w:tcPr>
          <w:p w14:paraId="5516F19D" w14:textId="77777777" w:rsidR="0032076E" w:rsidRDefault="00D04708" w:rsidP="00101BFB">
            <w:pPr>
              <w:pStyle w:val="Compact"/>
            </w:pPr>
            <w:r>
              <w:t>Range</w:t>
            </w:r>
          </w:p>
        </w:tc>
        <w:tc>
          <w:tcPr>
            <w:tcW w:w="0" w:type="auto"/>
          </w:tcPr>
          <w:p w14:paraId="5516F19E" w14:textId="77777777" w:rsidR="0032076E" w:rsidRDefault="0032076E" w:rsidP="00101BFB">
            <w:pPr>
              <w:pStyle w:val="Compact"/>
            </w:pPr>
          </w:p>
        </w:tc>
      </w:tr>
      <w:tr w:rsidR="0032076E" w14:paraId="5516F1A5" w14:textId="77777777">
        <w:tc>
          <w:tcPr>
            <w:tcW w:w="0" w:type="auto"/>
          </w:tcPr>
          <w:p w14:paraId="5516F1A0" w14:textId="2BE1F052" w:rsidR="0032076E" w:rsidRDefault="0032076E" w:rsidP="00101BFB">
            <w:pPr>
              <w:pStyle w:val="Compact"/>
            </w:pPr>
          </w:p>
        </w:tc>
        <w:tc>
          <w:tcPr>
            <w:tcW w:w="0" w:type="auto"/>
          </w:tcPr>
          <w:p w14:paraId="5516F1A1" w14:textId="77777777" w:rsidR="0032076E" w:rsidRDefault="0032076E" w:rsidP="00101BFB">
            <w:pPr>
              <w:pStyle w:val="Compact"/>
            </w:pPr>
          </w:p>
        </w:tc>
        <w:tc>
          <w:tcPr>
            <w:tcW w:w="0" w:type="auto"/>
          </w:tcPr>
          <w:p w14:paraId="5516F1A2" w14:textId="77777777" w:rsidR="0032076E" w:rsidRDefault="00D04708" w:rsidP="00101BFB">
            <w:pPr>
              <w:pStyle w:val="Compact"/>
            </w:pPr>
            <w:r>
              <w:t>Min</w:t>
            </w:r>
          </w:p>
        </w:tc>
        <w:tc>
          <w:tcPr>
            <w:tcW w:w="0" w:type="auto"/>
          </w:tcPr>
          <w:p w14:paraId="5516F1A3" w14:textId="77777777" w:rsidR="0032076E" w:rsidRDefault="00D04708" w:rsidP="00101BFB">
            <w:pPr>
              <w:pStyle w:val="Compact"/>
            </w:pPr>
            <w:r>
              <w:t>Max</w:t>
            </w:r>
          </w:p>
        </w:tc>
        <w:tc>
          <w:tcPr>
            <w:tcW w:w="0" w:type="auto"/>
          </w:tcPr>
          <w:p w14:paraId="5516F1A4" w14:textId="77777777" w:rsidR="0032076E" w:rsidRDefault="0032076E" w:rsidP="00101BFB">
            <w:pPr>
              <w:pStyle w:val="Compact"/>
            </w:pPr>
          </w:p>
        </w:tc>
      </w:tr>
      <w:tr w:rsidR="0032076E" w14:paraId="5516F1AB" w14:textId="77777777">
        <w:tc>
          <w:tcPr>
            <w:tcW w:w="0" w:type="auto"/>
          </w:tcPr>
          <w:p w14:paraId="5516F1A6" w14:textId="5B6A0A2C" w:rsidR="0032076E" w:rsidRPr="00C65783" w:rsidRDefault="00C65783" w:rsidP="00101BFB">
            <w:pPr>
              <w:pStyle w:val="Compact"/>
              <w:rPr>
                <w:vertAlign w:val="superscript"/>
              </w:rPr>
            </w:pPr>
            <w:r>
              <w:rPr>
                <w:lang w:val="el-GR"/>
              </w:rPr>
              <w:t>α</w:t>
            </w:r>
            <w:r>
              <w:rPr>
                <w:vertAlign w:val="superscript"/>
              </w:rPr>
              <w:t>2</w:t>
            </w:r>
          </w:p>
        </w:tc>
        <w:tc>
          <w:tcPr>
            <w:tcW w:w="0" w:type="auto"/>
          </w:tcPr>
          <w:p w14:paraId="5516F1A7" w14:textId="57388936" w:rsidR="0032076E" w:rsidRDefault="00D04708" w:rsidP="00101BFB">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101BFB">
            <w:pPr>
              <w:pStyle w:val="Compact"/>
            </w:pPr>
            <w:r>
              <w:t>0</w:t>
            </w:r>
          </w:p>
        </w:tc>
        <w:tc>
          <w:tcPr>
            <w:tcW w:w="0" w:type="auto"/>
          </w:tcPr>
          <w:p w14:paraId="5516F1A9" w14:textId="77777777" w:rsidR="0032076E" w:rsidRDefault="00D04708" w:rsidP="00101BFB">
            <w:pPr>
              <w:pStyle w:val="Compact"/>
            </w:pPr>
            <w:r>
              <w:t>+</w:t>
            </w:r>
            <m:oMath>
              <m:r>
                <m:rPr>
                  <m:sty m:val="p"/>
                </m:rPr>
                <w:rPr>
                  <w:rFonts w:ascii="Cambria Math" w:hAnsi="Cambria Math"/>
                </w:rPr>
                <m:t>∞</m:t>
              </m:r>
            </m:oMath>
          </w:p>
        </w:tc>
        <w:tc>
          <w:tcPr>
            <w:tcW w:w="0" w:type="auto"/>
          </w:tcPr>
          <w:p w14:paraId="5516F1AA" w14:textId="77777777" w:rsidR="0032076E" w:rsidRDefault="0032076E" w:rsidP="00101BFB">
            <w:pPr>
              <w:pStyle w:val="Compact"/>
            </w:pPr>
          </w:p>
        </w:tc>
      </w:tr>
      <w:tr w:rsidR="0032076E" w14:paraId="5516F1B1" w14:textId="77777777">
        <w:tc>
          <w:tcPr>
            <w:tcW w:w="0" w:type="auto"/>
          </w:tcPr>
          <w:p w14:paraId="5516F1AC" w14:textId="67C51E4B" w:rsidR="0032076E" w:rsidRPr="00107B96" w:rsidRDefault="00107B96" w:rsidP="00101BFB">
            <w:pPr>
              <w:pStyle w:val="Compact"/>
            </w:pPr>
            <w:r>
              <w:rPr>
                <w:lang w:val="el-GR"/>
              </w:rPr>
              <w:t>μ</w:t>
            </w:r>
          </w:p>
        </w:tc>
        <w:tc>
          <w:tcPr>
            <w:tcW w:w="0" w:type="auto"/>
          </w:tcPr>
          <w:p w14:paraId="5516F1AD" w14:textId="5A6E5ED2"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101BFB">
            <w:pPr>
              <w:pStyle w:val="Compact"/>
            </w:pPr>
            <w:r>
              <w:t>-5</w:t>
            </w:r>
          </w:p>
        </w:tc>
        <w:tc>
          <w:tcPr>
            <w:tcW w:w="0" w:type="auto"/>
          </w:tcPr>
          <w:p w14:paraId="5516F1AF" w14:textId="77777777" w:rsidR="0032076E" w:rsidRDefault="00D04708" w:rsidP="00101BFB">
            <w:pPr>
              <w:pStyle w:val="Compact"/>
            </w:pPr>
            <w:r>
              <w:t>+</w:t>
            </w:r>
            <m:oMath>
              <m:r>
                <m:rPr>
                  <m:sty m:val="p"/>
                </m:rPr>
                <w:rPr>
                  <w:rFonts w:ascii="Cambria Math" w:hAnsi="Cambria Math"/>
                </w:rPr>
                <m:t>∞</m:t>
              </m:r>
            </m:oMath>
          </w:p>
        </w:tc>
        <w:tc>
          <w:tcPr>
            <w:tcW w:w="0" w:type="auto"/>
          </w:tcPr>
          <w:p w14:paraId="5516F1B0" w14:textId="77777777" w:rsidR="0032076E" w:rsidRDefault="0032076E" w:rsidP="00101BFB">
            <w:pPr>
              <w:pStyle w:val="Compact"/>
            </w:pPr>
          </w:p>
        </w:tc>
      </w:tr>
      <w:tr w:rsidR="0032076E" w14:paraId="5516F1B7" w14:textId="77777777">
        <w:tc>
          <w:tcPr>
            <w:tcW w:w="0" w:type="auto"/>
          </w:tcPr>
          <w:p w14:paraId="5516F1B2" w14:textId="10F46326" w:rsidR="0032076E" w:rsidRPr="002E0A3F" w:rsidRDefault="002E0A3F" w:rsidP="00101BFB">
            <w:pPr>
              <w:pStyle w:val="Compact"/>
            </w:pPr>
            <w:r>
              <w:t>log(</w:t>
            </w:r>
            <w:r w:rsidRPr="002E0A3F">
              <w:rPr>
                <w:i/>
                <w:iCs/>
                <w:lang w:val="el-GR"/>
              </w:rPr>
              <w:t>ρ</w:t>
            </w:r>
            <w:r>
              <w:t>)</w:t>
            </w:r>
          </w:p>
        </w:tc>
        <w:tc>
          <w:tcPr>
            <w:tcW w:w="0" w:type="auto"/>
          </w:tcPr>
          <w:p w14:paraId="5516F1B3" w14:textId="3454FDD4"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101BFB">
            <w:pPr>
              <w:pStyle w:val="Compact"/>
            </w:pPr>
            <w:r>
              <w:t>-5</w:t>
            </w:r>
          </w:p>
        </w:tc>
        <w:tc>
          <w:tcPr>
            <w:tcW w:w="0" w:type="auto"/>
          </w:tcPr>
          <w:p w14:paraId="5516F1B5" w14:textId="77777777" w:rsidR="0032076E" w:rsidRDefault="00D04708" w:rsidP="00101BFB">
            <w:pPr>
              <w:pStyle w:val="Compact"/>
            </w:pPr>
            <w:r>
              <w:t>+</w:t>
            </w:r>
            <m:oMath>
              <m:r>
                <m:rPr>
                  <m:sty m:val="p"/>
                </m:rPr>
                <w:rPr>
                  <w:rFonts w:ascii="Cambria Math" w:hAnsi="Cambria Math"/>
                </w:rPr>
                <m:t>∞</m:t>
              </m:r>
            </m:oMath>
          </w:p>
        </w:tc>
        <w:tc>
          <w:tcPr>
            <w:tcW w:w="0" w:type="auto"/>
          </w:tcPr>
          <w:p w14:paraId="5516F1B6" w14:textId="77777777" w:rsidR="0032076E" w:rsidRDefault="0032076E" w:rsidP="00101BFB">
            <w:pPr>
              <w:pStyle w:val="Compact"/>
            </w:pPr>
          </w:p>
        </w:tc>
      </w:tr>
      <w:tr w:rsidR="0032076E" w14:paraId="5516F1BD" w14:textId="77777777">
        <w:tc>
          <w:tcPr>
            <w:tcW w:w="0" w:type="auto"/>
          </w:tcPr>
          <w:p w14:paraId="5516F1B8" w14:textId="763D7E77" w:rsidR="0032076E" w:rsidRPr="00107B96" w:rsidRDefault="00107B96" w:rsidP="00101BFB">
            <w:pPr>
              <w:pStyle w:val="Compact"/>
            </w:pPr>
            <w:r>
              <w:rPr>
                <w:lang w:val="el-GR"/>
              </w:rPr>
              <w:t>σ</w:t>
            </w:r>
            <w:r w:rsidRPr="00107B96">
              <w:rPr>
                <w:vertAlign w:val="superscript"/>
              </w:rPr>
              <w:t>2</w:t>
            </w:r>
          </w:p>
        </w:tc>
        <w:tc>
          <w:tcPr>
            <w:tcW w:w="0" w:type="auto"/>
          </w:tcPr>
          <w:p w14:paraId="5516F1B9" w14:textId="2EF4BE2D"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101BFB">
            <w:pPr>
              <w:pStyle w:val="Compact"/>
            </w:pPr>
            <w:r>
              <w:t>0</w:t>
            </w:r>
          </w:p>
        </w:tc>
        <w:tc>
          <w:tcPr>
            <w:tcW w:w="0" w:type="auto"/>
          </w:tcPr>
          <w:p w14:paraId="5516F1BB" w14:textId="77777777" w:rsidR="0032076E" w:rsidRDefault="00D04708" w:rsidP="00101BFB">
            <w:pPr>
              <w:pStyle w:val="Compact"/>
            </w:pPr>
            <w:r>
              <w:t>+</w:t>
            </w:r>
            <m:oMath>
              <m:r>
                <m:rPr>
                  <m:sty m:val="p"/>
                </m:rPr>
                <w:rPr>
                  <w:rFonts w:ascii="Cambria Math" w:hAnsi="Cambria Math"/>
                </w:rPr>
                <m:t>∞</m:t>
              </m:r>
            </m:oMath>
          </w:p>
        </w:tc>
        <w:tc>
          <w:tcPr>
            <w:tcW w:w="0" w:type="auto"/>
          </w:tcPr>
          <w:p w14:paraId="5516F1BC" w14:textId="77777777" w:rsidR="0032076E" w:rsidRDefault="0032076E" w:rsidP="00101BFB">
            <w:pPr>
              <w:pStyle w:val="Compact"/>
            </w:pPr>
          </w:p>
        </w:tc>
      </w:tr>
      <w:tr w:rsidR="0006210A" w14:paraId="743C5062" w14:textId="77777777">
        <w:tc>
          <w:tcPr>
            <w:tcW w:w="0" w:type="auto"/>
          </w:tcPr>
          <w:p w14:paraId="0FE11503" w14:textId="77777777" w:rsidR="0006210A" w:rsidRDefault="0006210A" w:rsidP="00101BFB">
            <w:pPr>
              <w:pStyle w:val="Compact"/>
            </w:pPr>
          </w:p>
        </w:tc>
        <w:tc>
          <w:tcPr>
            <w:tcW w:w="0" w:type="auto"/>
          </w:tcPr>
          <w:p w14:paraId="48EFC1DF" w14:textId="77777777" w:rsidR="0006210A" w:rsidRDefault="0006210A" w:rsidP="00101BFB">
            <w:pPr>
              <w:pStyle w:val="Compact"/>
            </w:pPr>
          </w:p>
        </w:tc>
        <w:tc>
          <w:tcPr>
            <w:tcW w:w="0" w:type="auto"/>
          </w:tcPr>
          <w:p w14:paraId="30ED6F8C" w14:textId="77777777" w:rsidR="0006210A" w:rsidRDefault="0006210A" w:rsidP="00101BFB">
            <w:pPr>
              <w:pStyle w:val="Compact"/>
            </w:pPr>
          </w:p>
        </w:tc>
        <w:tc>
          <w:tcPr>
            <w:tcW w:w="0" w:type="auto"/>
          </w:tcPr>
          <w:p w14:paraId="1FDD0A41" w14:textId="77777777" w:rsidR="0006210A" w:rsidRDefault="0006210A" w:rsidP="00101BFB">
            <w:pPr>
              <w:pStyle w:val="Compact"/>
            </w:pPr>
          </w:p>
        </w:tc>
        <w:tc>
          <w:tcPr>
            <w:tcW w:w="0" w:type="auto"/>
          </w:tcPr>
          <w:p w14:paraId="7DDF2285" w14:textId="77777777" w:rsidR="0006210A" w:rsidRDefault="0006210A" w:rsidP="00101BFB">
            <w:pPr>
              <w:pStyle w:val="Compact"/>
            </w:pPr>
          </w:p>
        </w:tc>
      </w:tr>
    </w:tbl>
    <w:p w14:paraId="5516F1BE" w14:textId="169042CF" w:rsidR="0032076E" w:rsidRDefault="009D7BDF" w:rsidP="009B5174">
      <w:pPr>
        <w:pStyle w:val="CaptionedFigure"/>
        <w:spacing w:after="0" w:line="36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9B5174">
      <w:pPr>
        <w:pStyle w:val="ImageCaption"/>
        <w:spacing w:after="0" w:line="36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rsidR="00495449" w:rsidRPr="00495449">
        <w:t>On the right (</w:t>
      </w:r>
      <w:r w:rsidR="00E112A7">
        <w:t>panel B;</w:t>
      </w:r>
      <w:r w:rsidR="00495449" w:rsidRPr="00495449">
        <w:t xml:space="preserve"> real-world data), </w:t>
      </w:r>
      <w:r w:rsidR="00D65E5F" w:rsidRPr="00D65E5F">
        <w:t>the underlying spatial field is</w:t>
      </w:r>
      <w:r w:rsidR="0097253A">
        <w:t xml:space="preserve"> unknown but assumed to arise from </w:t>
      </w:r>
      <w:r w:rsidR="00DF4F1C">
        <w:t xml:space="preserve">unknown </w:t>
      </w:r>
      <w:r w:rsidR="002821B3">
        <w:t>parameters (</w:t>
      </w:r>
      <w:r w:rsidR="00DF4F1C">
        <w:rPr>
          <w:lang w:val="el-GR"/>
        </w:rPr>
        <w:t xml:space="preserve">μ, ρ, </w:t>
      </w:r>
      <w:r w:rsidR="00DF4F1C">
        <w:t xml:space="preserve">and </w:t>
      </w:r>
      <w:r w:rsidR="00DF4F1C">
        <w:rPr>
          <w:lang w:val="el-GR"/>
        </w:rPr>
        <w:t>σ</w:t>
      </w:r>
      <w:r w:rsidR="002821B3">
        <w:t>)</w:t>
      </w:r>
      <w:r w:rsidR="0097253A">
        <w:t>. Using the full observed dataset (Y, N=358), a baseline predicted field (</w:t>
      </w:r>
      <w:r w:rsidR="002821B3">
        <w:t>Z</w:t>
      </w:r>
      <w:r w:rsidR="0097253A">
        <w:t xml:space="preserve">) is obtained. The observed samples are then thinned using the same </w:t>
      </w:r>
      <w:r w:rsidR="00412E7B">
        <w:t>Y</w:t>
      </w:r>
      <w:r w:rsidR="00412E7B">
        <w:rPr>
          <w:vertAlign w:val="subscript"/>
        </w:rPr>
        <w:t>E</w:t>
      </w:r>
      <w:r w:rsidR="0097253A">
        <w:t xml:space="preserve"> designs, re</w:t>
      </w:r>
      <w:r w:rsidR="00F844BA">
        <w:rPr>
          <w:lang w:val="el-GR"/>
        </w:rPr>
        <w:t>-</w:t>
      </w:r>
      <w:r w:rsidR="0097253A">
        <w:t>fit, and used to generate predicted fields S</w:t>
      </w:r>
      <w:r w:rsidR="00412E7B">
        <w:rPr>
          <w:vertAlign w:val="subscript"/>
        </w:rPr>
        <w:t>E</w:t>
      </w:r>
      <w:r w:rsidR="0097253A">
        <w:t xml:space="preserve">. Deviations of thinned predictions from the baseline prediction quantify </w:t>
      </w:r>
      <w:r w:rsidR="002821B3">
        <w:rPr>
          <w:lang w:val="el-GR"/>
        </w:rPr>
        <w:t>ε</w:t>
      </w:r>
      <w:r w:rsidR="00295D54">
        <w:rPr>
          <w:vertAlign w:val="subscript"/>
        </w:rPr>
        <w:t>1</w:t>
      </w:r>
      <w:r w:rsidR="0097253A">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14" w:name="results"/>
      <w:bookmarkEnd w:id="5"/>
      <w:bookmarkEnd w:id="9"/>
      <w:bookmarkEnd w:id="13"/>
      <w:r>
        <w:t>Results</w:t>
      </w:r>
    </w:p>
    <w:p w14:paraId="4C1EC43C" w14:textId="77777777" w:rsidR="00823035" w:rsidRDefault="00823035" w:rsidP="00101BFB">
      <w:pPr>
        <w:pStyle w:val="BodyText"/>
      </w:pPr>
    </w:p>
    <w:p w14:paraId="7DA3AAF6" w14:textId="35350FB0" w:rsidR="00823035" w:rsidRPr="00450784" w:rsidRDefault="00823035" w:rsidP="00101BFB">
      <w:pPr>
        <w:pStyle w:val="BodyText"/>
      </w:pPr>
      <w:bookmarkStart w:id="15" w:name="fig:epsilon"/>
      <w:r w:rsidRPr="00762C7D">
        <w:rPr>
          <w:b/>
          <w:bCs w:val="0"/>
        </w:rPr>
        <w:t>Empirical data</w:t>
      </w:r>
    </w:p>
    <w:p w14:paraId="57347855" w14:textId="39A5009A" w:rsidR="00D31C68" w:rsidRDefault="000443C6" w:rsidP="00D31C68">
      <w:pPr>
        <w:pStyle w:val="BodyText"/>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w:t>
      </w:r>
      <w:r w:rsidRPr="000443C6">
        <w:lastRenderedPageBreak/>
        <w:t xml:space="preserve">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rsidR="00D31C68" w:rsidRPr="0087355A">
        <w:t xml:space="preserve">Together, these patterns suggest that surface-associated species </w:t>
      </w:r>
      <w:r w:rsidR="00D31C68">
        <w:t>may be</w:t>
      </w:r>
      <w:r w:rsidR="00D31C68" w:rsidRPr="0087355A">
        <w:t xml:space="preserve"> more spatially heterogeneous, whereas deeper-</w:t>
      </w:r>
      <w:r w:rsidR="00D31C68">
        <w:t>dwelling</w:t>
      </w:r>
      <w:r w:rsidR="00D31C68" w:rsidRPr="0087355A">
        <w:t xml:space="preserve"> species</w:t>
      </w:r>
      <w:r w:rsidR="00D31C68">
        <w:t xml:space="preserve"> may</w:t>
      </w:r>
      <w:r w:rsidR="00D31C68" w:rsidRPr="0087355A">
        <w:t xml:space="preserve"> display increasingly homogeneous</w:t>
      </w:r>
      <w:r w:rsidR="00D31C68">
        <w:t xml:space="preserve"> distributions</w:t>
      </w:r>
      <w:r w:rsidR="00D31C68" w:rsidRPr="0087355A">
        <w:t>.</w:t>
      </w:r>
    </w:p>
    <w:p w14:paraId="79D539FF" w14:textId="12F9449A" w:rsidR="000443C6" w:rsidRDefault="000443C6" w:rsidP="00101BFB">
      <w:pPr>
        <w:pStyle w:val="BodyText"/>
      </w:pPr>
    </w:p>
    <w:p w14:paraId="50B643E0" w14:textId="53D5F2AE" w:rsidR="00823035" w:rsidRPr="00994C26" w:rsidRDefault="00823035" w:rsidP="00101BFB">
      <w:pPr>
        <w:pStyle w:val="BodyText"/>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T</w:t>
      </w:r>
      <w:r w:rsidRPr="00392A56">
        <w:t xml:space="preserve">his pattern may partly reflect a mean–variance relationship, </w:t>
      </w:r>
      <w:r>
        <w:t>as</w:t>
      </w:r>
      <w:r w:rsidRPr="00392A56">
        <w:t xml:space="preserve"> surface taxa </w:t>
      </w:r>
      <w:r>
        <w:t>showed</w:t>
      </w:r>
      <w:r w:rsidRPr="00392A56">
        <w:t xml:space="preserve"> higher mean eDNA concentrations</w:t>
      </w:r>
      <w:r>
        <w:t xml:space="preserve"> or a</w:t>
      </w:r>
      <w:r w:rsidRPr="00392A56">
        <w:t>lternatively, differences in σ</w:t>
      </w:r>
      <w:r w:rsidR="001E6470">
        <w:rPr>
          <w:vertAlign w:val="superscript"/>
        </w:rPr>
        <w:t>2</w:t>
      </w:r>
      <w:r w:rsidRPr="00392A56">
        <w:t xml:space="preserve"> </w:t>
      </w:r>
      <w:r>
        <w:t>are</w:t>
      </w:r>
      <w:r w:rsidRPr="00392A56">
        <w:t xml:space="preserve"> linked to </w:t>
      </w:r>
      <w:r w:rsidRPr="0038376D">
        <w:t xml:space="preserve">the </w:t>
      </w:r>
      <w:r w:rsidR="009C1CC9">
        <w:t xml:space="preserve">spatial </w:t>
      </w:r>
      <w:r w:rsidR="0038376D">
        <w:t xml:space="preserve">autocorrelation parameter </w:t>
      </w:r>
      <w:r w:rsidRPr="00392A56">
        <w:t>ρ.</w:t>
      </w:r>
    </w:p>
    <w:p w14:paraId="7B56CCDA" w14:textId="429ABBE6" w:rsidR="00823035" w:rsidRPr="001455E0" w:rsidRDefault="00F32AE0" w:rsidP="00101BFB">
      <w:pPr>
        <w:pStyle w:val="BodyText"/>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8E1717" w:rsidR="00823035" w:rsidRDefault="00823035" w:rsidP="00823035">
      <w:pPr>
        <w:pStyle w:val="ImageCaption"/>
        <w:spacing w:after="0" w:line="360" w:lineRule="auto"/>
      </w:pPr>
      <w:r>
        <w:t xml:space="preserve">Figure </w:t>
      </w:r>
      <w:r w:rsidR="009A5D04">
        <w:t>3</w:t>
      </w:r>
      <w:r>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01BFB">
      <w:pPr>
        <w:pStyle w:val="BodyText"/>
      </w:pPr>
    </w:p>
    <w:p w14:paraId="30DEF277" w14:textId="38EB50D4" w:rsidR="00A34072" w:rsidRPr="00450784" w:rsidRDefault="00A34072" w:rsidP="00101BFB">
      <w:pPr>
        <w:pStyle w:val="BodyText"/>
      </w:pPr>
      <w:r w:rsidRPr="003D6E81">
        <w:rPr>
          <w:b/>
          <w:bCs w:val="0"/>
        </w:rPr>
        <w:t>Prediction accuracy</w:t>
      </w:r>
      <w:r w:rsidR="00140E57" w:rsidRPr="003D6E81">
        <w:rPr>
          <w:b/>
          <w:bCs w:val="0"/>
        </w:rPr>
        <w:t xml:space="preserve"> on empirical data</w:t>
      </w:r>
    </w:p>
    <w:p w14:paraId="4157289A" w14:textId="7B39839B" w:rsidR="0037779D" w:rsidRDefault="0037779D" w:rsidP="00101BFB">
      <w:pPr>
        <w:pStyle w:val="BodyText"/>
      </w:pPr>
      <w:r w:rsidRPr="00DE3973">
        <w:t xml:space="preserve">Prediction error in empirical data </w:t>
      </w:r>
      <w:r w:rsidRPr="0037779D">
        <w:t>decreased with increasing sampling density across all species</w:t>
      </w:r>
      <w:r>
        <w:t xml:space="preserve"> (Supplementary Figure S</w:t>
      </w:r>
      <w:r w:rsidR="00087896">
        <w:t>1 and S2</w:t>
      </w:r>
      <w:r>
        <w:t>).</w:t>
      </w:r>
      <w:r w:rsidRPr="0037779D">
        <w:t xml:space="preserve"> </w:t>
      </w:r>
      <w:r>
        <w:t>H</w:t>
      </w:r>
      <w:r w:rsidRPr="0037779D">
        <w:t>owever, this reduction was strongly modulated by the degree of spatial autocorrelation</w:t>
      </w:r>
      <w:r>
        <w:t xml:space="preserve"> (Supplementary 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w:t>
      </w:r>
      <w:r w:rsidRPr="0037779D">
        <w:lastRenderedPageBreak/>
        <w:t xml:space="preserve">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01BFB">
      <w:pPr>
        <w:pStyle w:val="BodyText"/>
      </w:pPr>
    </w:p>
    <w:p w14:paraId="048035D4" w14:textId="02C2AFC5" w:rsidR="00CA5D0F" w:rsidRPr="003D6E81" w:rsidRDefault="00CA5D0F" w:rsidP="00101BFB">
      <w:pPr>
        <w:pStyle w:val="BodyText"/>
        <w:rPr>
          <w:b/>
          <w:bCs w:val="0"/>
        </w:rPr>
      </w:pPr>
      <w:bookmarkStart w:id="16" w:name="OLE_LINK8"/>
      <w:r w:rsidRPr="003D6E81">
        <w:rPr>
          <w:b/>
          <w:bCs w:val="0"/>
        </w:rPr>
        <w:t>Simulations</w:t>
      </w:r>
    </w:p>
    <w:p w14:paraId="4D52A2D2" w14:textId="57DF50C2" w:rsidR="0070789F" w:rsidRPr="00120DF0" w:rsidRDefault="00D51BF3" w:rsidP="007A319A">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Supplementary 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Supplementary 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rsidR="005D2998" w:rsidRPr="005D2998">
        <w:t>B). For interpretation, a Δ</w:t>
      </w:r>
      <w:r w:rsidR="00EA5440" w:rsidRPr="004F767A">
        <w:rPr>
          <w:i/>
          <w:iCs/>
          <w:lang w:val="el-GR"/>
        </w:rPr>
        <w:t>ε</w:t>
      </w:r>
      <w:r w:rsidR="00EA5440" w:rsidRPr="004F767A">
        <w:rPr>
          <w:i/>
          <w:iCs/>
          <w:vertAlign w:val="subscript"/>
        </w:rPr>
        <w:t>2</w:t>
      </w:r>
      <w:r w:rsidR="005D2998" w:rsidRPr="005D2998">
        <w:t xml:space="preserve"> of </w:t>
      </w:r>
      <w:r w:rsidR="006F09B4">
        <w:t>-</w:t>
      </w:r>
      <w:r w:rsidR="005D2998" w:rsidRPr="005D2998">
        <w:t>0.4 indicates that adding one sample per 10,000 km</w:t>
      </w:r>
      <w:r w:rsidR="00CE0B77" w:rsidRPr="00CE0B77">
        <w:rPr>
          <w:vertAlign w:val="superscript"/>
        </w:rPr>
        <w:t>2</w:t>
      </w:r>
      <w:r w:rsidR="005D2998" w:rsidRPr="005D2998">
        <w:t xml:space="preserve"> improves expected predictive accuracy from 37–270 copies/L to 55–182 copies/L when the </w:t>
      </w:r>
      <w:r w:rsidR="00830D45">
        <w:t>predicted</w:t>
      </w:r>
      <w:r w:rsidR="00830D45" w:rsidRPr="005D2998">
        <w:t xml:space="preserve"> </w:t>
      </w:r>
      <w:r w:rsidR="005D2998" w:rsidRPr="005D2998">
        <w:t>true concentration</w:t>
      </w:r>
      <w:r w:rsidR="00830D45">
        <w:t xml:space="preserve"> (</w:t>
      </w:r>
      <w:r w:rsidR="00830D45" w:rsidRPr="00830D45">
        <w:rPr>
          <w:i/>
          <w:iCs/>
        </w:rPr>
        <w:t>Z</w:t>
      </w:r>
      <w:r w:rsidR="00830D45">
        <w:t>)</w:t>
      </w:r>
      <w:r w:rsidR="005D2998" w:rsidRPr="005D2998">
        <w:t xml:space="preserve"> is 100 copies/L</w:t>
      </w:r>
      <w:r w:rsidR="004D0F65">
        <w:t xml:space="preserve"> respectively</w:t>
      </w:r>
      <w:r w:rsidR="005D2998" w:rsidRPr="005D2998">
        <w:t xml:space="preserve">. </w:t>
      </w:r>
      <w:r w:rsidR="00B60B57" w:rsidRPr="00B60B57">
        <w:t xml:space="preserve">Importantly, diagnostic checks </w:t>
      </w:r>
      <w:r w:rsidR="00B60B57" w:rsidRPr="00B60B57">
        <w:lastRenderedPageBreak/>
        <w:t>revealed no systematic bias in the predictions</w:t>
      </w:r>
      <w:r w:rsidR="00B60B57">
        <w:t xml:space="preserve">, </w:t>
      </w:r>
      <w:r w:rsidR="00B60B57" w:rsidRPr="00B60B57">
        <w:t xml:space="preserve">so the observed variation reflects pure precision, </w:t>
      </w:r>
      <w:r w:rsidR="00B60B57">
        <w:t>(</w:t>
      </w:r>
      <w:r w:rsidR="00B60B57" w:rsidRPr="00B60B57">
        <w:t>Supplementary 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6"/>
    <w:p w14:paraId="6563C49B" w14:textId="156EA541" w:rsidR="00AA1EA2" w:rsidRPr="00627C7B" w:rsidRDefault="00D57033" w:rsidP="00101BFB">
      <w:pPr>
        <w:pStyle w:val="BodyText"/>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359DCC1C" w:rsidR="00AA1EA2" w:rsidRPr="00693712" w:rsidRDefault="00AA1EA2" w:rsidP="00C816CB">
      <w:pPr>
        <w:pStyle w:val="ImageCaption"/>
        <w:spacing w:after="0" w:line="360" w:lineRule="auto"/>
      </w:pPr>
      <w:r w:rsidRPr="00693712">
        <w:t xml:space="preserve">Figure </w:t>
      </w:r>
      <w:r w:rsidR="00641A2C">
        <w:t>4</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see Supplementary 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450784" w:rsidRDefault="007B0B48" w:rsidP="00101BFB">
      <w:pPr>
        <w:pStyle w:val="BodyText"/>
      </w:pPr>
      <w:r w:rsidRPr="000E028F">
        <w:rPr>
          <w:b/>
          <w:bCs w:val="0"/>
        </w:rPr>
        <w:t>GP parameter</w:t>
      </w:r>
      <w:r w:rsidRPr="00450784">
        <w:t xml:space="preserve"> </w:t>
      </w:r>
      <w:r w:rsidRPr="000E028F">
        <w:rPr>
          <w:b/>
          <w:bCs w:val="0"/>
        </w:rPr>
        <w:t>recovery</w:t>
      </w:r>
    </w:p>
    <w:p w14:paraId="6FEA0002" w14:textId="5A662FB4" w:rsidR="003F2203" w:rsidRDefault="00D366A8" w:rsidP="009C26DD">
      <w:pPr>
        <w:pStyle w:val="p1"/>
        <w:spacing w:before="0" w:beforeAutospacing="0" w:after="0" w:afterAutospacing="0" w:line="360" w:lineRule="auto"/>
        <w:jc w:val="both"/>
      </w:pPr>
      <w:r>
        <w:lastRenderedPageBreak/>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71F2DCAF" w:rsidR="00EF7D10" w:rsidRDefault="00F70DB9" w:rsidP="009C26DD">
      <w:pPr>
        <w:pStyle w:val="p1"/>
        <w:spacing w:before="0" w:beforeAutospacing="0" w:after="0" w:afterAutospacing="0" w:line="36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9C26DD">
      <w:pPr>
        <w:pStyle w:val="ImageCaption"/>
        <w:spacing w:after="0" w:line="360" w:lineRule="auto"/>
        <w:rPr>
          <w:i w:val="0"/>
          <w:iCs/>
        </w:rPr>
      </w:pPr>
      <w:r>
        <w:rPr>
          <w:i w:val="0"/>
          <w:iCs/>
          <w:noProof/>
        </w:rPr>
        <w:lastRenderedPageBreak/>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9C26DD">
      <w:pPr>
        <w:pStyle w:val="ImageCaption"/>
        <w:spacing w:after="0" w:line="36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r w:rsidRPr="002975EB">
        <w:t>Sampling density is expressed as the number of samples per 10,000 km</w:t>
      </w:r>
      <w:r w:rsidR="005209D0">
        <w:rPr>
          <w:vertAlign w:val="superscript"/>
        </w:rPr>
        <w:t>2</w:t>
      </w:r>
      <w:r w:rsidRPr="002975EB">
        <w:t xml:space="preserve"> </w:t>
      </w:r>
      <w:r w:rsidR="002F53D4">
        <w:t>(</w:t>
      </w:r>
      <w:r w:rsidRPr="002975EB">
        <w:t>100 × 100 km grid</w:t>
      </w:r>
      <w:r w:rsidR="002F53D4">
        <w:t>)</w:t>
      </w:r>
      <w:r w:rsidRPr="002975EB">
        <w:t>.</w:t>
      </w:r>
    </w:p>
    <w:p w14:paraId="321C7E67" w14:textId="77777777" w:rsidR="00286ADA" w:rsidRDefault="00286ADA" w:rsidP="009C26DD">
      <w:pPr>
        <w:pStyle w:val="ImageCaption"/>
        <w:spacing w:after="0" w:line="360" w:lineRule="auto"/>
      </w:pPr>
    </w:p>
    <w:p w14:paraId="488FF02D" w14:textId="2BDACED2" w:rsidR="00A62458" w:rsidRDefault="00A62458" w:rsidP="00101BFB">
      <w:pPr>
        <w:pStyle w:val="BodyText"/>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DF101A6" w:rsidR="00D974B6" w:rsidRPr="00101BFB" w:rsidRDefault="00D974B6" w:rsidP="00101BFB">
      <w:pPr>
        <w:pStyle w:val="BodyText"/>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D85365" w:rsidRPr="00101BFB">
        <w:t xml:space="preserve">Supplementary </w:t>
      </w:r>
      <w:r w:rsidR="00C446E8" w:rsidRPr="00101BFB">
        <w:t>Figure S</w:t>
      </w:r>
      <w:r w:rsidR="00C55B9C" w:rsidRPr="00101BFB">
        <w:t>1</w:t>
      </w:r>
      <w:r w:rsidR="00C446E8" w:rsidRPr="00101BFB">
        <w:t>)</w:t>
      </w:r>
      <w:r w:rsidR="00E1401A" w:rsidRPr="00101BFB">
        <w:t>.</w:t>
      </w:r>
      <w:r w:rsidR="00236C3C" w:rsidRPr="00101BFB">
        <w:t xml:space="preserve"> </w:t>
      </w:r>
      <w:r w:rsidR="00A003D1" w:rsidRPr="00101BFB">
        <w:t xml:space="preserve">Overall, the close correspondence between coefficients derived from the in-silico and in-situ datasets indicates that </w:t>
      </w:r>
      <w:r w:rsidR="00A003D1" w:rsidRPr="00101BFB">
        <w:lastRenderedPageBreak/>
        <w:t>the simulation framework successfully reproduced the primary relationships between prediction error, sampling effort, and spatial autocorrelation observed in the real-world data</w:t>
      </w:r>
      <w:r w:rsidR="00D85365" w:rsidRPr="00101BFB">
        <w:t xml:space="preserve"> (Supplementary Figure S</w:t>
      </w:r>
      <w:r w:rsidR="00C55B9C" w:rsidRPr="00101BFB">
        <w:t>1</w:t>
      </w:r>
      <w:r w:rsidR="00D85365" w:rsidRPr="00101BFB">
        <w:t>)</w:t>
      </w:r>
      <w:r w:rsidR="00A003D1" w:rsidRPr="00101BFB">
        <w:t>.</w:t>
      </w:r>
      <w:r w:rsidR="0041396A" w:rsidRPr="00101BFB">
        <w:t xml:space="preserve">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17" w:name="fig:epsilon_sp"/>
    </w:p>
    <w:p w14:paraId="5516F1CD" w14:textId="77777777" w:rsidR="0032076E" w:rsidRDefault="00D04708" w:rsidP="009C26DD">
      <w:pPr>
        <w:pStyle w:val="Heading1"/>
        <w:spacing w:before="0" w:after="0" w:line="360" w:lineRule="auto"/>
      </w:pPr>
      <w:bookmarkStart w:id="18" w:name="discussion"/>
      <w:bookmarkEnd w:id="14"/>
      <w:bookmarkEnd w:id="17"/>
      <w:r>
        <w:t>Discussion</w:t>
      </w:r>
    </w:p>
    <w:p w14:paraId="5351486F" w14:textId="42A03E66" w:rsidR="00390A6F" w:rsidRDefault="00101BFB" w:rsidP="00FD3FB2">
      <w:pPr>
        <w:pStyle w:val="p2"/>
        <w:spacing w:before="0" w:beforeAutospacing="0" w:after="0" w:afterAutospacing="0" w:line="360" w:lineRule="auto"/>
        <w:jc w:val="both"/>
      </w:pPr>
      <w:bookmarkStart w:id="1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rsidR="0007052E" w:rsidRPr="0007052E">
        <w:t xml:space="preserve">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01BFB">
      <w:pPr>
        <w:pStyle w:val="BodyText"/>
      </w:pPr>
      <w:bookmarkStart w:id="20" w:name="OLE_LINK2"/>
    </w:p>
    <w:p w14:paraId="6C9745F9" w14:textId="231ECC15" w:rsidR="005A387E" w:rsidRPr="00E812EC" w:rsidRDefault="005A387E" w:rsidP="00101BFB">
      <w:pPr>
        <w:pStyle w:val="BodyText"/>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0F262C68" w:rsidR="0064556D" w:rsidRDefault="006143E9" w:rsidP="0064556D">
      <w:pPr>
        <w:pStyle w:val="p3"/>
        <w:spacing w:before="0" w:beforeAutospacing="0" w:after="0" w:afterAutospacing="0" w:line="360" w:lineRule="auto"/>
        <w:jc w:val="both"/>
      </w:pPr>
      <w:r>
        <w:t>T</w:t>
      </w:r>
      <w:r w:rsidR="004961BF" w:rsidRPr="00693C81">
        <w:t>he value of additional sampling effort is not fixed but depends strongly on the spatial structure of the target species</w:t>
      </w:r>
      <w:r w:rsidR="00484E10" w:rsidRPr="00693C81">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rsidR="004961BF" w:rsidRPr="00693C81">
        <w:t xml:space="preserve"> Across simulations</w:t>
      </w:r>
      <w:r w:rsidR="00F93441" w:rsidRPr="00693C81">
        <w:t xml:space="preserve"> and empirical data</w:t>
      </w:r>
      <w:r w:rsidR="004961BF" w:rsidRPr="00693C81">
        <w:t xml:space="preserve">, prediction error decreased non-linearly </w:t>
      </w:r>
      <w:r w:rsidR="00F93441" w:rsidRPr="00693C81">
        <w:t xml:space="preserve">with increasing </w:t>
      </w:r>
      <w:r w:rsidR="004961BF" w:rsidRPr="00693C81">
        <w:t xml:space="preserve">sampling </w:t>
      </w:r>
      <w:r w:rsidR="00F93441" w:rsidRPr="00693C81">
        <w:t>effort</w:t>
      </w:r>
      <w:r w:rsidR="004961BF" w:rsidRPr="00693C81">
        <w:t xml:space="preserve">, </w:t>
      </w:r>
      <w:r w:rsidR="002478A8" w:rsidRPr="00693C81">
        <w:t>while simultaneously declining as spatial autocorrelation</w:t>
      </w:r>
      <w:r w:rsidR="004961BF" w:rsidRPr="00693C81">
        <w:t xml:space="preserve"> increased, </w:t>
      </w:r>
      <w:r w:rsidR="002478A8" w:rsidRPr="00693C81">
        <w:t>indicating</w:t>
      </w:r>
      <w:r w:rsidR="004961BF" w:rsidRPr="00693C81">
        <w:t xml:space="preserve"> that species with </w:t>
      </w:r>
      <w:r w:rsidR="00052F30" w:rsidRPr="00693C81">
        <w:t>more homogenous</w:t>
      </w:r>
      <w:r w:rsidR="004961BF" w:rsidRPr="00693C81">
        <w:t xml:space="preserve"> distributions are inherently easier to reconstruct than patchier species at the same effort level</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4961BF" w:rsidRPr="00693C81">
        <w:t xml:space="preserve">. The interaction between </w:t>
      </w:r>
      <w:r w:rsidR="00052F30" w:rsidRPr="00693C81">
        <w:t xml:space="preserve">sampling </w:t>
      </w:r>
      <w:r w:rsidR="004961BF" w:rsidRPr="00693C81">
        <w:t xml:space="preserve">effort and spatial autocorrelation is </w:t>
      </w:r>
      <w:r w:rsidR="00345B8C" w:rsidRPr="00693C81">
        <w:t xml:space="preserve">particularly critical </w:t>
      </w:r>
      <w:r w:rsidR="004961BF" w:rsidRPr="00693C81">
        <w:t xml:space="preserve">because it demonstrates that </w:t>
      </w:r>
      <w:r w:rsidR="00E018CA" w:rsidRPr="00693C81">
        <w:t xml:space="preserve">the value of additional samples is not universal in ecology, </w:t>
      </w:r>
      <w:r w:rsidR="004F02F0" w:rsidRPr="00693C81">
        <w:t>where</w:t>
      </w:r>
      <w:r w:rsidR="004961BF" w:rsidRPr="00693C81">
        <w:t xml:space="preserve"> the same increase in effort can produce substantial gains for one species and only marginal gains for another</w:t>
      </w:r>
      <w:r w:rsidR="007A76E7">
        <w:t xml:space="preserve">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BC31E5" w:rsidRPr="00BC31E5">
        <w:t>(García‐Machado et al., 2024)</w:t>
      </w:r>
      <w:r w:rsidR="00BC31E5">
        <w:fldChar w:fldCharType="end"/>
      </w:r>
      <w:r w:rsidR="004961BF" w:rsidRPr="00693C81">
        <w:t xml:space="preserve">. </w:t>
      </w:r>
      <w:r w:rsidR="009E7F8D" w:rsidRPr="00693C81">
        <w:t>Here</w:t>
      </w:r>
      <w:r w:rsidR="00284737" w:rsidRPr="00693C81">
        <w:t>, our results</w:t>
      </w:r>
      <w:r w:rsidR="009E7F8D" w:rsidRPr="00693C81">
        <w:t xml:space="preserve"> </w:t>
      </w:r>
      <w:r w:rsidR="004961BF" w:rsidRPr="00693C81">
        <w:t xml:space="preserve">move beyond a general statement </w:t>
      </w:r>
      <w:r w:rsidR="009E7F8D" w:rsidRPr="00693C81">
        <w:t xml:space="preserve">of </w:t>
      </w:r>
      <w:r w:rsidR="004961BF" w:rsidRPr="00693C81">
        <w:t xml:space="preserve">sampling </w:t>
      </w:r>
      <w:r w:rsidR="009E7F8D" w:rsidRPr="00693C81">
        <w:t xml:space="preserve">efficiency </w:t>
      </w:r>
      <w:r w:rsidR="004961BF" w:rsidRPr="00693C81">
        <w:t xml:space="preserve">and provide a quantitative framework for understanding when </w:t>
      </w:r>
      <w:r w:rsidR="00693C81" w:rsidRPr="00693C81">
        <w:t>additional</w:t>
      </w:r>
      <w:r w:rsidR="004961BF" w:rsidRPr="00693C81">
        <w:t xml:space="preserve">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4EAEE294" w:rsidR="00F44773" w:rsidRDefault="0064556D" w:rsidP="0064556D">
      <w:pPr>
        <w:pStyle w:val="p3"/>
        <w:spacing w:before="0" w:beforeAutospacing="0" w:after="0" w:afterAutospacing="0" w:line="36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For instance, studies requiring high-resolution quantitative estimates</w:t>
      </w:r>
      <w:r w:rsidR="00775A43">
        <w:t xml:space="preserve"> </w:t>
      </w:r>
      <w:r>
        <w:t xml:space="preserve">might justify </w:t>
      </w:r>
      <w:r w:rsidR="00775A43">
        <w:t xml:space="preserve">high sampling effort </w:t>
      </w:r>
      <w:r>
        <w:t>to achieve stricter precision</w:t>
      </w:r>
      <w:r w:rsidR="008323BE">
        <w:t>, while</w:t>
      </w:r>
      <w:r>
        <w:t xml:space="preserve">, broad-scale biodiversity screenings might tolerate looser </w:t>
      </w:r>
      <w:r>
        <w:lastRenderedPageBreak/>
        <w:t>precision, allowing for even sparser sampling</w:t>
      </w:r>
      <w:r w:rsidR="00BC31E5">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sidR="00A817FC">
        <w:rPr>
          <w:noProof/>
        </w:rPr>
        <w:t>(Perkins et al., 2021; Radinger et al., 2019)</w:t>
      </w:r>
      <w:r w:rsidR="00BC31E5">
        <w:fldChar w:fldCharType="end"/>
      </w:r>
      <w:r w:rsidR="002E0279" w:rsidRPr="002E0279">
        <w:t xml:space="preserve"> </w:t>
      </w:r>
      <w:r w:rsidR="00636E60">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rsidR="00F44773" w:rsidRPr="00F44773">
        <w:t>Ultimately, the framework presented here reduces the sampling design problem to two key inputs: the level of predictive certainty required for the study objective (expressed as ε₂), and the spatial autocorrelation of the target species (</w:t>
      </w:r>
      <w:r w:rsidR="00F44773" w:rsidRPr="00EF344D">
        <w:rPr>
          <w:i/>
          <w:iCs/>
        </w:rPr>
        <w:t>ρ</w:t>
      </w:r>
      <w:r w:rsidR="00F44773" w:rsidRPr="00F44773">
        <w:t>)</w:t>
      </w:r>
      <w:r w:rsidR="00F44773">
        <w:t xml:space="preserve">. </w:t>
      </w:r>
      <w:r w:rsidR="007E1D5D" w:rsidRPr="007E1D5D">
        <w:t>Once these parameters are quantified</w:t>
      </w:r>
      <w:r w:rsidR="0039370D">
        <w:t xml:space="preserve"> - </w:t>
      </w:r>
      <w:r w:rsidR="007E1D5D" w:rsidRPr="007E1D5D">
        <w:t>through prior literature, pilot sampling, or expert knowledge</w:t>
      </w:r>
      <w:r w:rsidR="005275B2">
        <w:t>,</w:t>
      </w:r>
      <w:r w:rsidR="0039370D">
        <w:t xml:space="preserve"> </w:t>
      </w:r>
      <w:r w:rsidR="007E1D5D" w:rsidRPr="007E1D5D">
        <w:t>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5532E2">
        <w:t>Supplementary 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34C0C6DE" w:rsidR="00B9718F" w:rsidRDefault="00BA4DE0" w:rsidP="0064556D">
      <w:pPr>
        <w:pStyle w:val="p3"/>
        <w:spacing w:before="0" w:beforeAutospacing="0" w:after="0" w:afterAutospacing="0" w:line="360" w:lineRule="auto"/>
        <w:jc w:val="both"/>
      </w:pPr>
      <w:bookmarkStart w:id="2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rsidRPr="00BA4DE0">
        <w:t>. Notably, the sampling effort required to adequately capture these patchily distributed taxa is more than double the effort needed for smoother</w:t>
      </w:r>
      <w:r w:rsidR="00B9718F">
        <w:t xml:space="preserve"> distributed </w:t>
      </w:r>
      <w:r w:rsidRPr="00BA4DE0">
        <w:t>species</w:t>
      </w:r>
      <w:r w:rsidR="00CA6CCC">
        <w:t xml:space="preserve"> </w:t>
      </w:r>
      <w:r w:rsidR="00A817FC">
        <w:fldChar w:fldCharType="begin"/>
      </w:r>
      <w:r w:rsidR="00A817FC">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r>
      <w:r w:rsidR="00A817FC">
        <w:fldChar w:fldCharType="separate"/>
      </w:r>
      <w:r w:rsidR="00A817FC">
        <w:rPr>
          <w:noProof/>
        </w:rPr>
        <w:t>(Perkins et al., 2021)</w:t>
      </w:r>
      <w:r w:rsidR="00A817FC">
        <w:fldChar w:fldCharType="end"/>
      </w:r>
      <w:r w:rsidRPr="00BA4DE0">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 xml:space="preserve">and 3.4 </w:t>
      </w:r>
      <w:r w:rsidR="00FF7D1B" w:rsidRPr="00FF7D1B">
        <w:t xml:space="preserve"> 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rsidR="009833ED" w:rsidRPr="009833ED">
        <w:t>These results highlight that no single sampling strategy is universally appropriate, as optimal effort is inherently species- and context-specific.</w:t>
      </w:r>
      <w:r w:rsidR="0017095B" w:rsidRPr="0017095B">
        <w:t xml:space="preserve"> However, given that our analysis is based on 12 fish species, extending this conclusion to other taxa or ecosystems should be done with caution, and additional species may exhibit different scaling relationships.</w:t>
      </w:r>
    </w:p>
    <w:bookmarkEnd w:id="21"/>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sidRPr="000D2BF7">
        <w:rPr>
          <w:i w:val="0"/>
          <w:iCs/>
        </w:rPr>
        <w:lastRenderedPageBreak/>
        <w:t>Depth-dependent patterns</w:t>
      </w:r>
    </w:p>
    <w:p w14:paraId="5FE1855E" w14:textId="6A18C866" w:rsidR="00541A82" w:rsidRDefault="00541A82" w:rsidP="00541A82">
      <w:pPr>
        <w:pStyle w:val="p3"/>
        <w:spacing w:before="0" w:beforeAutospacing="0" w:after="0" w:afterAutospacing="0" w:line="360" w:lineRule="auto"/>
        <w:jc w:val="both"/>
      </w:pPr>
      <w:r>
        <w:t>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sidRPr="00276F54">
        <w:rPr>
          <w:b/>
          <w:bCs/>
        </w:rPr>
        <w:t xml:space="preserve">Estimating GP parameters from reduced-effort </w:t>
      </w:r>
      <w:r w:rsidR="00276F54" w:rsidRPr="00276F54">
        <w:rPr>
          <w:b/>
          <w:bCs/>
        </w:rPr>
        <w:t>simulations</w:t>
      </w:r>
    </w:p>
    <w:p w14:paraId="7F4322C0" w14:textId="33CD195A" w:rsidR="00E6092D" w:rsidRDefault="00D71E05" w:rsidP="009C26DD">
      <w:pPr>
        <w:pStyle w:val="p3"/>
        <w:spacing w:before="0" w:beforeAutospacing="0" w:after="0" w:afterAutospacing="0" w:line="360" w:lineRule="auto"/>
        <w:jc w:val="both"/>
      </w:pPr>
      <w:r w:rsidRPr="00BC5CC1">
        <w:t xml:space="preserve">The </w:t>
      </w:r>
      <w:r w:rsidR="00F9341D" w:rsidRPr="00BC5CC1">
        <w:t>parameter estimation</w:t>
      </w:r>
      <w:r w:rsidRPr="00BC5CC1">
        <w:t xml:space="preserve"> analyses provide </w:t>
      </w:r>
      <w:r w:rsidR="00F9341D" w:rsidRPr="00BC5CC1">
        <w:t>further</w:t>
      </w:r>
      <w:r w:rsidRPr="00BC5CC1">
        <w:t xml:space="preserve"> ecological </w:t>
      </w:r>
      <w:r w:rsidR="00F9341D" w:rsidRPr="00BC5CC1">
        <w:t>insights</w:t>
      </w:r>
      <w:r w:rsidRPr="00BC5CC1">
        <w:t xml:space="preserve"> </w:t>
      </w:r>
      <w:r w:rsidR="00F9341D" w:rsidRPr="00BC5CC1">
        <w:t>into how sampling effort</w:t>
      </w:r>
      <w:r w:rsidRPr="00BC5CC1">
        <w:t xml:space="preserve"> and spatial autocorrelation </w:t>
      </w:r>
      <w:r w:rsidR="00325272" w:rsidRPr="00BC5CC1">
        <w:t>affect inference</w:t>
      </w:r>
      <w:r w:rsidRPr="00BC5CC1">
        <w:t>. The estimation of depth-specific mean, (</w:t>
      </w:r>
      <w:proofErr w:type="spellStart"/>
      <w:r w:rsidRPr="003A35CE">
        <w:rPr>
          <w:i/>
          <w:iCs/>
        </w:rPr>
        <w:t>μ</w:t>
      </w:r>
      <w:r w:rsidRPr="003A35CE">
        <w:rPr>
          <w:i/>
          <w:iCs/>
          <w:vertAlign w:val="subscript"/>
        </w:rPr>
        <w:t>d</w:t>
      </w:r>
      <w:proofErr w:type="spellEnd"/>
      <w:r w:rsidRPr="00BC5CC1">
        <w:t>) and the length scale (</w:t>
      </w:r>
      <w:r w:rsidRPr="003A35CE">
        <w:rPr>
          <w:i/>
          <w:iCs/>
        </w:rPr>
        <w:t>ρ</w:t>
      </w:r>
      <w:r w:rsidRPr="00BC5CC1">
        <w:t xml:space="preserve">), behaved very differently. </w:t>
      </w:r>
      <w:r w:rsidR="00180FAF" w:rsidRPr="00BC5CC1">
        <w:t>E</w:t>
      </w:r>
      <w:r w:rsidRPr="00BC5CC1">
        <w:t>stimation</w:t>
      </w:r>
      <w:r w:rsidR="00180FAF" w:rsidRPr="00BC5CC1">
        <w:t xml:space="preserve"> of </w:t>
      </w:r>
      <w:r w:rsidR="00180FAF" w:rsidRPr="00E27661">
        <w:rPr>
          <w:i/>
          <w:iCs/>
          <w:lang w:val="el-GR"/>
        </w:rPr>
        <w:t>μ</w:t>
      </w:r>
      <w:r w:rsidR="00180FAF" w:rsidRPr="00E27661">
        <w:rPr>
          <w:i/>
          <w:iCs/>
          <w:vertAlign w:val="subscript"/>
        </w:rPr>
        <w:t>d</w:t>
      </w:r>
      <w:r w:rsidRPr="00BC5CC1">
        <w:t xml:space="preserve"> improved with increasing effort when </w:t>
      </w:r>
      <w:r w:rsidR="0044757D" w:rsidRPr="00BC5CC1">
        <w:t>scenarios</w:t>
      </w:r>
      <w:r w:rsidRPr="00BC5CC1">
        <w:t xml:space="preserve"> had </w:t>
      </w:r>
      <w:r w:rsidR="00180FAF" w:rsidRPr="00BC5CC1">
        <w:t>small</w:t>
      </w:r>
      <w:r w:rsidRPr="00BC5CC1">
        <w:t xml:space="preserve"> spatial</w:t>
      </w:r>
      <w:r w:rsidR="00180FAF" w:rsidRPr="00BC5CC1">
        <w:t xml:space="preserve"> autocorrelations</w:t>
      </w:r>
      <w:r w:rsidRPr="00BC5CC1">
        <w:t xml:space="preserve">, but for </w:t>
      </w:r>
      <w:r w:rsidR="002C53EB" w:rsidRPr="00BC5CC1">
        <w:t xml:space="preserve">highly </w:t>
      </w:r>
      <w:r w:rsidRPr="00BC5CC1">
        <w:t xml:space="preserve">autocorrelated </w:t>
      </w:r>
      <w:r w:rsidR="0044757D" w:rsidRPr="00BC5CC1">
        <w:t>scenarios</w:t>
      </w:r>
      <w:r w:rsidR="002C53EB" w:rsidRPr="00BC5CC1">
        <w:t xml:space="preserve"> (</w:t>
      </w:r>
      <w:r w:rsidRPr="00BC5CC1">
        <w:t>especially above 400 km</w:t>
      </w:r>
      <w:r w:rsidR="002C53EB" w:rsidRPr="00BC5CC1">
        <w:t>)</w:t>
      </w:r>
      <w:r w:rsidRPr="00BC5CC1">
        <w:t xml:space="preserve"> error </w:t>
      </w:r>
      <w:r w:rsidR="0044757D" w:rsidRPr="00BC5CC1">
        <w:t>(</w:t>
      </w:r>
      <w:r w:rsidR="00B73005" w:rsidRPr="00E27661">
        <w:rPr>
          <w:i/>
          <w:iCs/>
          <w:lang w:val="el-GR"/>
        </w:rPr>
        <w:t>τ</w:t>
      </w:r>
      <w:r w:rsidR="0044757D" w:rsidRPr="00BC5CC1">
        <w:t xml:space="preserve">) </w:t>
      </w:r>
      <w:r w:rsidRPr="00BC5CC1">
        <w:t xml:space="preserve">in </w:t>
      </w:r>
      <w:r w:rsidR="00516CB5">
        <w:t xml:space="preserve">estimating </w:t>
      </w:r>
      <w:r w:rsidRPr="00CD3652">
        <w:rPr>
          <w:i/>
          <w:iCs/>
        </w:rPr>
        <w:t>μ</w:t>
      </w:r>
      <w:r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r w:rsidR="0060712A" w:rsidRPr="0060712A">
        <w:t>This weak identifiability means that, even with greater sampling effort, the estimate of the depth‑specific mean (</w:t>
      </w:r>
      <w:r w:rsidR="0060712A" w:rsidRPr="002945EA">
        <w:rPr>
          <w:i/>
          <w:iCs/>
          <w:lang w:val="el-GR"/>
        </w:rPr>
        <w:t>μ</w:t>
      </w:r>
      <w:r w:rsidR="0060712A" w:rsidRPr="002945EA">
        <w:rPr>
          <w:i/>
          <w:iCs/>
          <w:vertAlign w:val="subscript"/>
        </w:rPr>
        <w:t>d</w:t>
      </w:r>
      <w:r w:rsidR="0060712A" w:rsidRPr="0060712A">
        <w:t>) becomes more driven by the prior distribution, which can diminish precision and produce an apparent bias.</w:t>
      </w:r>
      <w:r w:rsidR="00C5758D">
        <w:t xml:space="preserve"> </w:t>
      </w:r>
      <w:r w:rsidR="00443AB2" w:rsidRPr="00BC5CC1">
        <w:t>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3CA2E14C" w:rsidR="002B45C6" w:rsidRDefault="001414C4" w:rsidP="009C26DD">
      <w:pPr>
        <w:pStyle w:val="p3"/>
        <w:spacing w:before="0" w:beforeAutospacing="0" w:after="0" w:afterAutospacing="0" w:line="36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0F67DF" w:rsidRPr="00BC5CC1">
        <w:t>Such</w:t>
      </w:r>
      <w:r w:rsidRPr="00BC5CC1">
        <w:t xml:space="preserve"> difference</w:t>
      </w:r>
      <w:r w:rsidR="000F67DF" w:rsidRPr="00BC5CC1">
        <w:t xml:space="preserve"> </w:t>
      </w:r>
      <w:r w:rsidRPr="00BC5CC1">
        <w:t>follows from the type of information required to estimate each parameter</w:t>
      </w:r>
      <w:r w:rsidR="00924509" w:rsidRPr="00BC5CC1">
        <w:t>.</w:t>
      </w:r>
      <w:r w:rsidR="00E6092D" w:rsidRPr="00BC5CC1">
        <w:t xml:space="preserve"> </w:t>
      </w:r>
      <w:r w:rsidR="00924509" w:rsidRPr="00BC5CC1">
        <w:t xml:space="preserve">Estimating </w:t>
      </w:r>
      <w:r w:rsidR="00924509" w:rsidRPr="00BC5CC1">
        <w:lastRenderedPageBreak/>
        <w:t>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rsidR="002B45C6" w:rsidRPr="00BC5CC1">
        <w:t xml:space="preserve">sampling effort, provided that the spatial structure is still contained within the extent of the survey. By contrast, estimating </w:t>
      </w:r>
      <w:r w:rsidR="002B45C6" w:rsidRPr="00BC5CC1">
        <w:rPr>
          <w:lang w:val="el-GR"/>
        </w:rPr>
        <w:t>ρ</w:t>
      </w:r>
      <w:r w:rsidR="002B45C6" w:rsidRPr="00BC5CC1">
        <w:t xml:space="preserve"> depends much more strongly on the distances among sampling points, because resolving spatial autocorrelation requires enough closely and broadly spaced pairs to detect how similarity declines with distance</w:t>
      </w:r>
      <w:r w:rsidR="000F31EB">
        <w:t xml:space="preserv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sidR="000F31EB">
        <w:rPr>
          <w:noProof/>
        </w:rPr>
        <w:t>(Paciorek, 2010)</w:t>
      </w:r>
      <w:r w:rsidR="000F31EB">
        <w:fldChar w:fldCharType="end"/>
      </w:r>
      <w:r w:rsidR="002B45C6" w:rsidRPr="00BC5CC1">
        <w:t>.</w:t>
      </w:r>
    </w:p>
    <w:p w14:paraId="25031E9E" w14:textId="77777777" w:rsidR="00286ADA" w:rsidRPr="00BC5CC1" w:rsidRDefault="00286ADA" w:rsidP="009C26DD">
      <w:pPr>
        <w:pStyle w:val="p3"/>
        <w:spacing w:before="0" w:beforeAutospacing="0" w:after="0" w:afterAutospacing="0" w:line="360" w:lineRule="auto"/>
        <w:jc w:val="both"/>
      </w:pPr>
    </w:p>
    <w:p w14:paraId="7A4F82FF" w14:textId="0DAFECB3" w:rsidR="003D5CCB" w:rsidRDefault="009C61C5" w:rsidP="009C26DD">
      <w:pPr>
        <w:pStyle w:val="p3"/>
        <w:spacing w:before="0" w:beforeAutospacing="0" w:after="0" w:afterAutospacing="0" w:line="36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rsidR="00B427B8" w:rsidRPr="00BC5CC1">
        <w:t>Under these conditions, the model is operating close to the limit of what can be learned from the sampling design, and additional changes in true ρ may not translate into detectable changes in map-level accuracy.</w:t>
      </w:r>
      <w:r w:rsidR="009F475A">
        <w:t xml:space="preserve"> Indeed, in situations with very low spatial autocorrelation, the value of constructing and implementing a spatial model disappear</w:t>
      </w:r>
      <w:r w:rsidR="00EE2B8D">
        <w:t>s</w:t>
      </w:r>
      <w:r w:rsidR="009F475A">
        <w:t xml:space="preserve"> entirely.</w:t>
      </w:r>
      <w:r w:rsidR="00B427B8" w:rsidRPr="00BC5CC1">
        <w:t xml:space="preserve"> 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B427B8" w:rsidRPr="00BC5CC1">
        <w:t>. This</w:t>
      </w:r>
      <w:r w:rsidR="00881589" w:rsidRPr="00BC5CC1">
        <w:t>, in turn,</w:t>
      </w:r>
      <w:r w:rsidR="00B427B8" w:rsidRPr="00BC5CC1">
        <w:t xml:space="preserve">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9C26DD">
      <w:pPr>
        <w:pStyle w:val="p3"/>
        <w:spacing w:before="0" w:beforeAutospacing="0" w:after="0" w:afterAutospacing="0" w:line="360" w:lineRule="auto"/>
        <w:jc w:val="both"/>
      </w:pPr>
    </w:p>
    <w:bookmarkEnd w:id="20"/>
    <w:p w14:paraId="656787B2" w14:textId="6D101A06" w:rsidR="00194686" w:rsidRDefault="00BC5CC1" w:rsidP="009C26DD">
      <w:pPr>
        <w:spacing w:after="0" w:line="36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lastRenderedPageBreak/>
        <w:t>Limitations on extrapolating simulations on real-world scenarios</w:t>
      </w:r>
    </w:p>
    <w:p w14:paraId="2E39F4BC" w14:textId="0627BFC8" w:rsidR="00AF7656" w:rsidRDefault="00275178" w:rsidP="009C26DD">
      <w:pPr>
        <w:pStyle w:val="p3"/>
        <w:spacing w:before="0" w:beforeAutospacing="0" w:after="0" w:afterAutospacing="0" w:line="36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rsidR="00690C1C" w:rsidRPr="00CC24BD">
        <w:t>. These features may help explain elevated prediction error at intermediate autocorrelation levels in the empirical data relative to simulations, where additional sources of spatial complexity are not represented.</w:t>
      </w:r>
      <w:r w:rsidR="00C74135" w:rsidRPr="00CC24BD">
        <w:t xml:space="preserve"> </w:t>
      </w:r>
      <w:r w:rsidR="00AF7656" w:rsidRPr="00CC24BD">
        <w:t>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9C26DD">
      <w:pPr>
        <w:pStyle w:val="p3"/>
        <w:spacing w:before="0" w:beforeAutospacing="0" w:after="0" w:afterAutospacing="0" w:line="360" w:lineRule="auto"/>
        <w:jc w:val="both"/>
      </w:pPr>
    </w:p>
    <w:p w14:paraId="77A3B307" w14:textId="5323E347" w:rsidR="008E3C93" w:rsidRDefault="00D0175D" w:rsidP="009C26DD">
      <w:pPr>
        <w:pStyle w:val="p3"/>
        <w:spacing w:before="0" w:beforeAutospacing="0" w:after="0" w:afterAutospacing="0" w:line="360" w:lineRule="auto"/>
        <w:jc w:val="both"/>
      </w:pPr>
      <w:r w:rsidRPr="00CC24BD">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w:t>
      </w:r>
      <w:r w:rsidR="00D15894" w:rsidRPr="00CC24BD">
        <w:t xml:space="preserve">multiple </w:t>
      </w:r>
      <w:r w:rsidR="003B7514" w:rsidRPr="00CC24BD">
        <w:t xml:space="preserve">environmental </w:t>
      </w:r>
      <w:r w:rsidR="00D15894" w:rsidRPr="00CC24BD">
        <w:t xml:space="preserve">covariance </w:t>
      </w:r>
      <w:r w:rsidR="003B7514" w:rsidRPr="00CC24BD">
        <w:t>(</w:t>
      </w:r>
      <w:r w:rsidR="00D15894" w:rsidRPr="00CC24BD">
        <w:t xml:space="preserve">i.e., </w:t>
      </w:r>
      <w:r w:rsidR="003B7514" w:rsidRPr="00CC24BD">
        <w:t>temperature, salinity, chlorophyll, bathymetry)</w:t>
      </w:r>
      <w:r w:rsidR="00A579D1">
        <w:t xml:space="preserve"> </w:t>
      </w:r>
      <w:r w:rsidR="006B639E">
        <w:fldChar w:fldCharType="begin"/>
      </w:r>
      <w:r w:rsidR="006B639E">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6B639E">
        <w:fldChar w:fldCharType="separate"/>
      </w:r>
      <w:r w:rsidR="006B639E">
        <w:rPr>
          <w:noProof/>
        </w:rPr>
        <w:t>(Liu et al., 2026)</w:t>
      </w:r>
      <w:r w:rsidR="006B639E">
        <w:fldChar w:fldCharType="end"/>
      </w:r>
      <w:r w:rsidR="00D15894" w:rsidRPr="00CC24BD">
        <w:t xml:space="preserve">. </w:t>
      </w:r>
      <w:r w:rsidR="008E3C93" w:rsidRPr="00CC24BD">
        <w:t>In addition, our prediction</w:t>
      </w:r>
      <w:r w:rsidR="00CD4CE6" w:rsidRPr="00CC24BD">
        <w:t xml:space="preserve"> </w:t>
      </w:r>
      <w:r w:rsidR="008E3C93" w:rsidRPr="00CC24BD">
        <w:t>error (</w:t>
      </w:r>
      <w:r w:rsidR="008E3C93" w:rsidRPr="00A339B0">
        <w:rPr>
          <w:i/>
          <w:iCs/>
          <w:lang w:val="el-GR"/>
        </w:rPr>
        <w:t>ε</w:t>
      </w:r>
      <w:r w:rsidR="003B2437" w:rsidRPr="00A339B0">
        <w:rPr>
          <w:i/>
          <w:iCs/>
          <w:vertAlign w:val="subscript"/>
        </w:rPr>
        <w:t>2</w:t>
      </w:r>
      <w:r w:rsidR="008E3C93" w:rsidRPr="00CC24BD">
        <w:t>) compares reduced</w:t>
      </w:r>
      <w:r w:rsidR="007962AD">
        <w:t xml:space="preserve"> </w:t>
      </w:r>
      <w:r w:rsidR="008E3C93" w:rsidRPr="00CC24BD">
        <w:t>effort predictions to a “complete” prediction derived from a 4,000-point subset</w:t>
      </w:r>
      <w:r w:rsidR="005B3B32" w:rsidRPr="00CC24BD">
        <w:t xml:space="preserve"> (</w:t>
      </w:r>
      <w:r w:rsidR="00C65608" w:rsidRPr="00CC24BD">
        <w:rPr>
          <w:i/>
          <w:iCs/>
        </w:rPr>
        <w:t>Z</w:t>
      </w:r>
      <w:r w:rsidR="005B3B32" w:rsidRPr="00CC24BD">
        <w:t>)</w:t>
      </w:r>
      <w:r w:rsidR="008E3C93" w:rsidRPr="00CC24BD">
        <w:t xml:space="preserve"> rather than the full underlying grid. This is </w:t>
      </w:r>
      <w:r w:rsidR="005B3B32" w:rsidRPr="00CC24BD">
        <w:t>more visible</w:t>
      </w:r>
      <w:r w:rsidR="008E3C93" w:rsidRPr="00CC24BD">
        <w:t xml:space="preserve"> </w:t>
      </w:r>
      <w:r w:rsidR="005B3B32" w:rsidRPr="00CC24BD">
        <w:t>on the</w:t>
      </w:r>
      <w:r w:rsidR="008E3C93" w:rsidRPr="00CC24BD">
        <w:t xml:space="preserve"> secondary thinning comparison </w:t>
      </w:r>
      <w:r w:rsidR="005B3B32" w:rsidRPr="00CC24BD">
        <w:t xml:space="preserve">as the field </w:t>
      </w:r>
      <w:r w:rsidR="00CD4CE6" w:rsidRPr="00CC24BD">
        <w:t>to which the reduced effort predictions are compared to is limited (N</w:t>
      </w:r>
      <w:r w:rsidR="002D7877">
        <w:t xml:space="preserve"> </w:t>
      </w:r>
      <w:r w:rsidR="00CD4CE6" w:rsidRPr="00CC24BD">
        <w:t>=</w:t>
      </w:r>
      <w:r w:rsidR="002D7877">
        <w:t xml:space="preserve"> </w:t>
      </w:r>
      <w:r w:rsidR="00CD4CE6" w:rsidRPr="00CC24BD">
        <w:t xml:space="preserve">358 samples) hence the prediction error </w:t>
      </w:r>
      <w:r w:rsidR="00FC08FD" w:rsidRPr="00CC24BD">
        <w:t xml:space="preserve">is higher and more stochastic. </w:t>
      </w:r>
    </w:p>
    <w:p w14:paraId="39532822" w14:textId="77777777" w:rsidR="00286ADA" w:rsidRPr="00CC24BD" w:rsidRDefault="00286ADA" w:rsidP="009C26DD">
      <w:pPr>
        <w:pStyle w:val="p3"/>
        <w:spacing w:before="0" w:beforeAutospacing="0" w:after="0" w:afterAutospacing="0" w:line="360" w:lineRule="auto"/>
        <w:jc w:val="both"/>
      </w:pPr>
    </w:p>
    <w:p w14:paraId="551C9684" w14:textId="671D11D0" w:rsidR="00A318B1" w:rsidRDefault="00C74135" w:rsidP="009C26DD">
      <w:pPr>
        <w:pStyle w:val="p2"/>
        <w:spacing w:before="0" w:beforeAutospacing="0" w:after="0" w:afterAutospacing="0" w:line="36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 xml:space="preserve">length-scale (spatial autocorrelation; </w:t>
      </w:r>
      <w:r w:rsidR="00403D4C" w:rsidRPr="00EC343E">
        <w:rPr>
          <w:i/>
          <w:iCs/>
          <w:lang w:val="el-GR"/>
        </w:rPr>
        <w:t>ρ</w:t>
      </w:r>
      <w:r w:rsidR="00403D4C" w:rsidRPr="00CC24BD">
        <w:t>)</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rsidR="00F3410A" w:rsidRPr="004507D0">
        <w:t>. DNA persistence times, particle dynamics, and water-mass stability can all vary with depth, potentially altering the effective smoothing of the eDNA field</w:t>
      </w:r>
      <w:r w:rsidR="00BA60DB">
        <w:t xml:space="preserve"> </w:t>
      </w:r>
      <w:r w:rsidR="00763E24">
        <w:fldChar w:fldCharType="begin"/>
      </w:r>
      <w:r w:rsidR="0065487C">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r>
      <w:r w:rsidR="00763E24">
        <w:fldChar w:fldCharType="separate"/>
      </w:r>
      <w:r w:rsidR="0065487C" w:rsidRPr="0065487C">
        <w:t>(Brandão-Dias et al., 2025)</w:t>
      </w:r>
      <w:r w:rsidR="00763E24">
        <w:fldChar w:fldCharType="end"/>
      </w:r>
      <w:r w:rsidR="00F3410A" w:rsidRPr="004507D0">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9C26DD">
      <w:pPr>
        <w:pStyle w:val="p2"/>
        <w:spacing w:before="0" w:beforeAutospacing="0" w:after="0" w:afterAutospacing="0" w:line="360" w:lineRule="auto"/>
        <w:jc w:val="both"/>
      </w:pPr>
    </w:p>
    <w:p w14:paraId="5EF3F690" w14:textId="7DA800C3" w:rsidR="00D34C42" w:rsidRDefault="005A5E64" w:rsidP="009C26DD">
      <w:pPr>
        <w:pStyle w:val="p2"/>
        <w:spacing w:before="0" w:beforeAutospacing="0" w:after="0" w:afterAutospacing="0" w:line="360" w:lineRule="auto"/>
        <w:jc w:val="both"/>
      </w:pPr>
      <w:bookmarkStart w:id="22"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rsidR="0074409A" w:rsidRPr="00CC24BD">
        <w:t>For highly spatially autocorrelated species</w:t>
      </w:r>
      <w:r w:rsidR="00D34C42" w:rsidRPr="00CC24BD">
        <w:t xml:space="preserve">, estimation of the depth-specific mean, </w:t>
      </w:r>
      <w:r w:rsidR="007B2115" w:rsidRPr="00EC343E">
        <w:rPr>
          <w:i/>
          <w:iCs/>
          <w:lang w:val="el-GR"/>
        </w:rPr>
        <w:t>μ</w:t>
      </w:r>
      <w:r w:rsidR="007B2115" w:rsidRPr="00EC343E">
        <w:rPr>
          <w:i/>
          <w:iCs/>
          <w:vertAlign w:val="subscript"/>
        </w:rPr>
        <w:t>d</w:t>
      </w:r>
      <w:r w:rsidR="00D34C42" w:rsidRPr="00CC24BD">
        <w:t xml:space="preserve"> is likely to improve</w:t>
      </w:r>
      <w:r w:rsidR="007B2115" w:rsidRPr="00CC24BD">
        <w:t xml:space="preserve"> compared to results here</w:t>
      </w:r>
      <w:r w:rsidR="00D34C42" w:rsidRPr="00CC24BD">
        <w:t xml:space="preserve"> when the study domain is sufficiently broad to contain the dominant scale of spatial variation, as might be the case in surveys spanning an entire ocean basin such as the Pacific Ocean</w:t>
      </w:r>
      <w:r w:rsidR="00713520">
        <w:t xml:space="preserve"> </w:t>
      </w:r>
      <w:r w:rsidR="0065487C">
        <w:fldChar w:fldCharType="begin"/>
      </w:r>
      <w:r w:rsidR="00AA6C90">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65487C">
        <w:rPr>
          <w:noProof/>
        </w:rPr>
        <w:t>(Paciorek, 2010; Redfern et al., 2006)</w:t>
      </w:r>
      <w:r w:rsidR="0065487C">
        <w:fldChar w:fldCharType="end"/>
      </w:r>
      <w:r w:rsidR="007A5C24" w:rsidRPr="00CC24BD">
        <w:t xml:space="preserve"> By contrast, in a very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D44A4F" w:rsidRPr="00CC24BD">
        <w:t xml:space="preserve"> </w:t>
      </w:r>
      <w:r w:rsidR="00CC24BD" w:rsidRPr="00CC24BD">
        <w:t>Estimation of spatial autocorrelation is similarly constrained, due to lack of samples outside of the distance-decay spatial autocorrelation</w:t>
      </w:r>
      <w:r w:rsidR="006A3BF7">
        <w:t xml:space="preserve"> </w:t>
      </w:r>
      <w:r w:rsidR="004660B7">
        <w:fldChar w:fldCharType="begin"/>
      </w:r>
      <w:r w:rsidR="00AA6C90">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4660B7">
        <w:fldChar w:fldCharType="separate"/>
      </w:r>
      <w:r w:rsidR="004660B7">
        <w:rPr>
          <w:noProof/>
        </w:rPr>
        <w:t>(Paciorek, 2010)</w:t>
      </w:r>
      <w:r w:rsidR="004660B7">
        <w:fldChar w:fldCharType="end"/>
      </w:r>
      <w:r w:rsidR="00CC24BD" w:rsidRPr="00CC24BD">
        <w:t xml:space="preserve">. </w:t>
      </w:r>
    </w:p>
    <w:p w14:paraId="6A427720" w14:textId="77777777" w:rsidR="00F95A68" w:rsidRDefault="00F95A68" w:rsidP="009C26DD">
      <w:pPr>
        <w:pStyle w:val="p2"/>
        <w:spacing w:before="0" w:beforeAutospacing="0" w:after="0" w:afterAutospacing="0" w:line="360" w:lineRule="auto"/>
        <w:jc w:val="both"/>
      </w:pP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23" w:name="OLE_LINK1"/>
      <w:bookmarkEnd w:id="22"/>
      <w:r w:rsidRPr="00870EEE">
        <w:rPr>
          <w:rFonts w:ascii="Times New Roman" w:eastAsia="Times New Roman" w:hAnsi="Times New Roman" w:cs="Times New Roman"/>
          <w:b/>
          <w:bCs/>
        </w:rPr>
        <w:lastRenderedPageBreak/>
        <w:t xml:space="preserve">Implications for survey design and management applications </w:t>
      </w:r>
    </w:p>
    <w:p w14:paraId="10721492" w14:textId="46BCA09C" w:rsidR="00F04F50" w:rsidRPr="00D12FC8" w:rsidRDefault="009A110E" w:rsidP="00D12FC8">
      <w:pPr>
        <w:spacing w:after="0" w:line="36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sidR="00D12FC8" w:rsidRPr="00D12FC8">
        <w:rPr>
          <w:rFonts w:ascii="Times New Roman" w:eastAsia="Times New Roman" w:hAnsi="Times New Roman" w:cs="Times New Roman"/>
        </w:rPr>
        <w:t>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w:t>
      </w:r>
      <w:r w:rsidR="002E6AE6">
        <w:rPr>
          <w:rFonts w:ascii="Times New Roman" w:eastAsia="Times New Roman" w:hAnsi="Times New Roman" w:cs="Times New Roman"/>
        </w:rPr>
        <w:t xml:space="preserve"> </w:t>
      </w:r>
      <w:r w:rsidR="00D12FC8" w:rsidRPr="00D12FC8">
        <w:rPr>
          <w:rFonts w:ascii="Times New Roman" w:eastAsia="Times New Roman" w:hAnsi="Times New Roman" w:cs="Times New Roman"/>
        </w:rPr>
        <w:t>3) from which the new data is extrapolated.</w:t>
      </w:r>
      <w:r w:rsidR="002E6AE6">
        <w:rPr>
          <w:rFonts w:ascii="Times New Roman" w:eastAsia="Times New Roman" w:hAnsi="Times New Roman" w:cs="Times New Roman"/>
        </w:rPr>
        <w:t xml:space="preserve"> </w:t>
      </w:r>
      <w:r w:rsidR="00F04F50" w:rsidRPr="00F04F50">
        <w:rPr>
          <w:rFonts w:ascii="Times New Roman" w:eastAsia="Times New Roman" w:hAnsi="Times New Roman" w:cs="Times New Roman"/>
        </w:rPr>
        <w:t xml:space="preserve">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t>
      </w:r>
      <w:r w:rsidR="001E33B9" w:rsidRPr="001E33B9">
        <w:rPr>
          <w:rFonts w:ascii="Times New Roman" w:eastAsia="Times New Roman" w:hAnsi="Times New Roman" w:cs="Times New Roman"/>
        </w:rPr>
        <w:t>while prediction accuracy was evaluated independently for each depth-specific spatial field, with no shared information among depths</w:t>
      </w:r>
      <w:r w:rsidR="00F04F50" w:rsidRPr="00F04F50">
        <w:rPr>
          <w:rFonts w:ascii="Times New Roman" w:eastAsia="Times New Roman" w:hAnsi="Times New Roman" w:cs="Times New Roman"/>
        </w:rPr>
        <w:t>.</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24"/>
    <w:p w14:paraId="0697FEC0" w14:textId="2EFD0B87" w:rsidR="002E285D" w:rsidRDefault="002E285D" w:rsidP="009C26DD">
      <w:pPr>
        <w:spacing w:after="0" w:line="36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sidRPr="00870EEE">
        <w:rPr>
          <w:rFonts w:ascii="Times New Roman" w:eastAsia="Times New Roman" w:hAnsi="Times New Roman" w:cs="Times New Roman"/>
        </w:rPr>
        <w:t xml:space="preserve"> Uniformly thinning </w:t>
      </w:r>
      <w:r w:rsidRPr="00F335A6">
        <w:rPr>
          <w:rFonts w:ascii="Times New Roman" w:eastAsia="Times New Roman" w:hAnsi="Times New Roman" w:cs="Times New Roman"/>
        </w:rPr>
        <w:t xml:space="preserve">an otherwise regular spatial design </w:t>
      </w:r>
      <w:r w:rsidRPr="00870EEE">
        <w:rPr>
          <w:rFonts w:ascii="Times New Roman" w:eastAsia="Times New Roman" w:hAnsi="Times New Roman" w:cs="Times New Roman"/>
        </w:rPr>
        <w:t xml:space="preserve">reduces both the number of pairs and the diversity of distances, which </w:t>
      </w:r>
      <w:r w:rsidRPr="00F335A6">
        <w:rPr>
          <w:rFonts w:ascii="Times New Roman" w:eastAsia="Times New Roman" w:hAnsi="Times New Roman" w:cs="Times New Roman"/>
        </w:rPr>
        <w:t xml:space="preserve">helps </w:t>
      </w:r>
      <w:r w:rsidRPr="00870EEE">
        <w:rPr>
          <w:rFonts w:ascii="Times New Roman" w:eastAsia="Times New Roman" w:hAnsi="Times New Roman" w:cs="Times New Roman"/>
        </w:rPr>
        <w:t xml:space="preserve">explain the </w:t>
      </w:r>
      <w:r w:rsidRPr="00F335A6">
        <w:rPr>
          <w:rFonts w:ascii="Times New Roman" w:eastAsia="Times New Roman" w:hAnsi="Times New Roman" w:cs="Times New Roman"/>
        </w:rPr>
        <w:t xml:space="preserve">large </w:t>
      </w:r>
      <w:r w:rsidRPr="00870EEE">
        <w:rPr>
          <w:rFonts w:ascii="Times New Roman" w:eastAsia="Times New Roman" w:hAnsi="Times New Roman" w:cs="Times New Roman"/>
        </w:rPr>
        <w:t>uncertainty in</w:t>
      </w:r>
      <w:r>
        <w:rPr>
          <w:rFonts w:ascii="Times New Roman" w:eastAsia="Times New Roman" w:hAnsi="Times New Roman" w:cs="Times New Roman"/>
        </w:rPr>
        <w:t xml:space="preserve"> estimating</w:t>
      </w:r>
      <w:r w:rsidRPr="00870EEE">
        <w:rPr>
          <w:rFonts w:ascii="Times New Roman" w:eastAsia="Times New Roman" w:hAnsi="Times New Roman" w:cs="Times New Roman"/>
        </w:rPr>
        <w:t xml:space="preserve"> </w:t>
      </w:r>
      <w:r w:rsidRPr="00EC343E">
        <w:rPr>
          <w:rFonts w:ascii="Times New Roman" w:eastAsia="Times New Roman" w:hAnsi="Times New Roman" w:cs="Times New Roman"/>
          <w:i/>
          <w:iCs/>
          <w:lang w:val="el-GR"/>
        </w:rPr>
        <w:t>ρ</w:t>
      </w:r>
      <w:r w:rsidRPr="00870EEE">
        <w:rPr>
          <w:rFonts w:ascii="Times New Roman" w:eastAsia="Times New Roman" w:hAnsi="Times New Roman" w:cs="Times New Roman"/>
        </w:rPr>
        <w:t xml:space="preserve"> </w:t>
      </w:r>
      <w:r>
        <w:rPr>
          <w:rFonts w:ascii="Times New Roman" w:eastAsia="Times New Roman" w:hAnsi="Times New Roman" w:cs="Times New Roman"/>
        </w:rPr>
        <w:t>under</w:t>
      </w:r>
      <w:r w:rsidRPr="00870EEE">
        <w:rPr>
          <w:rFonts w:ascii="Times New Roman" w:eastAsia="Times New Roman" w:hAnsi="Times New Roman" w:cs="Times New Roman"/>
        </w:rPr>
        <w:t xml:space="preserve"> low effort</w:t>
      </w:r>
      <w:r>
        <w:rPr>
          <w:rFonts w:ascii="Times New Roman" w:eastAsia="Times New Roman" w:hAnsi="Times New Roman" w:cs="Times New Roman"/>
        </w:rPr>
        <w:t xml:space="preserve"> scenarios as</w:t>
      </w:r>
      <w:r w:rsidRPr="00870EEE">
        <w:rPr>
          <w:rFonts w:ascii="Times New Roman" w:eastAsia="Times New Roman" w:hAnsi="Times New Roman" w:cs="Times New Roman"/>
        </w:rPr>
        <w:t xml:space="preserve"> observed </w:t>
      </w:r>
      <w:r>
        <w:rPr>
          <w:rFonts w:ascii="Times New Roman" w:eastAsia="Times New Roman" w:hAnsi="Times New Roman" w:cs="Times New Roman"/>
        </w:rPr>
        <w:t xml:space="preserve">through </w:t>
      </w:r>
      <w:r w:rsidRPr="00870EEE">
        <w:rPr>
          <w:rFonts w:ascii="Times New Roman" w:eastAsia="Times New Roman" w:hAnsi="Times New Roman" w:cs="Times New Roman"/>
        </w:rPr>
        <w:t xml:space="preserve">the simulations. </w:t>
      </w:r>
      <w:r w:rsidRPr="00266F60">
        <w:rPr>
          <w:rFonts w:ascii="Times New Roman" w:eastAsia="Times New Roman" w:hAnsi="Times New Roman" w:cs="Times New Roman"/>
        </w:rPr>
        <w:t xml:space="preserve">In practical marine surveys, where ship time and </w:t>
      </w:r>
      <w:r w:rsidRPr="00266F60">
        <w:rPr>
          <w:rFonts w:ascii="Times New Roman" w:eastAsia="Times New Roman" w:hAnsi="Times New Roman" w:cs="Times New Roman"/>
        </w:rPr>
        <w:lastRenderedPageBreak/>
        <w:t xml:space="preserve">station spacing are limiting, incorporating targeted design features such as broad transects that cover the whole study area, together with small clusters of nearby stations placed within parts of those transects, may improve recovery of </w:t>
      </w:r>
      <w:r w:rsidRPr="00C808FE">
        <w:rPr>
          <w:rFonts w:ascii="Times New Roman" w:eastAsia="Times New Roman" w:hAnsi="Times New Roman" w:cs="Times New Roman"/>
          <w:i/>
          <w:iCs/>
          <w:lang w:val="el-GR"/>
        </w:rPr>
        <w:t>ρ</w:t>
      </w:r>
      <w:r w:rsidRPr="00266F60">
        <w:rPr>
          <w:rFonts w:ascii="Times New Roman" w:eastAsia="Times New Roman" w:hAnsi="Times New Roman" w:cs="Times New Roman"/>
        </w:rPr>
        <w:t xml:space="preserve"> without requiring a proportional increase in total effort, although this was not directly evaluated in the present stud</w:t>
      </w:r>
      <w:r w:rsidR="00C52B31">
        <w:rPr>
          <w:rFonts w:ascii="Times New Roman" w:eastAsia="Times New Roman" w:hAnsi="Times New Roman" w:cs="Times New Roman"/>
        </w:rPr>
        <w:t>y</w:t>
      </w:r>
      <w:r w:rsidRPr="00266F60">
        <w:rPr>
          <w:rFonts w:ascii="Times New Roman" w:eastAsia="Times New Roman" w:hAnsi="Times New Roman" w:cs="Times New Roman"/>
        </w:rPr>
        <w:t>.</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12C0C2EE" w:rsidR="002E285D" w:rsidRDefault="000145BE" w:rsidP="009C26DD">
      <w:pPr>
        <w:pStyle w:val="p2"/>
        <w:spacing w:before="0" w:beforeAutospacing="0" w:after="0" w:afterAutospacing="0" w:line="360" w:lineRule="auto"/>
        <w:jc w:val="both"/>
      </w:pPr>
      <w:r>
        <w:t>B</w:t>
      </w:r>
      <w:r w:rsidR="002E285D" w:rsidRPr="007954AF">
        <w:t xml:space="preserve">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2E285D" w:rsidRPr="007954AF">
        <w:t>. Beyond this level of effort, general pattern of estimating all the parameters of interest here (</w:t>
      </w:r>
      <w:r w:rsidR="002E285D" w:rsidRPr="008E6BDE">
        <w:rPr>
          <w:i/>
          <w:iCs/>
          <w:lang w:val="el-GR"/>
        </w:rPr>
        <w:t>μ</w:t>
      </w:r>
      <w:r w:rsidR="002E285D" w:rsidRPr="007954AF">
        <w:rPr>
          <w:lang w:val="el-GR"/>
        </w:rPr>
        <w:t xml:space="preserve">, </w:t>
      </w:r>
      <w:r w:rsidR="002E285D" w:rsidRPr="008E6BDE">
        <w:rPr>
          <w:i/>
          <w:iCs/>
          <w:lang w:val="el-GR"/>
        </w:rPr>
        <w:t>ρ</w:t>
      </w:r>
      <w:r w:rsidR="002E285D" w:rsidRPr="007954AF">
        <w:rPr>
          <w:lang w:val="el-GR"/>
        </w:rPr>
        <w:t xml:space="preserve">, </w:t>
      </w:r>
      <w:r w:rsidR="002E285D" w:rsidRPr="008E6BDE">
        <w:rPr>
          <w:i/>
          <w:iCs/>
          <w:lang w:val="el-GR"/>
        </w:rPr>
        <w:t>α</w:t>
      </w:r>
      <w:r w:rsidR="002E285D" w:rsidRPr="007954AF">
        <w:rPr>
          <w:lang w:val="el-GR"/>
        </w:rPr>
        <w:t xml:space="preserve">, </w:t>
      </w:r>
      <w:r w:rsidR="002E285D" w:rsidRPr="008E6BDE">
        <w:rPr>
          <w:i/>
          <w:iCs/>
          <w:lang w:val="el-GR"/>
        </w:rPr>
        <w:t>σ</w:t>
      </w:r>
      <w:r w:rsidR="002E285D" w:rsidRPr="007954AF">
        <w:rPr>
          <w:lang w:val="el-GR"/>
        </w:rPr>
        <w:t xml:space="preserve">, </w:t>
      </w:r>
      <w:r w:rsidR="002E285D" w:rsidRPr="007954AF">
        <w:t xml:space="preserve">and </w:t>
      </w:r>
      <w:r w:rsidR="002E285D" w:rsidRPr="008E6BDE">
        <w:rPr>
          <w:i/>
          <w:iCs/>
          <w:lang w:val="el-GR"/>
        </w:rPr>
        <w:t>ε</w:t>
      </w:r>
      <w:r w:rsidR="002E285D" w:rsidRPr="007954AF">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sidRPr="000D2BF7">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rsidRPr="00187296">
        <w:t>This study shows that the effectiveness of marine eDNA sampling depends strongly on spatial autocorrelation and on the specific goals of the survey. In both simulated and empirical datasets, increasing sampling effort improved spatial prediction, but the</w:t>
      </w:r>
      <w:r w:rsidR="00187296" w:rsidRPr="00187296">
        <w:t xml:space="preserve">se gains diminished once sampling effort reached </w:t>
      </w:r>
      <w:r w:rsidR="00BD5952">
        <w:t>4 - 9</w:t>
      </w:r>
      <w:r w:rsidRPr="00187296">
        <w:t xml:space="preserve"> samples </w:t>
      </w:r>
      <w:r w:rsidR="00187296" w:rsidRPr="00187296">
        <w:t xml:space="preserve">or more </w:t>
      </w:r>
      <w:r w:rsidRPr="00187296">
        <w:t>per 10,000 km² per depth layer. The results also indicate that</w:t>
      </w:r>
      <w:r w:rsidR="00B73353" w:rsidRPr="00187296">
        <w:t xml:space="preserve"> estimating</w:t>
      </w:r>
      <w:r w:rsidRPr="00187296">
        <w:t xml:space="preserve"> </w:t>
      </w:r>
      <w:r w:rsidR="00187296" w:rsidRPr="00187296">
        <w:t xml:space="preserve">the </w:t>
      </w:r>
      <w:r w:rsidRPr="00187296">
        <w:t>mean signal</w:t>
      </w:r>
      <w:r w:rsidR="00B73353" w:rsidRPr="00187296">
        <w:t>s (</w:t>
      </w:r>
      <w:r w:rsidR="00187296" w:rsidRPr="00187296">
        <w:t>analogous to a stock assessment index</w:t>
      </w:r>
      <w:r w:rsidR="00B73353" w:rsidRPr="00187296">
        <w:t>)</w:t>
      </w:r>
      <w:r w:rsidRPr="00187296">
        <w:t xml:space="preserve">, </w:t>
      </w:r>
      <w:r w:rsidR="00187296" w:rsidRPr="00187296">
        <w:t>is more robust to reduced sampling than estimating spatial autocorrelation parameters, which require denser and more spatially representative designs</w:t>
      </w:r>
      <w:r w:rsidRPr="00187296">
        <w:t xml:space="preserve">. These findings </w:t>
      </w:r>
      <w:r w:rsidR="00187296" w:rsidRPr="00187296">
        <w:t xml:space="preserve">emphasize </w:t>
      </w:r>
      <w:r w:rsidRPr="00187296">
        <w:t xml:space="preserve">that there is no single optimal sampling threshold for all </w:t>
      </w:r>
      <w:r w:rsidR="00187296" w:rsidRPr="00187296">
        <w:t xml:space="preserve">multispecies </w:t>
      </w:r>
      <w:r w:rsidRPr="00187296">
        <w:t xml:space="preserve">eDNA </w:t>
      </w:r>
      <w:r w:rsidR="00187296" w:rsidRPr="00187296">
        <w:t>surveys</w:t>
      </w:r>
      <w:r w:rsidRPr="00187296">
        <w:t>,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25" w:name="fig:mu_rho_N"/>
      <w:bookmarkStart w:id="26" w:name="appendix"/>
      <w:bookmarkEnd w:id="18"/>
      <w:bookmarkEnd w:id="19"/>
      <w:r w:rsidRPr="00625110">
        <w:rPr>
          <w:b/>
          <w:bCs/>
          <w:i w:val="0"/>
          <w:iCs/>
          <w:sz w:val="24"/>
          <w:szCs w:val="28"/>
        </w:rPr>
        <w:lastRenderedPageBreak/>
        <w:t>Refere</w:t>
      </w:r>
      <w:r w:rsidR="00C10BA1">
        <w:rPr>
          <w:b/>
          <w:bCs/>
          <w:i w:val="0"/>
          <w:iCs/>
          <w:sz w:val="24"/>
          <w:szCs w:val="28"/>
        </w:rPr>
        <w:t>n</w:t>
      </w:r>
      <w:r w:rsidRPr="00625110">
        <w:rPr>
          <w:b/>
          <w:bCs/>
          <w:i w:val="0"/>
          <w:iCs/>
          <w:sz w:val="24"/>
          <w:szCs w:val="28"/>
        </w:rPr>
        <w:t>ces</w:t>
      </w:r>
    </w:p>
    <w:bookmarkEnd w:id="25"/>
    <w:bookmarkEnd w:id="26"/>
    <w:p w14:paraId="7443A33A" w14:textId="77777777" w:rsidR="00937D72" w:rsidRPr="00937D72" w:rsidRDefault="00F553D1" w:rsidP="000A1536">
      <w:pPr>
        <w:pStyle w:val="Bibliography"/>
        <w:spacing w:line="240" w:lineRule="auto"/>
      </w:pPr>
      <w:r w:rsidRPr="007A589B">
        <w:fldChar w:fldCharType="begin"/>
      </w:r>
      <w:r w:rsidR="008A3F3D">
        <w:instrText xml:space="preserve"> ADDIN ZOTERO_BIBL {"uncited":[],"omitted":[],"custom":[]} CSL_BIBLIOGRAPHY </w:instrText>
      </w:r>
      <w:r w:rsidRPr="007A589B">
        <w:fldChar w:fldCharType="separate"/>
      </w:r>
      <w:r w:rsidR="00937D72" w:rsidRPr="00937D72">
        <w:t xml:space="preserve">Baetscher, D. S., Omori, K. L., Goethel, D. R., Shelton, A. O., Berger, A. M., Ledger, K. J., Nichols, K. M., &amp; Larson, W. A. (2025). The Pragmatic Sceptic: A Practical Approach for Integrating Environmental </w:t>
      </w:r>
      <w:r w:rsidR="00937D72" w:rsidRPr="00937D72">
        <w:rPr>
          <w:smallCaps/>
        </w:rPr>
        <w:t>DNA</w:t>
      </w:r>
      <w:r w:rsidR="00937D72" w:rsidRPr="00937D72">
        <w:t xml:space="preserve"> Into Marine Stock Assessment and Fisheries Management. </w:t>
      </w:r>
      <w:r w:rsidR="00937D72" w:rsidRPr="00937D72">
        <w:rPr>
          <w:i/>
          <w:iCs/>
        </w:rPr>
        <w:t>Fish and Fisheries</w:t>
      </w:r>
      <w:r w:rsidR="00937D72" w:rsidRPr="00937D72">
        <w:t>, faf.70001. https://doi.org/10.1111/faf.70001</w:t>
      </w:r>
    </w:p>
    <w:p w14:paraId="61D9D7F0" w14:textId="77777777" w:rsidR="00937D72" w:rsidRPr="00937D72" w:rsidRDefault="00937D72" w:rsidP="000A1536">
      <w:pPr>
        <w:pStyle w:val="Bibliography"/>
        <w:spacing w:line="240" w:lineRule="auto"/>
      </w:pPr>
      <w:r w:rsidRPr="00937D72">
        <w:t xml:space="preserve">Bessey, C., Jarman, S. N., Berry, O., Olsen, Y. S., Bunce, M., Simpson, T., Power, M., McLaughlin, J., Edgar, G. J., &amp; Keesing, J. (2020). Maximizing fish detection with eDNA metabarcoding. </w:t>
      </w:r>
      <w:r w:rsidRPr="00937D72">
        <w:rPr>
          <w:i/>
          <w:iCs/>
        </w:rPr>
        <w:t>Environmental DNA</w:t>
      </w:r>
      <w:r w:rsidRPr="00937D72">
        <w:t xml:space="preserve">, </w:t>
      </w:r>
      <w:r w:rsidRPr="00937D72">
        <w:rPr>
          <w:i/>
          <w:iCs/>
        </w:rPr>
        <w:t>2</w:t>
      </w:r>
      <w:r w:rsidRPr="00937D72">
        <w:t>(4), 493–504. https://doi.org/10.1002/edn3.74</w:t>
      </w:r>
    </w:p>
    <w:p w14:paraId="7D3DF35E" w14:textId="77777777" w:rsidR="00937D72" w:rsidRPr="00937D72" w:rsidRDefault="00937D72" w:rsidP="000A1536">
      <w:pPr>
        <w:pStyle w:val="Bibliography"/>
        <w:spacing w:line="240" w:lineRule="auto"/>
      </w:pPr>
      <w:r w:rsidRPr="00937D72">
        <w:t xml:space="preserve">Brandão‐Dias, P. F. P., Hallack, D. M. C., Snyder, E. D., Tank, J. L., Bolster, D., Volponi, S., Shogren, A. J., Lamberti, G. A., Bibby, K., &amp; Egan, S. P. (2023). Particle size influences decay rates of environmental DNA in aquatic systems. </w:t>
      </w:r>
      <w:r w:rsidRPr="00937D72">
        <w:rPr>
          <w:i/>
          <w:iCs/>
        </w:rPr>
        <w:t>Molecular Ecology Resources</w:t>
      </w:r>
      <w:r w:rsidRPr="00937D72">
        <w:t xml:space="preserve">, </w:t>
      </w:r>
      <w:r w:rsidRPr="00937D72">
        <w:rPr>
          <w:i/>
          <w:iCs/>
        </w:rPr>
        <w:t>23</w:t>
      </w:r>
      <w:r w:rsidRPr="00937D72">
        <w:t>(4), 756–770. https://doi.org/10.1111/1755-0998.13751</w:t>
      </w:r>
    </w:p>
    <w:p w14:paraId="4CAE4D8A" w14:textId="77777777" w:rsidR="00937D72" w:rsidRPr="00937D72" w:rsidRDefault="00937D72" w:rsidP="000A1536">
      <w:pPr>
        <w:pStyle w:val="Bibliography"/>
        <w:spacing w:line="240" w:lineRule="auto"/>
      </w:pPr>
      <w:r w:rsidRPr="00937D72">
        <w:t xml:space="preserve">Brandão-Dias, P. F., Shaffer, M., Guri, G., Parsons, K. M., Kelly, R. P., &amp; Allan, E. A. (2025). Differential decay of multiple environmental nucleic acid components. </w:t>
      </w:r>
      <w:r w:rsidRPr="00937D72">
        <w:rPr>
          <w:i/>
          <w:iCs/>
        </w:rPr>
        <w:t>Scientific Reports</w:t>
      </w:r>
      <w:r w:rsidRPr="00937D72">
        <w:t xml:space="preserve">, </w:t>
      </w:r>
      <w:r w:rsidRPr="00937D72">
        <w:rPr>
          <w:i/>
          <w:iCs/>
        </w:rPr>
        <w:t>15</w:t>
      </w:r>
      <w:r w:rsidRPr="00937D72">
        <w:t>(1), 26791. https://doi.org/10.1038/s41598-025-12916-5</w:t>
      </w:r>
    </w:p>
    <w:p w14:paraId="55E192A7" w14:textId="77777777" w:rsidR="00937D72" w:rsidRPr="00937D72" w:rsidRDefault="00937D72" w:rsidP="000A1536">
      <w:pPr>
        <w:pStyle w:val="Bibliography"/>
        <w:spacing w:line="240" w:lineRule="auto"/>
      </w:pPr>
      <w:r w:rsidRPr="00937D72">
        <w:t xml:space="preserve">Callahan, B. J., McMurdie, P. J., Rosen, M. J., Han, A. W., Johnson, A. J. A., &amp; Holmes, S. P. (2016). DADA2: High-resolution sample inference from Illumina amplicon data. </w:t>
      </w:r>
      <w:r w:rsidRPr="00937D72">
        <w:rPr>
          <w:i/>
          <w:iCs/>
        </w:rPr>
        <w:t>Nature Methods</w:t>
      </w:r>
      <w:r w:rsidRPr="00937D72">
        <w:t xml:space="preserve">, </w:t>
      </w:r>
      <w:r w:rsidRPr="00937D72">
        <w:rPr>
          <w:i/>
          <w:iCs/>
        </w:rPr>
        <w:t>13</w:t>
      </w:r>
      <w:r w:rsidRPr="00937D72">
        <w:t>(7), 581–583. https://doi.org/10.1038/nmeth.3869</w:t>
      </w:r>
    </w:p>
    <w:p w14:paraId="49C4039C" w14:textId="77777777" w:rsidR="00937D72" w:rsidRPr="00937D72" w:rsidRDefault="00937D72" w:rsidP="000A1536">
      <w:pPr>
        <w:pStyle w:val="Bibliography"/>
        <w:spacing w:line="240" w:lineRule="auto"/>
      </w:pPr>
      <w:r w:rsidRPr="00937D72">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37D72">
        <w:rPr>
          <w:i/>
          <w:iCs/>
        </w:rPr>
        <w:t>Ecography</w:t>
      </w:r>
      <w:r w:rsidRPr="00937D72">
        <w:t xml:space="preserve">, </w:t>
      </w:r>
      <w:r w:rsidRPr="00937D72">
        <w:rPr>
          <w:i/>
          <w:iCs/>
        </w:rPr>
        <w:t>30</w:t>
      </w:r>
      <w:r w:rsidRPr="00937D72">
        <w:t>(5), 609–628. https://doi.org/10.1111/j.2007.0906-7590.05171.x</w:t>
      </w:r>
    </w:p>
    <w:p w14:paraId="7FCB4392" w14:textId="77777777" w:rsidR="00937D72" w:rsidRPr="00937D72" w:rsidRDefault="00937D72" w:rsidP="000A1536">
      <w:pPr>
        <w:pStyle w:val="Bibliography"/>
        <w:spacing w:line="240" w:lineRule="auto"/>
      </w:pPr>
      <w:r w:rsidRPr="00937D72">
        <w:t xml:space="preserve">Elith, J., Leathwick, J. R., &amp; Hastie, T. (2008). A working guide to boosted regression trees. </w:t>
      </w:r>
      <w:r w:rsidRPr="00937D72">
        <w:rPr>
          <w:i/>
          <w:iCs/>
        </w:rPr>
        <w:t>Journal of Animal Ecology</w:t>
      </w:r>
      <w:r w:rsidRPr="00937D72">
        <w:t xml:space="preserve">, </w:t>
      </w:r>
      <w:r w:rsidRPr="00937D72">
        <w:rPr>
          <w:i/>
          <w:iCs/>
        </w:rPr>
        <w:t>77</w:t>
      </w:r>
      <w:r w:rsidRPr="00937D72">
        <w:t>(4), 802–813. https://doi.org/10.1111/j.1365-2656.2008.01390.x</w:t>
      </w:r>
    </w:p>
    <w:p w14:paraId="33EC3851" w14:textId="77777777" w:rsidR="00937D72" w:rsidRPr="00937D72" w:rsidRDefault="00937D72" w:rsidP="000A1536">
      <w:pPr>
        <w:pStyle w:val="Bibliography"/>
        <w:spacing w:line="240" w:lineRule="auto"/>
      </w:pPr>
      <w:r w:rsidRPr="00937D72">
        <w:t xml:space="preserve">Fortin, M.-J., Drapeau, P., &amp; Legendre, P. (1989). Spatial autocorrelation and sampling design in plant ecology. </w:t>
      </w:r>
      <w:r w:rsidRPr="00937D72">
        <w:rPr>
          <w:i/>
          <w:iCs/>
        </w:rPr>
        <w:t>Vegetatio</w:t>
      </w:r>
      <w:r w:rsidRPr="00937D72">
        <w:t xml:space="preserve">, </w:t>
      </w:r>
      <w:r w:rsidRPr="00937D72">
        <w:rPr>
          <w:i/>
          <w:iCs/>
        </w:rPr>
        <w:t>83</w:t>
      </w:r>
      <w:r w:rsidRPr="00937D72">
        <w:t>(1–2), 209–222. https://doi.org/10.1007/BF00031693</w:t>
      </w:r>
    </w:p>
    <w:p w14:paraId="08395412" w14:textId="77777777" w:rsidR="00937D72" w:rsidRPr="00937D72" w:rsidRDefault="00937D72" w:rsidP="000A1536">
      <w:pPr>
        <w:pStyle w:val="Bibliography"/>
        <w:spacing w:line="240" w:lineRule="auto"/>
      </w:pPr>
      <w:r w:rsidRPr="00937D72">
        <w:t xml:space="preserve">Fraser, H. M., Greenstreet, S. P. R., &amp; Piet, G. J. (2007). Taking account of catchability in groundfish survey trawls: Implications for estimating demersal fish biomass. </w:t>
      </w:r>
      <w:r w:rsidRPr="00937D72">
        <w:rPr>
          <w:i/>
          <w:iCs/>
        </w:rPr>
        <w:t>ICES Journal of Marine Science</w:t>
      </w:r>
      <w:r w:rsidRPr="00937D72">
        <w:t xml:space="preserve">, </w:t>
      </w:r>
      <w:r w:rsidRPr="00937D72">
        <w:rPr>
          <w:i/>
          <w:iCs/>
        </w:rPr>
        <w:t>64</w:t>
      </w:r>
      <w:r w:rsidRPr="00937D72">
        <w:t>(9), 1800–1819. https://doi.org/10.1093/icesjms/fsm145</w:t>
      </w:r>
    </w:p>
    <w:p w14:paraId="1A5AE572" w14:textId="77777777" w:rsidR="00937D72" w:rsidRPr="00937D72" w:rsidRDefault="00937D72" w:rsidP="000A1536">
      <w:pPr>
        <w:pStyle w:val="Bibliography"/>
        <w:spacing w:line="240" w:lineRule="auto"/>
      </w:pPr>
      <w:r w:rsidRPr="00937D72">
        <w:t xml:space="preserve">Fukaya, K., Murakami, H., Yoon, S., Minami, K., Osada, Y., Yamamoto, S., Masuda, R., Kasai, A., Miyashita, K., Minamoto, T., &amp; Kondoh, M. (2021). Estimating fish population abundance by integrating quantitative data on environmental DNA and hydrodynamic modelling. </w:t>
      </w:r>
      <w:r w:rsidRPr="00937D72">
        <w:rPr>
          <w:i/>
          <w:iCs/>
        </w:rPr>
        <w:t>Molecular Ecology</w:t>
      </w:r>
      <w:r w:rsidRPr="00937D72">
        <w:t xml:space="preserve">, </w:t>
      </w:r>
      <w:r w:rsidRPr="00937D72">
        <w:rPr>
          <w:i/>
          <w:iCs/>
        </w:rPr>
        <w:t>30</w:t>
      </w:r>
      <w:r w:rsidRPr="00937D72">
        <w:t>(13), 3057–3067. https://doi.org/10.1111/mec.15530</w:t>
      </w:r>
    </w:p>
    <w:p w14:paraId="2C211504" w14:textId="77777777" w:rsidR="00937D72" w:rsidRPr="00937D72" w:rsidRDefault="00937D72" w:rsidP="000A1536">
      <w:pPr>
        <w:pStyle w:val="Bibliography"/>
        <w:spacing w:line="240" w:lineRule="auto"/>
      </w:pPr>
      <w:r w:rsidRPr="00937D72">
        <w:t xml:space="preserve">García‐Machado, E., Normandeau, E., Côté, G., Caza‐Allard, I., Babin, C., &amp; Bernatchez, L. (2024). Evaluating Sampling Designs to Survey Fish Diversity in Lakes From Northern Temperate Zones. </w:t>
      </w:r>
      <w:r w:rsidRPr="00937D72">
        <w:rPr>
          <w:i/>
          <w:iCs/>
        </w:rPr>
        <w:t>Environmental DNA</w:t>
      </w:r>
      <w:r w:rsidRPr="00937D72">
        <w:t xml:space="preserve">, </w:t>
      </w:r>
      <w:r w:rsidRPr="00937D72">
        <w:rPr>
          <w:i/>
          <w:iCs/>
        </w:rPr>
        <w:t>6</w:t>
      </w:r>
      <w:r w:rsidRPr="00937D72">
        <w:t>(6), e70015. https://doi.org/10.1002/edn3.70015</w:t>
      </w:r>
    </w:p>
    <w:p w14:paraId="0C3002B0" w14:textId="77777777" w:rsidR="00937D72" w:rsidRPr="00937D72" w:rsidRDefault="00937D72" w:rsidP="000A1536">
      <w:pPr>
        <w:pStyle w:val="Bibliography"/>
        <w:spacing w:line="240" w:lineRule="auto"/>
      </w:pPr>
      <w:r w:rsidRPr="00937D72">
        <w:t xml:space="preserve">Gloor, G. B., Macklaim, J. M., Pawlowsky-Glahn, V., &amp; Egozcue, J. J. (2017). Microbiome Datasets Are Compositional: And This Is Not Optional. </w:t>
      </w:r>
      <w:r w:rsidRPr="00937D72">
        <w:rPr>
          <w:i/>
          <w:iCs/>
        </w:rPr>
        <w:t>Frontiers in Microbiology</w:t>
      </w:r>
      <w:r w:rsidRPr="00937D72">
        <w:t xml:space="preserve">, </w:t>
      </w:r>
      <w:r w:rsidRPr="00937D72">
        <w:rPr>
          <w:i/>
          <w:iCs/>
        </w:rPr>
        <w:t>8</w:t>
      </w:r>
      <w:r w:rsidRPr="00937D72">
        <w:t>, 2224. https://doi.org/10.3389/fmicb.2017.02224</w:t>
      </w:r>
    </w:p>
    <w:p w14:paraId="28E3D150" w14:textId="77777777" w:rsidR="00937D72" w:rsidRPr="00937D72" w:rsidRDefault="00937D72" w:rsidP="000A1536">
      <w:pPr>
        <w:pStyle w:val="Bibliography"/>
        <w:spacing w:line="240" w:lineRule="auto"/>
      </w:pPr>
      <w:r w:rsidRPr="00937D72">
        <w:lastRenderedPageBreak/>
        <w:t xml:space="preserve">Gold, Z., Sprague, J., Kushner, D. J., Marin, E. Z., &amp; Barber, P. H. (2021). eDNA metabarcoding as a biomonitoring tool for marine protected areas. </w:t>
      </w:r>
      <w:r w:rsidRPr="00937D72">
        <w:rPr>
          <w:i/>
          <w:iCs/>
        </w:rPr>
        <w:t>PLoS ONE</w:t>
      </w:r>
      <w:r w:rsidRPr="00937D72">
        <w:t xml:space="preserve">, </w:t>
      </w:r>
      <w:r w:rsidRPr="00937D72">
        <w:rPr>
          <w:i/>
          <w:iCs/>
        </w:rPr>
        <w:t>16</w:t>
      </w:r>
      <w:r w:rsidRPr="00937D72">
        <w:t>(2 February 2021), 1–19. https://doi.org/10.1371/journal.pone.0238557</w:t>
      </w:r>
    </w:p>
    <w:p w14:paraId="46E1A674" w14:textId="77777777" w:rsidR="00937D72" w:rsidRPr="00937D72" w:rsidRDefault="00937D72" w:rsidP="000A1536">
      <w:pPr>
        <w:pStyle w:val="Bibliography"/>
        <w:spacing w:line="240" w:lineRule="auto"/>
      </w:pPr>
      <w:r w:rsidRPr="00937D72">
        <w:t xml:space="preserve">Guillera‐Arroita, G., &amp; Lahoz‐Monfort, J. J. (2012). Designing studies to detect differences in species occupancy: Power analysis under imperfect detection. </w:t>
      </w:r>
      <w:r w:rsidRPr="00937D72">
        <w:rPr>
          <w:i/>
          <w:iCs/>
        </w:rPr>
        <w:t>Methods in Ecology and Evolution</w:t>
      </w:r>
      <w:r w:rsidRPr="00937D72">
        <w:t xml:space="preserve">, </w:t>
      </w:r>
      <w:r w:rsidRPr="00937D72">
        <w:rPr>
          <w:i/>
          <w:iCs/>
        </w:rPr>
        <w:t>3</w:t>
      </w:r>
      <w:r w:rsidRPr="00937D72">
        <w:t>(5), 860–869. https://doi.org/10.1111/j.2041-210X.2012.00225.x</w:t>
      </w:r>
    </w:p>
    <w:p w14:paraId="59BB996A" w14:textId="77777777" w:rsidR="00937D72" w:rsidRPr="00937D72" w:rsidRDefault="00937D72" w:rsidP="000A1536">
      <w:pPr>
        <w:pStyle w:val="Bibliography"/>
        <w:spacing w:line="240" w:lineRule="auto"/>
      </w:pPr>
      <w:r w:rsidRPr="00937D72">
        <w:t xml:space="preserve">Guisan, A., &amp; Zimmermann, N. E. (2000). Predictive habitat distribution models in ecology. </w:t>
      </w:r>
      <w:r w:rsidRPr="00937D72">
        <w:rPr>
          <w:i/>
          <w:iCs/>
        </w:rPr>
        <w:t>Ecological Modelling</w:t>
      </w:r>
      <w:r w:rsidRPr="00937D72">
        <w:t xml:space="preserve">, </w:t>
      </w:r>
      <w:r w:rsidRPr="00937D72">
        <w:rPr>
          <w:i/>
          <w:iCs/>
        </w:rPr>
        <w:t>135</w:t>
      </w:r>
      <w:r w:rsidRPr="00937D72">
        <w:t>(2–3), 147–186. https://doi.org/10.1016/S0304-3800(00)00354-9</w:t>
      </w:r>
    </w:p>
    <w:p w14:paraId="0CF95938" w14:textId="77777777" w:rsidR="00937D72" w:rsidRPr="00937D72" w:rsidRDefault="00937D72" w:rsidP="000A1536">
      <w:pPr>
        <w:pStyle w:val="Bibliography"/>
        <w:spacing w:line="240" w:lineRule="auto"/>
      </w:pPr>
      <w:r w:rsidRPr="00937D72">
        <w:t xml:space="preserve">Guri, G., Liu, O. R., Kelly, R. P., Shaffer, M. R., Parsons, K. M., Ramón-Laca, A., Nichols, K. M., Brandão-Dias, P. F. P., Wells, A., &amp; Shelton, A. O. (2025). </w:t>
      </w:r>
      <w:r w:rsidRPr="00937D72">
        <w:rPr>
          <w:i/>
          <w:iCs/>
        </w:rPr>
        <w:t>Quantitative, Multispecies Monitoring at a Continental Scale</w:t>
      </w:r>
      <w:r w:rsidRPr="00937D72">
        <w:t>. Ecology. https://doi.org/10.1101/2025.10.30.685180</w:t>
      </w:r>
    </w:p>
    <w:p w14:paraId="54E0676C" w14:textId="77777777" w:rsidR="00937D72" w:rsidRPr="00937D72" w:rsidRDefault="00937D72" w:rsidP="000A1536">
      <w:pPr>
        <w:pStyle w:val="Bibliography"/>
        <w:spacing w:line="240" w:lineRule="auto"/>
      </w:pPr>
      <w:r w:rsidRPr="00937D72">
        <w:t xml:space="preserve">Guri, G., Shelton, A. O., Kelly, R. P., Yoccoz, N., Johansen, T., Præbel, K., Hanebrekke, T., Ray, J. L., Fall, J., &amp; Westgaard, J.-I. (2024). Predicting trawl catches using environmental DNA. </w:t>
      </w:r>
      <w:r w:rsidRPr="00937D72">
        <w:rPr>
          <w:i/>
          <w:iCs/>
        </w:rPr>
        <w:t>ICES Journal of Marine Science</w:t>
      </w:r>
      <w:r w:rsidRPr="00937D72">
        <w:t>, fsae097. https://doi.org/10.1093/icesjms/fsae097</w:t>
      </w:r>
    </w:p>
    <w:p w14:paraId="3FEC8F46" w14:textId="77777777" w:rsidR="00937D72" w:rsidRPr="00937D72" w:rsidRDefault="00937D72" w:rsidP="000A1536">
      <w:pPr>
        <w:pStyle w:val="Bibliography"/>
        <w:spacing w:line="240" w:lineRule="auto"/>
      </w:pPr>
      <w:r w:rsidRPr="00937D7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937D72">
        <w:rPr>
          <w:i/>
          <w:iCs/>
        </w:rPr>
        <w:t>Environmental DNA</w:t>
      </w:r>
      <w:r w:rsidRPr="00937D72">
        <w:t>, edn3.409. https://doi.org/10.1002/edn3.409</w:t>
      </w:r>
    </w:p>
    <w:p w14:paraId="71413FA0" w14:textId="77777777" w:rsidR="00937D72" w:rsidRPr="00937D72" w:rsidRDefault="00937D72" w:rsidP="000A1536">
      <w:pPr>
        <w:pStyle w:val="Bibliography"/>
        <w:spacing w:line="240" w:lineRule="auto"/>
      </w:pPr>
      <w:r w:rsidRPr="00937D72">
        <w:t xml:space="preserve">Ip, Y. C. A., Guri, G., Allan, E. A., &amp; Kelly, R. P. (2025). Passive air sampling detects environmental DNA transfer from water into air. </w:t>
      </w:r>
      <w:r w:rsidRPr="00937D72">
        <w:rPr>
          <w:i/>
          <w:iCs/>
        </w:rPr>
        <w:t>Scientific Reports</w:t>
      </w:r>
      <w:r w:rsidRPr="00937D72">
        <w:t xml:space="preserve">, </w:t>
      </w:r>
      <w:r w:rsidRPr="00937D72">
        <w:rPr>
          <w:i/>
          <w:iCs/>
        </w:rPr>
        <w:t>15</w:t>
      </w:r>
      <w:r w:rsidRPr="00937D72">
        <w:t>(1), 42245. https://doi.org/10.1038/s41598-025-26293-6</w:t>
      </w:r>
    </w:p>
    <w:p w14:paraId="6F32DD1A" w14:textId="77777777" w:rsidR="00937D72" w:rsidRPr="00937D72" w:rsidRDefault="00937D72" w:rsidP="000A1536">
      <w:pPr>
        <w:pStyle w:val="Bibliography"/>
        <w:spacing w:line="240" w:lineRule="auto"/>
      </w:pPr>
      <w:r w:rsidRPr="00937D72">
        <w:t xml:space="preserve">Jo, T. S., Murakami, H., &amp; Nakadai, R. (2025). Spatial dispersal of environmental DNA particles in lentic and marine ecosystems: An overview and synthesis. </w:t>
      </w:r>
      <w:r w:rsidRPr="00937D72">
        <w:rPr>
          <w:i/>
          <w:iCs/>
        </w:rPr>
        <w:t>Ecological Indicators</w:t>
      </w:r>
      <w:r w:rsidRPr="00937D72">
        <w:t xml:space="preserve">, </w:t>
      </w:r>
      <w:r w:rsidRPr="00937D72">
        <w:rPr>
          <w:i/>
          <w:iCs/>
        </w:rPr>
        <w:t>174</w:t>
      </w:r>
      <w:r w:rsidRPr="00937D72">
        <w:t>, 113469. https://doi.org/10.1016/j.ecolind.2025.113469</w:t>
      </w:r>
    </w:p>
    <w:p w14:paraId="0D591194" w14:textId="77777777" w:rsidR="00937D72" w:rsidRPr="00937D72" w:rsidRDefault="00937D72" w:rsidP="000A1536">
      <w:pPr>
        <w:pStyle w:val="Bibliography"/>
        <w:spacing w:line="240" w:lineRule="auto"/>
      </w:pPr>
      <w:r w:rsidRPr="00937D72">
        <w:t xml:space="preserve">Kaufman, C. G., &amp; Shaby, B. A. (2013). The role of the range parameter for estimation and prediction in geostatistics. </w:t>
      </w:r>
      <w:r w:rsidRPr="00937D72">
        <w:rPr>
          <w:i/>
          <w:iCs/>
        </w:rPr>
        <w:t>Biometrika</w:t>
      </w:r>
      <w:r w:rsidRPr="00937D72">
        <w:t xml:space="preserve">, </w:t>
      </w:r>
      <w:r w:rsidRPr="00937D72">
        <w:rPr>
          <w:i/>
          <w:iCs/>
        </w:rPr>
        <w:t>100</w:t>
      </w:r>
      <w:r w:rsidRPr="00937D72">
        <w:t>(2), 473–484. https://doi.org/10.1093/biomet/ass079</w:t>
      </w:r>
    </w:p>
    <w:p w14:paraId="2D041A3B" w14:textId="77777777" w:rsidR="00937D72" w:rsidRPr="00937D72" w:rsidRDefault="00937D72" w:rsidP="000A1536">
      <w:pPr>
        <w:pStyle w:val="Bibliography"/>
        <w:spacing w:line="240" w:lineRule="auto"/>
      </w:pPr>
      <w:r w:rsidRPr="00937D72">
        <w:t xml:space="preserve">Kelly, R. P., Shelton, A. O., &amp; Gallego, R. (2019). Understanding PCR Processes to Draw Meaningful Conclusions from Environmental DNA Studies. </w:t>
      </w:r>
      <w:r w:rsidRPr="00937D72">
        <w:rPr>
          <w:i/>
          <w:iCs/>
        </w:rPr>
        <w:t>Scientific Reports</w:t>
      </w:r>
      <w:r w:rsidRPr="00937D72">
        <w:t xml:space="preserve">, </w:t>
      </w:r>
      <w:r w:rsidRPr="00937D72">
        <w:rPr>
          <w:i/>
          <w:iCs/>
        </w:rPr>
        <w:t>9</w:t>
      </w:r>
      <w:r w:rsidRPr="00937D72">
        <w:t>(1), 1–14. https://doi.org/10.1038/s41598-019-48546-x</w:t>
      </w:r>
    </w:p>
    <w:p w14:paraId="116F1D82" w14:textId="77777777" w:rsidR="00937D72" w:rsidRPr="00937D72" w:rsidRDefault="00937D72" w:rsidP="000A1536">
      <w:pPr>
        <w:pStyle w:val="Bibliography"/>
        <w:spacing w:line="240" w:lineRule="auto"/>
      </w:pPr>
      <w:r w:rsidRPr="00937D7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37D72">
        <w:rPr>
          <w:i/>
          <w:iCs/>
        </w:rPr>
        <w:t>Environmental DNA</w:t>
      </w:r>
      <w:r w:rsidRPr="00937D72">
        <w:t xml:space="preserve">, </w:t>
      </w:r>
      <w:r w:rsidRPr="00937D72">
        <w:rPr>
          <w:i/>
          <w:iCs/>
        </w:rPr>
        <w:t>3</w:t>
      </w:r>
      <w:r w:rsidRPr="00937D72">
        <w:t>(6), 1142–1155. https://doi.org/10.1002/edn3.236</w:t>
      </w:r>
    </w:p>
    <w:p w14:paraId="6ECBB00F" w14:textId="77777777" w:rsidR="00937D72" w:rsidRPr="00937D72" w:rsidRDefault="00937D72" w:rsidP="000A1536">
      <w:pPr>
        <w:pStyle w:val="Bibliography"/>
        <w:spacing w:line="240" w:lineRule="auto"/>
      </w:pPr>
      <w:r w:rsidRPr="00937D72">
        <w:t xml:space="preserve">Laroche, F. (2024). Efficient sampling designs to assess biodiversity spatial autocorrelation: Should we go fractal? </w:t>
      </w:r>
      <w:r w:rsidRPr="00937D72">
        <w:rPr>
          <w:i/>
          <w:iCs/>
        </w:rPr>
        <w:t>Peer Community Journal</w:t>
      </w:r>
      <w:r w:rsidRPr="00937D72">
        <w:t xml:space="preserve">, </w:t>
      </w:r>
      <w:r w:rsidRPr="00937D72">
        <w:rPr>
          <w:i/>
          <w:iCs/>
        </w:rPr>
        <w:t>4</w:t>
      </w:r>
      <w:r w:rsidRPr="00937D72">
        <w:t>, e76. https://doi.org/10.24072/pcjournal.454</w:t>
      </w:r>
    </w:p>
    <w:p w14:paraId="172E1342" w14:textId="77777777" w:rsidR="00937D72" w:rsidRPr="00937D72" w:rsidRDefault="00937D72" w:rsidP="000A1536">
      <w:pPr>
        <w:pStyle w:val="Bibliography"/>
        <w:spacing w:line="240" w:lineRule="auto"/>
      </w:pPr>
      <w:r w:rsidRPr="00937D72">
        <w:t xml:space="preserve">Lees, K. J., MacNeil, M. A., Hedges, K. J., &amp; Hussey, N. E. (2021). Estimating demographic parameters for fisheries management using acoustic telemetry. </w:t>
      </w:r>
      <w:r w:rsidRPr="00937D72">
        <w:rPr>
          <w:i/>
          <w:iCs/>
        </w:rPr>
        <w:t>Reviews in Fish Biology and Fisheries</w:t>
      </w:r>
      <w:r w:rsidRPr="00937D72">
        <w:t xml:space="preserve">, </w:t>
      </w:r>
      <w:r w:rsidRPr="00937D72">
        <w:rPr>
          <w:i/>
          <w:iCs/>
        </w:rPr>
        <w:t>31</w:t>
      </w:r>
      <w:r w:rsidRPr="00937D72">
        <w:t>(1), 25–51. https://doi.org/10.1007/s11160-020-09626-8</w:t>
      </w:r>
    </w:p>
    <w:p w14:paraId="5DA57C5A" w14:textId="77777777" w:rsidR="00937D72" w:rsidRPr="00937D72" w:rsidRDefault="00937D72" w:rsidP="000A1536">
      <w:pPr>
        <w:pStyle w:val="Bibliography"/>
        <w:spacing w:line="240" w:lineRule="auto"/>
      </w:pPr>
      <w:r w:rsidRPr="00937D72">
        <w:t xml:space="preserve">Lek, S., &amp; Guégan, J. F. (1999). Artificial neural networks as a tool in ecological modelling, an introduction. </w:t>
      </w:r>
      <w:r w:rsidRPr="00937D72">
        <w:rPr>
          <w:i/>
          <w:iCs/>
        </w:rPr>
        <w:t>Ecological Modelling</w:t>
      </w:r>
      <w:r w:rsidRPr="00937D72">
        <w:t xml:space="preserve">, </w:t>
      </w:r>
      <w:r w:rsidRPr="00937D72">
        <w:rPr>
          <w:i/>
          <w:iCs/>
        </w:rPr>
        <w:t>120</w:t>
      </w:r>
      <w:r w:rsidRPr="00937D72">
        <w:t>(2–3), 65–73. https://doi.org/10.1016/S0304-3800(99)00092-7</w:t>
      </w:r>
    </w:p>
    <w:p w14:paraId="30A07D6F" w14:textId="77777777" w:rsidR="00937D72" w:rsidRPr="00937D72" w:rsidRDefault="00937D72" w:rsidP="000A1536">
      <w:pPr>
        <w:pStyle w:val="Bibliography"/>
        <w:spacing w:line="240" w:lineRule="auto"/>
      </w:pPr>
      <w:r w:rsidRPr="00937D72">
        <w:lastRenderedPageBreak/>
        <w:t xml:space="preserve">Lewy, P., &amp; Kristensen, K. (2009). Modelling the distribution of fish accounting for spatial correlation and overdispersion. </w:t>
      </w:r>
      <w:r w:rsidRPr="00937D72">
        <w:rPr>
          <w:i/>
          <w:iCs/>
        </w:rPr>
        <w:t>Canadian Journal of Fisheries and Aquatic Sciences</w:t>
      </w:r>
      <w:r w:rsidRPr="00937D72">
        <w:t xml:space="preserve">, </w:t>
      </w:r>
      <w:r w:rsidRPr="00937D72">
        <w:rPr>
          <w:i/>
          <w:iCs/>
        </w:rPr>
        <w:t>66</w:t>
      </w:r>
      <w:r w:rsidRPr="00937D72">
        <w:t>(10), 1809–1820. https://doi.org/10.1139/F09-114</w:t>
      </w:r>
    </w:p>
    <w:p w14:paraId="17F8E504" w14:textId="77777777" w:rsidR="00937D72" w:rsidRPr="00937D72" w:rsidRDefault="00937D72" w:rsidP="000A1536">
      <w:pPr>
        <w:pStyle w:val="Bibliography"/>
        <w:spacing w:line="240" w:lineRule="auto"/>
      </w:pPr>
      <w:r w:rsidRPr="00937D72">
        <w:t xml:space="preserve">Lezama-Ochoa, N., Pennino, M. G., Hall, M. A., Lopez, J., &amp; Murua, H. (2020). Using a Bayesian modelling approach (INLA-SPDE) to predict the occurrence of the Spinetail Devil Ray (Mobular mobular). </w:t>
      </w:r>
      <w:r w:rsidRPr="00937D72">
        <w:rPr>
          <w:i/>
          <w:iCs/>
        </w:rPr>
        <w:t>Scientific Reports</w:t>
      </w:r>
      <w:r w:rsidRPr="00937D72">
        <w:t xml:space="preserve">, </w:t>
      </w:r>
      <w:r w:rsidRPr="00937D72">
        <w:rPr>
          <w:i/>
          <w:iCs/>
        </w:rPr>
        <w:t>10</w:t>
      </w:r>
      <w:r w:rsidRPr="00937D72">
        <w:t>(1), 18822. https://doi.org/10.1038/s41598-020-73879-3</w:t>
      </w:r>
    </w:p>
    <w:p w14:paraId="42768E30" w14:textId="77777777" w:rsidR="00937D72" w:rsidRPr="00937D72" w:rsidRDefault="00937D72" w:rsidP="000A1536">
      <w:pPr>
        <w:pStyle w:val="Bibliography"/>
        <w:spacing w:line="240" w:lineRule="auto"/>
      </w:pPr>
      <w:r w:rsidRPr="00937D72">
        <w:t xml:space="preserve">Li, X., &amp; Wang, Y. (2013). Applying various algorithms for species distribution modelling. </w:t>
      </w:r>
      <w:r w:rsidRPr="00937D72">
        <w:rPr>
          <w:i/>
          <w:iCs/>
        </w:rPr>
        <w:t>Integrative Zoology</w:t>
      </w:r>
      <w:r w:rsidRPr="00937D72">
        <w:t xml:space="preserve">, </w:t>
      </w:r>
      <w:r w:rsidRPr="00937D72">
        <w:rPr>
          <w:i/>
          <w:iCs/>
        </w:rPr>
        <w:t>8</w:t>
      </w:r>
      <w:r w:rsidRPr="00937D72">
        <w:t>(2), 124–135. https://doi.org/10.1111/1749-4877.12000</w:t>
      </w:r>
    </w:p>
    <w:p w14:paraId="5939A911" w14:textId="77777777" w:rsidR="00937D72" w:rsidRPr="00937D72" w:rsidRDefault="00937D72" w:rsidP="000A1536">
      <w:pPr>
        <w:pStyle w:val="Bibliography"/>
        <w:spacing w:line="240" w:lineRule="auto"/>
      </w:pPr>
      <w:r w:rsidRPr="00937D72">
        <w:t xml:space="preserve">Li, Z., Ramón, C. L., Bogdanowicz, S., Koeberle, A. L., Wang, D., Rueda, F. J., Cowen, E. A., Walter, M. T., Sethi, S. A., Lodge, D. M., Luo, D., &amp; Andrés, J. A. (2026). Tracing Environmental DNA Transport in a Large Lake with Synthetic DNA Microparticles and Hydrodynamic Modeling. </w:t>
      </w:r>
      <w:r w:rsidRPr="00937D72">
        <w:rPr>
          <w:i/>
          <w:iCs/>
        </w:rPr>
        <w:t>Environmental Science &amp; Technology</w:t>
      </w:r>
      <w:r w:rsidRPr="00937D72">
        <w:t xml:space="preserve">, </w:t>
      </w:r>
      <w:r w:rsidRPr="00937D72">
        <w:rPr>
          <w:i/>
          <w:iCs/>
        </w:rPr>
        <w:t>60</w:t>
      </w:r>
      <w:r w:rsidRPr="00937D72">
        <w:t>(4), 3519–3531. https://doi.org/10.1021/acs.est.5c11071</w:t>
      </w:r>
    </w:p>
    <w:p w14:paraId="1417E505" w14:textId="77777777" w:rsidR="00937D72" w:rsidRPr="00937D72" w:rsidRDefault="00937D72" w:rsidP="000A1536">
      <w:pPr>
        <w:pStyle w:val="Bibliography"/>
        <w:spacing w:line="240" w:lineRule="auto"/>
      </w:pPr>
      <w:r w:rsidRPr="00937D72">
        <w:t xml:space="preserve">Liu, O. R., Shelton, A. O., Ramón-Laca, A., Nichols, K. M., Ward, E. J., Phillips, E. M., Zamon, J. E., Wells, A., &amp; Kelly, R. P. (2026). Mapping the marine distribution of eulachon (Thaleichthys pacificus) in the Northeast Pacific using environmental DNA. </w:t>
      </w:r>
      <w:r w:rsidRPr="00937D72">
        <w:rPr>
          <w:i/>
          <w:iCs/>
        </w:rPr>
        <w:t>Communications Biology</w:t>
      </w:r>
      <w:r w:rsidRPr="00937D72">
        <w:t xml:space="preserve">, </w:t>
      </w:r>
      <w:r w:rsidRPr="00937D72">
        <w:rPr>
          <w:i/>
          <w:iCs/>
        </w:rPr>
        <w:t>9</w:t>
      </w:r>
      <w:r w:rsidRPr="00937D72">
        <w:t>(1), 465. https://doi.org/10.1038/s42003-026-09733-5</w:t>
      </w:r>
    </w:p>
    <w:p w14:paraId="73B99D3F" w14:textId="77777777" w:rsidR="00937D72" w:rsidRPr="00937D72" w:rsidRDefault="00937D72" w:rsidP="000A1536">
      <w:pPr>
        <w:pStyle w:val="Bibliography"/>
        <w:spacing w:line="240" w:lineRule="auto"/>
      </w:pPr>
      <w:r w:rsidRPr="00937D7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937D72">
        <w:rPr>
          <w:i/>
          <w:iCs/>
        </w:rPr>
        <w:t>Royal Society Open Science</w:t>
      </w:r>
      <w:r w:rsidRPr="00937D72">
        <w:t>. https://doi.org/10.1098/rsos.150088</w:t>
      </w:r>
    </w:p>
    <w:p w14:paraId="32D26F13" w14:textId="77777777" w:rsidR="00937D72" w:rsidRPr="00937D72" w:rsidRDefault="00937D72" w:rsidP="000A1536">
      <w:pPr>
        <w:pStyle w:val="Bibliography"/>
        <w:spacing w:line="240" w:lineRule="auto"/>
      </w:pPr>
      <w:r w:rsidRPr="00937D72">
        <w:t xml:space="preserve">Muradian, M. L., Branch, T. A., &amp; Punt, A. E. (2019). A framework for assessing which sampling programmes provide the best trade-off between accuracy and cost of data in stock assessments. </w:t>
      </w:r>
      <w:r w:rsidRPr="00937D72">
        <w:rPr>
          <w:i/>
          <w:iCs/>
        </w:rPr>
        <w:t>ICES Journal of Marine Science</w:t>
      </w:r>
      <w:r w:rsidRPr="00937D72">
        <w:t xml:space="preserve">, </w:t>
      </w:r>
      <w:r w:rsidRPr="00937D72">
        <w:rPr>
          <w:i/>
          <w:iCs/>
        </w:rPr>
        <w:t>76</w:t>
      </w:r>
      <w:r w:rsidRPr="00937D72">
        <w:t>(7), 2102–2113. https://doi.org/10.1093/icesjms/fsz163</w:t>
      </w:r>
    </w:p>
    <w:p w14:paraId="4DFC090A" w14:textId="77777777" w:rsidR="00937D72" w:rsidRPr="00937D72" w:rsidRDefault="00937D72" w:rsidP="000A1536">
      <w:pPr>
        <w:pStyle w:val="Bibliography"/>
        <w:spacing w:line="240" w:lineRule="auto"/>
      </w:pPr>
      <w:r w:rsidRPr="00937D72">
        <w:t xml:space="preserve">Nielsen, J. R., Kristensen, K., Lewy, P., &amp; Bastardie, F. (2016). A Statistical Model for Estimation of Fish Density Including Correlation in Size, Space, Time and between Species from Research Survey Data. </w:t>
      </w:r>
      <w:r w:rsidRPr="00937D72">
        <w:rPr>
          <w:i/>
          <w:iCs/>
        </w:rPr>
        <w:t>PLOS ONE</w:t>
      </w:r>
      <w:r w:rsidRPr="00937D72">
        <w:t xml:space="preserve">, </w:t>
      </w:r>
      <w:r w:rsidRPr="00937D72">
        <w:rPr>
          <w:i/>
          <w:iCs/>
        </w:rPr>
        <w:t>11</w:t>
      </w:r>
      <w:r w:rsidRPr="00937D72">
        <w:t>(2), e0148722. https://doi.org/10.1371/journal.pone.0148722</w:t>
      </w:r>
    </w:p>
    <w:p w14:paraId="58F39601" w14:textId="77777777" w:rsidR="00937D72" w:rsidRPr="00937D72" w:rsidRDefault="00937D72" w:rsidP="000A1536">
      <w:pPr>
        <w:pStyle w:val="Bibliography"/>
        <w:spacing w:line="240" w:lineRule="auto"/>
      </w:pPr>
      <w:r w:rsidRPr="00937D72">
        <w:t xml:space="preserve">Paciorek, C. J. (2010). The Importance of Scale for Spatial-Confounding Bias and Precision of Spatial Regression Estimators. </w:t>
      </w:r>
      <w:r w:rsidRPr="00937D72">
        <w:rPr>
          <w:i/>
          <w:iCs/>
        </w:rPr>
        <w:t>Statistical Science</w:t>
      </w:r>
      <w:r w:rsidRPr="00937D72">
        <w:t xml:space="preserve">, </w:t>
      </w:r>
      <w:r w:rsidRPr="00937D72">
        <w:rPr>
          <w:i/>
          <w:iCs/>
        </w:rPr>
        <w:t>25</w:t>
      </w:r>
      <w:r w:rsidRPr="00937D72">
        <w:t>(1). https://doi.org/10.1214/10-STS326</w:t>
      </w:r>
    </w:p>
    <w:p w14:paraId="13CE883F" w14:textId="77777777" w:rsidR="00937D72" w:rsidRPr="00937D72" w:rsidRDefault="00937D72" w:rsidP="000A1536">
      <w:pPr>
        <w:pStyle w:val="Bibliography"/>
        <w:spacing w:line="240" w:lineRule="auto"/>
      </w:pPr>
      <w:r w:rsidRPr="00937D72">
        <w:t xml:space="preserve">Paciorek, C. J., &amp; Schervish, M. J. (2006). Spatial modelling using a new class of nonstationary covariance functions. </w:t>
      </w:r>
      <w:r w:rsidRPr="00937D72">
        <w:rPr>
          <w:i/>
          <w:iCs/>
        </w:rPr>
        <w:t>Environmetrics</w:t>
      </w:r>
      <w:r w:rsidRPr="00937D72">
        <w:t xml:space="preserve">, </w:t>
      </w:r>
      <w:r w:rsidRPr="00937D72">
        <w:rPr>
          <w:i/>
          <w:iCs/>
        </w:rPr>
        <w:t>17</w:t>
      </w:r>
      <w:r w:rsidRPr="00937D72">
        <w:t>(5), 483–506. https://doi.org/10.1002/env.785</w:t>
      </w:r>
    </w:p>
    <w:p w14:paraId="754D913B" w14:textId="77777777" w:rsidR="00937D72" w:rsidRPr="00937D72" w:rsidRDefault="00937D72" w:rsidP="000A1536">
      <w:pPr>
        <w:pStyle w:val="Bibliography"/>
        <w:spacing w:line="240" w:lineRule="auto"/>
      </w:pPr>
      <w:r w:rsidRPr="00937D72">
        <w:t xml:space="preserve">Perkins, N. R., Prall, M., Chakraborty, A., White, J. W., Baskett, M. L., &amp; Morgan, S. G. (2021). Quantifying the statistical power of monitoring programs for marine protected areas. </w:t>
      </w:r>
      <w:r w:rsidRPr="00937D72">
        <w:rPr>
          <w:i/>
          <w:iCs/>
        </w:rPr>
        <w:t>Ecological Applications</w:t>
      </w:r>
      <w:r w:rsidRPr="00937D72">
        <w:t xml:space="preserve">, </w:t>
      </w:r>
      <w:r w:rsidRPr="00937D72">
        <w:rPr>
          <w:i/>
          <w:iCs/>
        </w:rPr>
        <w:t>31</w:t>
      </w:r>
      <w:r w:rsidRPr="00937D72">
        <w:t>(1), e2215. https://doi.org/10.1002/eap.2215</w:t>
      </w:r>
    </w:p>
    <w:p w14:paraId="3BC9750D" w14:textId="77777777" w:rsidR="00937D72" w:rsidRPr="00937D72" w:rsidRDefault="00937D72" w:rsidP="000A1536">
      <w:pPr>
        <w:pStyle w:val="Bibliography"/>
        <w:spacing w:line="240" w:lineRule="auto"/>
      </w:pPr>
      <w:r w:rsidRPr="00937D72">
        <w:t xml:space="preserve">Perret, J., Charpentier, A., Pradel, R., Papuga, G., &amp; Besnard, A. (2022). Spatially balanced sampling methods are always more precise than random ones for estimating the size of aggregated populations. </w:t>
      </w:r>
      <w:r w:rsidRPr="00937D72">
        <w:rPr>
          <w:i/>
          <w:iCs/>
        </w:rPr>
        <w:t>Methods in Ecology and Evolution</w:t>
      </w:r>
      <w:r w:rsidRPr="00937D72">
        <w:t xml:space="preserve">, </w:t>
      </w:r>
      <w:r w:rsidRPr="00937D72">
        <w:rPr>
          <w:i/>
          <w:iCs/>
        </w:rPr>
        <w:t>13</w:t>
      </w:r>
      <w:r w:rsidRPr="00937D72">
        <w:t>(12), 2743–2756. https://doi.org/10.1111/2041-210X.14015</w:t>
      </w:r>
    </w:p>
    <w:p w14:paraId="3A9C4DDD" w14:textId="77777777" w:rsidR="00937D72" w:rsidRPr="00937D72" w:rsidRDefault="00937D72" w:rsidP="000A1536">
      <w:pPr>
        <w:pStyle w:val="Bibliography"/>
        <w:spacing w:line="240" w:lineRule="auto"/>
      </w:pPr>
      <w:r w:rsidRPr="00937D72">
        <w:t xml:space="preserve">Radinger, J., Britton, J. R., Carlson, S. M., Magurran, A. E., Alcaraz‐Hernández, J. D., Almodóvar, A., Benejam, L., Fernández‐Delgado, C., Nicola, G. G., Oliva‐Paterna, F. J., Torralva, M., &amp; García‐Berthou, E. (2019). Effective monitoring of freshwater fish. </w:t>
      </w:r>
      <w:r w:rsidRPr="00937D72">
        <w:rPr>
          <w:i/>
          <w:iCs/>
        </w:rPr>
        <w:t>Fish and Fisheries</w:t>
      </w:r>
      <w:r w:rsidRPr="00937D72">
        <w:t xml:space="preserve">, </w:t>
      </w:r>
      <w:r w:rsidRPr="00937D72">
        <w:rPr>
          <w:i/>
          <w:iCs/>
        </w:rPr>
        <w:t>20</w:t>
      </w:r>
      <w:r w:rsidRPr="00937D72">
        <w:t>(4), 729–747. https://doi.org/10.1111/faf.12373</w:t>
      </w:r>
    </w:p>
    <w:p w14:paraId="1963DE78" w14:textId="77777777" w:rsidR="00937D72" w:rsidRPr="00937D72" w:rsidRDefault="00937D72" w:rsidP="000A1536">
      <w:pPr>
        <w:pStyle w:val="Bibliography"/>
        <w:spacing w:line="240" w:lineRule="auto"/>
      </w:pPr>
      <w:r w:rsidRPr="00937D72">
        <w:lastRenderedPageBreak/>
        <w:t xml:space="preserve">Ramón-Laca, A., Wells, A., &amp; Park, L. (2021). A workflow for the relative quantification of multiple fish species from oceanic water samples using environmental DNA (eDNA) to support large-scale fishery surveys. </w:t>
      </w:r>
      <w:r w:rsidRPr="00937D72">
        <w:rPr>
          <w:i/>
          <w:iCs/>
        </w:rPr>
        <w:t>PLOS ONE</w:t>
      </w:r>
      <w:r w:rsidRPr="00937D72">
        <w:t xml:space="preserve">, </w:t>
      </w:r>
      <w:r w:rsidRPr="00937D72">
        <w:rPr>
          <w:i/>
          <w:iCs/>
        </w:rPr>
        <w:t>16</w:t>
      </w:r>
      <w:r w:rsidRPr="00937D72">
        <w:t>(9), e0257773. https://doi.org/10.1371/journal.pone.0257773</w:t>
      </w:r>
    </w:p>
    <w:p w14:paraId="275A6A80" w14:textId="77777777" w:rsidR="00937D72" w:rsidRPr="00937D72" w:rsidRDefault="00937D72" w:rsidP="000A1536">
      <w:pPr>
        <w:pStyle w:val="Bibliography"/>
        <w:spacing w:line="240" w:lineRule="auto"/>
      </w:pPr>
      <w:r w:rsidRPr="00937D72">
        <w:t xml:space="preserve">Redfern, J., Ferguson, M., Becker, E., Hyrenbach, K., Good, C., Barlow, J., Kaschner, K., Baumgartner, M., Forney, K., Ballance, L., Fauchald, P., Halpin, P., Hamazaki, T., Pershing, A., Qian, S., Read, A., Reilly, S., Torres, L., &amp; Werne, F. (2006). Techniques for cetaceanhabitat modeling. </w:t>
      </w:r>
      <w:r w:rsidRPr="00937D72">
        <w:rPr>
          <w:i/>
          <w:iCs/>
        </w:rPr>
        <w:t>Marine Ecology Progress Series</w:t>
      </w:r>
      <w:r w:rsidRPr="00937D72">
        <w:t xml:space="preserve">, </w:t>
      </w:r>
      <w:r w:rsidRPr="00937D72">
        <w:rPr>
          <w:i/>
          <w:iCs/>
        </w:rPr>
        <w:t>310</w:t>
      </w:r>
      <w:r w:rsidRPr="00937D72">
        <w:t>, 271–295. https://doi.org/10.3354/meps310271</w:t>
      </w:r>
    </w:p>
    <w:p w14:paraId="52B48039" w14:textId="77777777" w:rsidR="00937D72" w:rsidRPr="00937D72" w:rsidRDefault="00937D72" w:rsidP="000A1536">
      <w:pPr>
        <w:pStyle w:val="Bibliography"/>
        <w:spacing w:line="240" w:lineRule="auto"/>
      </w:pPr>
      <w:r w:rsidRPr="00937D72">
        <w:t xml:space="preserve">Rocha, A. D., Groen, T. A., Skidmore, A. K., &amp; Willemen, L. (2021). Role of Sampling Design When Predicting Spatially Dependent Ecological Data With Remote Sensing. </w:t>
      </w:r>
      <w:r w:rsidRPr="00937D72">
        <w:rPr>
          <w:i/>
          <w:iCs/>
        </w:rPr>
        <w:t>IEEE Transactions on Geoscience and Remote Sensing</w:t>
      </w:r>
      <w:r w:rsidRPr="00937D72">
        <w:t xml:space="preserve">, </w:t>
      </w:r>
      <w:r w:rsidRPr="00937D72">
        <w:rPr>
          <w:i/>
          <w:iCs/>
        </w:rPr>
        <w:t>59</w:t>
      </w:r>
      <w:r w:rsidRPr="00937D72">
        <w:t>(1), 663–674. https://doi.org/10.1109/TGRS.2020.2989216</w:t>
      </w:r>
    </w:p>
    <w:p w14:paraId="71A7EEBC" w14:textId="77777777" w:rsidR="00937D72" w:rsidRPr="00937D72" w:rsidRDefault="00937D72" w:rsidP="000A1536">
      <w:pPr>
        <w:pStyle w:val="Bibliography"/>
        <w:spacing w:line="240" w:lineRule="auto"/>
      </w:pPr>
      <w:r w:rsidRPr="00937D72">
        <w:t xml:space="preserve">Salter, I., Brandner, M., Djurhuus, A., Præbel, K., &amp; Wangensteen, O. (2026). Comparison of Environmental </w:t>
      </w:r>
      <w:r w:rsidRPr="00937D72">
        <w:rPr>
          <w:smallCaps/>
        </w:rPr>
        <w:t>DNA</w:t>
      </w:r>
      <w:r w:rsidRPr="00937D72">
        <w:t xml:space="preserve"> Metabarcoding and Trawl Data Highlights Gear Selectivity of Marine Demersal Fish Surveys on the Faroese Plateau. </w:t>
      </w:r>
      <w:r w:rsidRPr="00937D72">
        <w:rPr>
          <w:i/>
          <w:iCs/>
        </w:rPr>
        <w:t>Environmental DNA</w:t>
      </w:r>
      <w:r w:rsidRPr="00937D72">
        <w:t xml:space="preserve">, </w:t>
      </w:r>
      <w:r w:rsidRPr="00937D72">
        <w:rPr>
          <w:i/>
          <w:iCs/>
        </w:rPr>
        <w:t>8</w:t>
      </w:r>
      <w:r w:rsidRPr="00937D72">
        <w:t>(2), e70253. https://doi.org/10.1002/edn3.70253</w:t>
      </w:r>
    </w:p>
    <w:p w14:paraId="527E8EF1" w14:textId="77777777" w:rsidR="00937D72" w:rsidRPr="00937D72" w:rsidRDefault="00937D72" w:rsidP="000A1536">
      <w:pPr>
        <w:pStyle w:val="Bibliography"/>
        <w:spacing w:line="240" w:lineRule="auto"/>
      </w:pPr>
      <w:r w:rsidRPr="00937D72">
        <w:t xml:space="preserve">Schweiger, A. H., Irl, S. D. H., Steinbauer, M. J., Dengler, J., &amp; Beierkuhnlein, C. (2016). Optimizing sampling approaches along ecological gradients. </w:t>
      </w:r>
      <w:r w:rsidRPr="00937D72">
        <w:rPr>
          <w:i/>
          <w:iCs/>
        </w:rPr>
        <w:t>Methods in Ecology and Evolution</w:t>
      </w:r>
      <w:r w:rsidRPr="00937D72">
        <w:t xml:space="preserve">, </w:t>
      </w:r>
      <w:r w:rsidRPr="00937D72">
        <w:rPr>
          <w:i/>
          <w:iCs/>
        </w:rPr>
        <w:t>7</w:t>
      </w:r>
      <w:r w:rsidRPr="00937D72">
        <w:t>(4), 463–471. https://doi.org/10.1111/2041-210X.12495</w:t>
      </w:r>
    </w:p>
    <w:p w14:paraId="5C3E9BED" w14:textId="77777777" w:rsidR="00937D72" w:rsidRPr="00937D72" w:rsidRDefault="00937D72" w:rsidP="000A1536">
      <w:pPr>
        <w:pStyle w:val="Bibliography"/>
        <w:spacing w:line="240" w:lineRule="auto"/>
      </w:pPr>
      <w:r w:rsidRPr="00937D72">
        <w:t xml:space="preserve">Shaffer, M. R., Andruszkiewicz Allan, E., Van Cise, A. M., Parsons, K. M., Shelton, A. O., &amp; Kelly, R. P. (2025). Observation Bias in Metabarcoding. </w:t>
      </w:r>
      <w:r w:rsidRPr="00937D72">
        <w:rPr>
          <w:i/>
          <w:iCs/>
        </w:rPr>
        <w:t>Molecular Ecology Resources</w:t>
      </w:r>
      <w:r w:rsidRPr="00937D72">
        <w:t xml:space="preserve">, </w:t>
      </w:r>
      <w:r w:rsidRPr="00937D72">
        <w:rPr>
          <w:i/>
          <w:iCs/>
        </w:rPr>
        <w:t>25</w:t>
      </w:r>
      <w:r w:rsidRPr="00937D72">
        <w:t>(7), e14119. https://doi.org/10.1111/1755-0998.14119</w:t>
      </w:r>
    </w:p>
    <w:p w14:paraId="68F0ADE9" w14:textId="77777777" w:rsidR="00937D72" w:rsidRPr="00937D72" w:rsidRDefault="00937D72" w:rsidP="000A1536">
      <w:pPr>
        <w:pStyle w:val="Bibliography"/>
        <w:spacing w:line="240" w:lineRule="auto"/>
      </w:pPr>
      <w:r w:rsidRPr="00937D72">
        <w:t xml:space="preserve">Shelton, A. O., Ramón-Laca, A., Wells, A., Clemons, J., Chu, D., Feist, B. E., Kelly, R. P., Parker-Stetter, S. L., Thomas, R., Nichols, K. M., &amp; Park, L. (2022). Environmental DNA provides quantitative estimates of Pacific hake abundance and distribution in the open ocean. </w:t>
      </w:r>
      <w:r w:rsidRPr="00937D72">
        <w:rPr>
          <w:i/>
          <w:iCs/>
        </w:rPr>
        <w:t>Proceedings of the Royal Society B: Biological Sciences</w:t>
      </w:r>
      <w:r w:rsidRPr="00937D72">
        <w:t xml:space="preserve">, </w:t>
      </w:r>
      <w:r w:rsidRPr="00937D72">
        <w:rPr>
          <w:i/>
          <w:iCs/>
        </w:rPr>
        <w:t>289</w:t>
      </w:r>
      <w:r w:rsidRPr="00937D72">
        <w:t>(1971), 20212613. https://doi.org/https://doi.org/10.1098/rspb.2021.2613</w:t>
      </w:r>
    </w:p>
    <w:p w14:paraId="744CA32D" w14:textId="77777777" w:rsidR="00937D72" w:rsidRPr="00937D72" w:rsidRDefault="00937D72" w:rsidP="000A1536">
      <w:pPr>
        <w:pStyle w:val="Bibliography"/>
        <w:spacing w:line="240" w:lineRule="auto"/>
      </w:pPr>
      <w:r w:rsidRPr="00937D72">
        <w:t xml:space="preserve">Stan Development Team. (2023). </w:t>
      </w:r>
      <w:r w:rsidRPr="00937D72">
        <w:rPr>
          <w:i/>
          <w:iCs/>
        </w:rPr>
        <w:t>Stan Modeling Language Users Guide and Reference Manual</w:t>
      </w:r>
      <w:r w:rsidRPr="00937D72">
        <w:t xml:space="preserve"> (Version 2.26.1) [Computer software]. https://mc-stan.org/</w:t>
      </w:r>
    </w:p>
    <w:p w14:paraId="3B1CE5E4" w14:textId="77777777" w:rsidR="00937D72" w:rsidRPr="00937D72" w:rsidRDefault="00937D72" w:rsidP="000A1536">
      <w:pPr>
        <w:pStyle w:val="Bibliography"/>
        <w:spacing w:line="240" w:lineRule="auto"/>
      </w:pPr>
      <w:r w:rsidRPr="00937D72">
        <w:t xml:space="preserve">Stein, A., &amp; Ettema, C. (2003). An overview of spatial sampling procedures and experimental design of spatial studies for ecosystem comparisons. </w:t>
      </w:r>
      <w:r w:rsidRPr="00937D72">
        <w:rPr>
          <w:i/>
          <w:iCs/>
        </w:rPr>
        <w:t>Agriculture, Ecosystems &amp; Environment</w:t>
      </w:r>
      <w:r w:rsidRPr="00937D72">
        <w:t xml:space="preserve">, </w:t>
      </w:r>
      <w:r w:rsidRPr="00937D72">
        <w:rPr>
          <w:i/>
          <w:iCs/>
        </w:rPr>
        <w:t>94</w:t>
      </w:r>
      <w:r w:rsidRPr="00937D72">
        <w:t>(1), 31–47. https://doi.org/10.1016/S0167-8809(02)00013-0</w:t>
      </w:r>
    </w:p>
    <w:p w14:paraId="5EAC2EEC" w14:textId="77777777" w:rsidR="00937D72" w:rsidRPr="00937D72" w:rsidRDefault="00937D72" w:rsidP="000A1536">
      <w:pPr>
        <w:pStyle w:val="Bibliography"/>
        <w:spacing w:line="240" w:lineRule="auto"/>
      </w:pPr>
      <w:r w:rsidRPr="00937D72">
        <w:t xml:space="preserve">Taberlet, P., Coissac, E., Hajibabaei, M., &amp; Rieseberg, L. H. (2012). Environmental DNA. </w:t>
      </w:r>
      <w:r w:rsidRPr="00937D72">
        <w:rPr>
          <w:i/>
          <w:iCs/>
        </w:rPr>
        <w:t>Molecular Ecology</w:t>
      </w:r>
      <w:r w:rsidRPr="00937D72">
        <w:t xml:space="preserve">, </w:t>
      </w:r>
      <w:r w:rsidRPr="00937D72">
        <w:rPr>
          <w:i/>
          <w:iCs/>
        </w:rPr>
        <w:t>21</w:t>
      </w:r>
      <w:r w:rsidRPr="00937D72">
        <w:t>(8), 1789–1793. https://doi.org/10.1111/j.1365-294X.2012.05542.x</w:t>
      </w:r>
    </w:p>
    <w:p w14:paraId="0E90FE70" w14:textId="77777777" w:rsidR="00937D72" w:rsidRPr="00937D72" w:rsidRDefault="00937D72" w:rsidP="000A1536">
      <w:pPr>
        <w:pStyle w:val="Bibliography"/>
        <w:spacing w:line="240" w:lineRule="auto"/>
      </w:pPr>
      <w:r w:rsidRPr="00937D72">
        <w:t xml:space="preserve">Tarugara, A., Clegg, B. W., Gandiwa, E., &amp; Muposhi, V. K. (2019). Cost-benefit analysis of increasing sampling effort in a baited-camera trap survey of an African leopard (Panthera pardus) population. </w:t>
      </w:r>
      <w:r w:rsidRPr="00937D72">
        <w:rPr>
          <w:i/>
          <w:iCs/>
        </w:rPr>
        <w:t>Global Ecology and Conservation</w:t>
      </w:r>
      <w:r w:rsidRPr="00937D72">
        <w:t xml:space="preserve">, </w:t>
      </w:r>
      <w:r w:rsidRPr="00937D72">
        <w:rPr>
          <w:i/>
          <w:iCs/>
        </w:rPr>
        <w:t>18</w:t>
      </w:r>
      <w:r w:rsidRPr="00937D72">
        <w:t>, e00627. https://doi.org/10.1016/j.gecco.2019.e00627</w:t>
      </w:r>
    </w:p>
    <w:p w14:paraId="6B7DB4F9" w14:textId="77777777" w:rsidR="00937D72" w:rsidRPr="00937D72" w:rsidRDefault="00937D72" w:rsidP="000A1536">
      <w:pPr>
        <w:pStyle w:val="Bibliography"/>
        <w:spacing w:line="240" w:lineRule="auto"/>
      </w:pPr>
      <w:r w:rsidRPr="00937D72">
        <w:t xml:space="preserve">Thiele, J., Schulte Auf’M Erley, G., Glemnitz, M., &amp; Gabriel, D. (2023). Efficiency of spatial sampling designs in estimating abundance and species richness of carabids at the landscape level. </w:t>
      </w:r>
      <w:r w:rsidRPr="00937D72">
        <w:rPr>
          <w:i/>
          <w:iCs/>
        </w:rPr>
        <w:t>Landscape Ecology</w:t>
      </w:r>
      <w:r w:rsidRPr="00937D72">
        <w:t xml:space="preserve">, </w:t>
      </w:r>
      <w:r w:rsidRPr="00937D72">
        <w:rPr>
          <w:i/>
          <w:iCs/>
        </w:rPr>
        <w:t>38</w:t>
      </w:r>
      <w:r w:rsidRPr="00937D72">
        <w:t>(4), 919–932. https://doi.org/10.1007/s10980-023-01605-1</w:t>
      </w:r>
    </w:p>
    <w:p w14:paraId="5094ADB1" w14:textId="77777777" w:rsidR="00937D72" w:rsidRPr="00937D72" w:rsidRDefault="00937D72" w:rsidP="000A1536">
      <w:pPr>
        <w:pStyle w:val="Bibliography"/>
        <w:spacing w:line="240" w:lineRule="auto"/>
      </w:pPr>
      <w:r w:rsidRPr="00937D72">
        <w:t xml:space="preserve">Thorson, J. T., Shelton, A. O., Ward, E. J., &amp; Skaug, H. J. (2015). Geostatistical delta-generalized linear mixed models improve precision for estimated abundance indices for West Coast groundfishes. </w:t>
      </w:r>
      <w:r w:rsidRPr="00937D72">
        <w:rPr>
          <w:i/>
          <w:iCs/>
        </w:rPr>
        <w:t>ICES Journal of Marine Science</w:t>
      </w:r>
      <w:r w:rsidRPr="00937D72">
        <w:t xml:space="preserve">, </w:t>
      </w:r>
      <w:r w:rsidRPr="00937D72">
        <w:rPr>
          <w:i/>
          <w:iCs/>
        </w:rPr>
        <w:t>72</w:t>
      </w:r>
      <w:r w:rsidRPr="00937D72">
        <w:t>(5), 1297–1310. https://doi.org/10.1093/icesjms/fsu243</w:t>
      </w:r>
    </w:p>
    <w:p w14:paraId="72D83517" w14:textId="77777777" w:rsidR="00937D72" w:rsidRPr="00937D72" w:rsidRDefault="00937D72" w:rsidP="000A1536">
      <w:pPr>
        <w:pStyle w:val="Bibliography"/>
        <w:spacing w:line="240" w:lineRule="auto"/>
      </w:pPr>
      <w:r w:rsidRPr="00937D72">
        <w:t xml:space="preserve">Wagner, H. H., &amp; Fortin, M.-J. (2005). Spatial analysis of landscapes: Concepts and statistics. </w:t>
      </w:r>
      <w:r w:rsidRPr="00937D72">
        <w:rPr>
          <w:i/>
          <w:iCs/>
        </w:rPr>
        <w:t>Ecology</w:t>
      </w:r>
      <w:r w:rsidRPr="00937D72">
        <w:t xml:space="preserve">, </w:t>
      </w:r>
      <w:r w:rsidRPr="00937D72">
        <w:rPr>
          <w:i/>
          <w:iCs/>
        </w:rPr>
        <w:t>86</w:t>
      </w:r>
      <w:r w:rsidRPr="00937D72">
        <w:t>(8), 1975–1987. https://doi.org/10.1890/04-0914</w:t>
      </w:r>
    </w:p>
    <w:p w14:paraId="6B79B2BB" w14:textId="77777777" w:rsidR="00937D72" w:rsidRPr="00937D72" w:rsidRDefault="00937D72" w:rsidP="000A1536">
      <w:pPr>
        <w:pStyle w:val="Bibliography"/>
        <w:spacing w:line="240" w:lineRule="auto"/>
      </w:pPr>
      <w:r w:rsidRPr="00937D72">
        <w:lastRenderedPageBreak/>
        <w:t xml:space="preserve">Xu, B., Zhang, C., Xue, Y., Ren, Y., &amp; Chen, Y. (2015). Optimization of sampling effort for a fishery-independent survey with multiple goals. </w:t>
      </w:r>
      <w:r w:rsidRPr="00937D72">
        <w:rPr>
          <w:i/>
          <w:iCs/>
        </w:rPr>
        <w:t>Environmental Monitoring and Assessment</w:t>
      </w:r>
      <w:r w:rsidRPr="00937D72">
        <w:t xml:space="preserve">, </w:t>
      </w:r>
      <w:r w:rsidRPr="00937D72">
        <w:rPr>
          <w:i/>
          <w:iCs/>
        </w:rPr>
        <w:t>187</w:t>
      </w:r>
      <w:r w:rsidRPr="00937D72">
        <w:t>(5). https://doi.org/10.1007/s10661-015-4483-9</w:t>
      </w:r>
    </w:p>
    <w:p w14:paraId="36CAA80B" w14:textId="77777777" w:rsidR="00937D72" w:rsidRPr="00937D72" w:rsidRDefault="00937D72" w:rsidP="000A1536">
      <w:pPr>
        <w:pStyle w:val="Bibliography"/>
        <w:spacing w:line="240" w:lineRule="auto"/>
      </w:pPr>
      <w:r w:rsidRPr="00937D72">
        <w:t xml:space="preserve">Yoccoz, N. G., Nichols, J. D., &amp; Boulinier, T. (2001). Monitoring of biological diversity in space and time. </w:t>
      </w:r>
      <w:r w:rsidRPr="00937D72">
        <w:rPr>
          <w:i/>
          <w:iCs/>
        </w:rPr>
        <w:t>Trends in Ecology &amp; Evolution</w:t>
      </w:r>
      <w:r w:rsidRPr="00937D72">
        <w:t xml:space="preserve">, </w:t>
      </w:r>
      <w:r w:rsidRPr="00937D72">
        <w:rPr>
          <w:i/>
          <w:iCs/>
        </w:rPr>
        <w:t>16</w:t>
      </w:r>
      <w:r w:rsidRPr="00937D72">
        <w:t>(8), 446–453. https://doi.org/10.1016/S0169-5347(01)02205-4</w:t>
      </w:r>
    </w:p>
    <w:p w14:paraId="179D8E6E" w14:textId="77777777" w:rsidR="00937D72" w:rsidRPr="00937D72" w:rsidRDefault="00937D72" w:rsidP="000A1536">
      <w:pPr>
        <w:pStyle w:val="Bibliography"/>
        <w:spacing w:line="240" w:lineRule="auto"/>
      </w:pPr>
      <w:r w:rsidRPr="00937D72">
        <w:t xml:space="preserve">Zhao, J., Yang, K., &amp; Ma, J. (2022). Optimization of Sampling Effort for Different Fishery Groups in the Yangtze River Estuary, China. </w:t>
      </w:r>
      <w:r w:rsidRPr="00937D72">
        <w:rPr>
          <w:i/>
          <w:iCs/>
        </w:rPr>
        <w:t>Marine and Coastal Fisheries</w:t>
      </w:r>
      <w:r w:rsidRPr="00937D72">
        <w:t xml:space="preserve">, </w:t>
      </w:r>
      <w:r w:rsidRPr="00937D72">
        <w:rPr>
          <w:i/>
          <w:iCs/>
        </w:rPr>
        <w:t>14</w:t>
      </w:r>
      <w:r w:rsidRPr="00937D72">
        <w:t>(4). https://doi.org/10.1002/mcf2.10214</w:t>
      </w:r>
    </w:p>
    <w:p w14:paraId="5940244E" w14:textId="126DE309" w:rsidR="000974AE" w:rsidRDefault="00F553D1" w:rsidP="000A1536">
      <w:pPr>
        <w:pStyle w:val="Bibliography"/>
        <w:spacing w:line="240" w:lineRule="auto"/>
      </w:pPr>
      <w:r w:rsidRPr="007A589B">
        <w:rPr>
          <w:rFonts w:cs="Times New Roman"/>
        </w:rPr>
        <w:fldChar w:fldCharType="end"/>
      </w:r>
      <w:r w:rsidR="000974AE">
        <w:br w:type="page"/>
      </w:r>
    </w:p>
    <w:p w14:paraId="3A4A0486" w14:textId="7605B0E0" w:rsidR="000974AE" w:rsidRDefault="000974AE" w:rsidP="000974AE">
      <w:pPr>
        <w:pStyle w:val="Bibliography"/>
        <w:spacing w:before="0" w:line="360" w:lineRule="auto"/>
        <w:rPr>
          <w:b/>
          <w:bCs/>
          <w:sz w:val="24"/>
          <w:szCs w:val="36"/>
        </w:rPr>
      </w:pPr>
      <w:r w:rsidRPr="000974AE">
        <w:rPr>
          <w:b/>
          <w:bCs/>
          <w:sz w:val="24"/>
          <w:szCs w:val="36"/>
        </w:rPr>
        <w:lastRenderedPageBreak/>
        <w:t>Appendix</w:t>
      </w:r>
    </w:p>
    <w:p w14:paraId="23D2A23B" w14:textId="3E9C2B39" w:rsidR="004075CF" w:rsidRPr="004075CF" w:rsidRDefault="00C3078A" w:rsidP="000974AE">
      <w:pPr>
        <w:pStyle w:val="Bibliography"/>
        <w:spacing w:before="0" w:line="360" w:lineRule="auto"/>
        <w:rPr>
          <w:sz w:val="24"/>
          <w:szCs w:val="36"/>
        </w:rPr>
      </w:pPr>
      <w:r w:rsidRPr="00C3078A">
        <w:rPr>
          <w:sz w:val="24"/>
          <w:szCs w:val="36"/>
        </w:rPr>
        <w:t xml:space="preserve">Supplementary </w:t>
      </w:r>
      <w:r w:rsidR="004075CF">
        <w:rPr>
          <w:sz w:val="24"/>
          <w:szCs w:val="36"/>
        </w:rPr>
        <w:t>Table S</w:t>
      </w:r>
      <w:r w:rsidR="0051211B">
        <w:rPr>
          <w:sz w:val="24"/>
          <w:szCs w:val="36"/>
        </w:rPr>
        <w:t>1</w:t>
      </w:r>
      <w:r w:rsidR="004075CF">
        <w:rPr>
          <w:sz w:val="24"/>
          <w:szCs w:val="36"/>
        </w:rPr>
        <w:t xml:space="preserve">. </w:t>
      </w:r>
      <w:r w:rsidR="004075CF" w:rsidRPr="004075CF">
        <w:rPr>
          <w:sz w:val="24"/>
          <w:szCs w:val="36"/>
        </w:rPr>
        <w:t>Simulation scenario</w:t>
      </w:r>
      <w:r w:rsidR="004075CF">
        <w:rPr>
          <w:sz w:val="24"/>
          <w:szCs w:val="36"/>
        </w:rPr>
        <w:t xml:space="preserve">s and their </w:t>
      </w:r>
      <w:r w:rsidR="00A116CB">
        <w:rPr>
          <w:sz w:val="24"/>
          <w:szCs w:val="36"/>
        </w:rPr>
        <w:t>parameters</w:t>
      </w:r>
      <w:r w:rsidR="004075CF" w:rsidRPr="004075CF">
        <w:rPr>
          <w:sz w:val="24"/>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rsidRPr="002A40BC">
              <w:t>3</w:t>
            </w:r>
          </w:p>
        </w:tc>
        <w:tc>
          <w:tcPr>
            <w:tcW w:w="866" w:type="dxa"/>
          </w:tcPr>
          <w:p w14:paraId="215A09A0" w14:textId="77777777" w:rsidR="000974AE" w:rsidRDefault="000974AE" w:rsidP="00550329">
            <w:r w:rsidRPr="002A40BC">
              <w:t>4</w:t>
            </w:r>
          </w:p>
        </w:tc>
        <w:tc>
          <w:tcPr>
            <w:tcW w:w="866" w:type="dxa"/>
          </w:tcPr>
          <w:p w14:paraId="162FF05B" w14:textId="77777777" w:rsidR="000974AE" w:rsidRPr="002A40BC" w:rsidRDefault="000974AE" w:rsidP="00550329">
            <w:r w:rsidRPr="002A40BC">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rsidRPr="002A40BC">
              <w:t>3</w:t>
            </w:r>
          </w:p>
        </w:tc>
        <w:tc>
          <w:tcPr>
            <w:tcW w:w="866" w:type="dxa"/>
          </w:tcPr>
          <w:p w14:paraId="2098CE62" w14:textId="77777777" w:rsidR="000974AE" w:rsidRDefault="000974AE" w:rsidP="00550329">
            <w:r w:rsidRPr="002A40BC">
              <w:t>4</w:t>
            </w:r>
          </w:p>
        </w:tc>
        <w:tc>
          <w:tcPr>
            <w:tcW w:w="866" w:type="dxa"/>
          </w:tcPr>
          <w:p w14:paraId="213254A7" w14:textId="77777777" w:rsidR="000974AE" w:rsidRPr="002A40BC" w:rsidRDefault="000974AE" w:rsidP="00550329">
            <w:r w:rsidRPr="002A40BC">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rsidRPr="002A40BC">
              <w:t>3</w:t>
            </w:r>
          </w:p>
        </w:tc>
        <w:tc>
          <w:tcPr>
            <w:tcW w:w="866" w:type="dxa"/>
          </w:tcPr>
          <w:p w14:paraId="6D5DAA2A" w14:textId="77777777" w:rsidR="000974AE" w:rsidRDefault="000974AE" w:rsidP="00550329">
            <w:r w:rsidRPr="002A40BC">
              <w:t>4</w:t>
            </w:r>
          </w:p>
        </w:tc>
        <w:tc>
          <w:tcPr>
            <w:tcW w:w="866" w:type="dxa"/>
          </w:tcPr>
          <w:p w14:paraId="3D55F3EA" w14:textId="77777777" w:rsidR="000974AE" w:rsidRPr="002A40BC" w:rsidRDefault="000974AE" w:rsidP="00550329">
            <w:r w:rsidRPr="002A40BC">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rsidRPr="002A40BC">
              <w:t>3</w:t>
            </w:r>
          </w:p>
        </w:tc>
        <w:tc>
          <w:tcPr>
            <w:tcW w:w="866" w:type="dxa"/>
          </w:tcPr>
          <w:p w14:paraId="702A42EE" w14:textId="77777777" w:rsidR="000974AE" w:rsidRDefault="000974AE" w:rsidP="00550329">
            <w:r w:rsidRPr="002A40BC">
              <w:t>4</w:t>
            </w:r>
          </w:p>
        </w:tc>
        <w:tc>
          <w:tcPr>
            <w:tcW w:w="866" w:type="dxa"/>
          </w:tcPr>
          <w:p w14:paraId="2056A75D" w14:textId="77777777" w:rsidR="000974AE" w:rsidRPr="002A40BC" w:rsidRDefault="000974AE" w:rsidP="00550329">
            <w:r w:rsidRPr="002A40BC">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rsidRPr="002A40BC">
              <w:t>3</w:t>
            </w:r>
          </w:p>
        </w:tc>
        <w:tc>
          <w:tcPr>
            <w:tcW w:w="866" w:type="dxa"/>
          </w:tcPr>
          <w:p w14:paraId="390D7E64" w14:textId="77777777" w:rsidR="000974AE" w:rsidRDefault="000974AE" w:rsidP="00550329">
            <w:r w:rsidRPr="002A40BC">
              <w:t>4</w:t>
            </w:r>
          </w:p>
        </w:tc>
        <w:tc>
          <w:tcPr>
            <w:tcW w:w="866" w:type="dxa"/>
          </w:tcPr>
          <w:p w14:paraId="55B68550" w14:textId="77777777" w:rsidR="000974AE" w:rsidRPr="002A40BC" w:rsidRDefault="000974AE" w:rsidP="00550329">
            <w:r w:rsidRPr="002A40BC">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rsidRPr="002A40BC">
              <w:t>3</w:t>
            </w:r>
          </w:p>
        </w:tc>
        <w:tc>
          <w:tcPr>
            <w:tcW w:w="866" w:type="dxa"/>
          </w:tcPr>
          <w:p w14:paraId="2081464C" w14:textId="77777777" w:rsidR="000974AE" w:rsidRDefault="000974AE" w:rsidP="00550329">
            <w:r w:rsidRPr="002A40BC">
              <w:t>4</w:t>
            </w:r>
          </w:p>
        </w:tc>
        <w:tc>
          <w:tcPr>
            <w:tcW w:w="866" w:type="dxa"/>
          </w:tcPr>
          <w:p w14:paraId="1A729319" w14:textId="77777777" w:rsidR="000974AE" w:rsidRPr="002A40BC" w:rsidRDefault="000974AE" w:rsidP="00550329">
            <w:r w:rsidRPr="002A40BC">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rsidRPr="002A40BC">
              <w:t>3</w:t>
            </w:r>
          </w:p>
        </w:tc>
        <w:tc>
          <w:tcPr>
            <w:tcW w:w="866" w:type="dxa"/>
          </w:tcPr>
          <w:p w14:paraId="60C711D2" w14:textId="77777777" w:rsidR="000974AE" w:rsidRDefault="000974AE" w:rsidP="00550329">
            <w:r w:rsidRPr="002A40BC">
              <w:t>4</w:t>
            </w:r>
          </w:p>
        </w:tc>
        <w:tc>
          <w:tcPr>
            <w:tcW w:w="866" w:type="dxa"/>
          </w:tcPr>
          <w:p w14:paraId="50038E0A" w14:textId="77777777" w:rsidR="000974AE" w:rsidRPr="002A40BC" w:rsidRDefault="000974AE" w:rsidP="00550329">
            <w:r w:rsidRPr="002A40BC">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rsidRPr="002A40BC">
              <w:t>3</w:t>
            </w:r>
          </w:p>
        </w:tc>
        <w:tc>
          <w:tcPr>
            <w:tcW w:w="866" w:type="dxa"/>
          </w:tcPr>
          <w:p w14:paraId="12E3C4D0" w14:textId="77777777" w:rsidR="000974AE" w:rsidRDefault="000974AE" w:rsidP="00550329">
            <w:r w:rsidRPr="002A40BC">
              <w:t>4</w:t>
            </w:r>
          </w:p>
        </w:tc>
        <w:tc>
          <w:tcPr>
            <w:tcW w:w="866" w:type="dxa"/>
          </w:tcPr>
          <w:p w14:paraId="47020B19" w14:textId="77777777" w:rsidR="000974AE" w:rsidRPr="002A40BC" w:rsidRDefault="000974AE" w:rsidP="00550329">
            <w:r w:rsidRPr="002A40BC">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rsidRPr="002A40BC">
              <w:t>3</w:t>
            </w:r>
          </w:p>
        </w:tc>
        <w:tc>
          <w:tcPr>
            <w:tcW w:w="866" w:type="dxa"/>
          </w:tcPr>
          <w:p w14:paraId="20B7392F" w14:textId="77777777" w:rsidR="000974AE" w:rsidRDefault="000974AE" w:rsidP="00550329">
            <w:r w:rsidRPr="002A40BC">
              <w:t>4</w:t>
            </w:r>
          </w:p>
        </w:tc>
        <w:tc>
          <w:tcPr>
            <w:tcW w:w="866" w:type="dxa"/>
          </w:tcPr>
          <w:p w14:paraId="301973DA" w14:textId="77777777" w:rsidR="000974AE" w:rsidRPr="002A40BC" w:rsidRDefault="000974AE" w:rsidP="00550329">
            <w:r w:rsidRPr="002A40BC">
              <w:t>20</w:t>
            </w:r>
          </w:p>
        </w:tc>
      </w:tr>
    </w:tbl>
    <w:p w14:paraId="2E8893E1" w14:textId="77777777" w:rsidR="000974AE" w:rsidRDefault="000974AE" w:rsidP="000974AE">
      <w:pPr>
        <w:pStyle w:val="Bibliography"/>
        <w:spacing w:before="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Supplementary Figure</w:t>
      </w:r>
      <w:r w:rsidR="004075CF" w:rsidRPr="00F267C0">
        <w:t xml:space="preserve"> S</w:t>
      </w:r>
      <w:r>
        <w:t>1</w:t>
      </w:r>
      <w:r w:rsidR="004075CF" w:rsidRPr="00F267C0">
        <w:t xml:space="preserve">.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line="360" w:lineRule="auto"/>
      </w:pPr>
    </w:p>
    <w:p w14:paraId="01C0159D" w14:textId="77777777" w:rsidR="004075CF" w:rsidRDefault="004075CF" w:rsidP="00101BFB">
      <w:pPr>
        <w:pStyle w:val="BodyText"/>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Pr="00D92540" w:rsidRDefault="000D7045" w:rsidP="00D92540">
      <w:pPr>
        <w:pStyle w:val="Bibliography"/>
        <w:spacing w:before="0" w:line="360" w:lineRule="auto"/>
        <w:ind w:left="0" w:firstLine="0"/>
        <w:jc w:val="both"/>
        <w:rPr>
          <w:rFonts w:eastAsia="Times New Roman" w:cs="Times New Roman"/>
          <w:sz w:val="24"/>
        </w:rPr>
      </w:pPr>
      <w:r w:rsidRPr="00D92540">
        <w:rPr>
          <w:rFonts w:eastAsia="Times New Roman" w:cs="Times New Roman"/>
          <w:sz w:val="24"/>
        </w:rPr>
        <w:lastRenderedPageBreak/>
        <w:t xml:space="preserve">Supplementary Figure S2.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sidRPr="00EC16C1">
        <w:rPr>
          <w:noProof/>
        </w:rPr>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18"/>
                    <a:stretch>
                      <a:fillRect/>
                    </a:stretch>
                  </pic:blipFill>
                  <pic:spPr>
                    <a:xfrm>
                      <a:off x="0" y="0"/>
                      <a:ext cx="5943600" cy="3507740"/>
                    </a:xfrm>
                    <a:prstGeom prst="rect">
                      <a:avLst/>
                    </a:prstGeom>
                  </pic:spPr>
                </pic:pic>
              </a:graphicData>
            </a:graphic>
          </wp:inline>
        </w:drawing>
      </w:r>
      <w:r w:rsidR="0057157E">
        <w:br w:type="page"/>
      </w:r>
    </w:p>
    <w:p w14:paraId="75341E95" w14:textId="34662FB2" w:rsidR="0057157E" w:rsidRPr="00D92540" w:rsidRDefault="003546AC" w:rsidP="00D92540">
      <w:pPr>
        <w:pStyle w:val="Bibliography"/>
        <w:spacing w:before="0" w:line="360" w:lineRule="auto"/>
        <w:ind w:left="0" w:firstLine="0"/>
        <w:jc w:val="both"/>
        <w:rPr>
          <w:rFonts w:eastAsia="Times New Roman" w:cs="Times New Roman"/>
          <w:sz w:val="24"/>
        </w:rPr>
      </w:pPr>
      <w:r w:rsidRPr="00D92540">
        <w:rPr>
          <w:rFonts w:eastAsia="Times New Roman" w:cs="Times New Roman"/>
          <w:sz w:val="24"/>
        </w:rPr>
        <w:lastRenderedPageBreak/>
        <w:t xml:space="preserve">Supplementary </w:t>
      </w:r>
      <w:r w:rsidR="0057157E" w:rsidRPr="00D92540">
        <w:rPr>
          <w:rFonts w:eastAsia="Times New Roman" w:cs="Times New Roman"/>
          <w:sz w:val="24"/>
        </w:rPr>
        <w:t>Figure S</w:t>
      </w:r>
      <w:r w:rsidRPr="00D92540">
        <w:rPr>
          <w:rFonts w:eastAsia="Times New Roman" w:cs="Times New Roman"/>
          <w:sz w:val="24"/>
        </w:rPr>
        <w:t>3</w:t>
      </w:r>
      <w:r w:rsidR="00F267C0" w:rsidRPr="00D92540">
        <w:rPr>
          <w:rFonts w:eastAsia="Times New Roman" w:cs="Times New Roman"/>
          <w:sz w:val="24"/>
        </w:rPr>
        <w:t xml:space="preserve">. Visualization of the </w:t>
      </w:r>
      <w:r w:rsidR="00D05BE1" w:rsidRPr="00D92540">
        <w:rPr>
          <w:rFonts w:eastAsia="Times New Roman" w:cs="Times New Roman"/>
          <w:sz w:val="24"/>
        </w:rPr>
        <w:t xml:space="preserve">lower and upper bars of </w:t>
      </w:r>
      <w:r w:rsidR="005C56BE" w:rsidRPr="00D92540">
        <w:rPr>
          <w:rFonts w:eastAsia="Times New Roman" w:cs="Times New Roman"/>
          <w:sz w:val="24"/>
        </w:rPr>
        <w:t>prediction</w:t>
      </w:r>
      <w:r w:rsidR="005B6AEA" w:rsidRPr="00D92540">
        <w:rPr>
          <w:rFonts w:eastAsia="Times New Roman" w:cs="Times New Roman"/>
          <w:sz w:val="24"/>
        </w:rPr>
        <w:t xml:space="preserve"> given the prediction error (ε) per sampling effort (E) </w:t>
      </w:r>
      <w:r w:rsidR="00D05BE1" w:rsidRPr="00D92540">
        <w:rPr>
          <w:rFonts w:eastAsia="Times New Roman" w:cs="Times New Roman"/>
          <w:sz w:val="24"/>
        </w:rPr>
        <w:t>when the true eDNA concentration is 100</w:t>
      </w:r>
      <w:r w:rsidR="005B6AEA" w:rsidRPr="00D92540">
        <w:rPr>
          <w:rFonts w:eastAsia="Times New Roman" w:cs="Times New Roman"/>
          <w:sz w:val="24"/>
        </w:rPr>
        <w:t xml:space="preserve"> copies/L.</w:t>
      </w:r>
    </w:p>
    <w:p w14:paraId="3A2C5679" w14:textId="1ED027DA" w:rsidR="004075CF" w:rsidRDefault="00180840" w:rsidP="000974AE">
      <w:pPr>
        <w:pStyle w:val="Bibliography"/>
        <w:spacing w:before="0" w:line="360" w:lineRule="auto"/>
      </w:pPr>
      <w:r w:rsidRPr="00180840">
        <w:rPr>
          <w:noProof/>
        </w:rPr>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19"/>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Pr="00E91363" w:rsidRDefault="00F9313D" w:rsidP="00D92540">
      <w:pPr>
        <w:pStyle w:val="Bibliography"/>
        <w:spacing w:before="0" w:line="360" w:lineRule="auto"/>
        <w:ind w:left="0" w:firstLine="0"/>
        <w:rPr>
          <w:rFonts w:eastAsia="Times New Roman" w:cs="Times New Roman"/>
          <w:sz w:val="24"/>
        </w:rPr>
      </w:pPr>
      <w:r w:rsidRPr="00E91363">
        <w:rPr>
          <w:rFonts w:eastAsia="Times New Roman" w:cs="Times New Roman"/>
          <w:sz w:val="24"/>
        </w:rPr>
        <w:lastRenderedPageBreak/>
        <w:t xml:space="preserve">Supplementary </w:t>
      </w:r>
      <w:r w:rsidR="006E1FBD" w:rsidRPr="00E91363">
        <w:rPr>
          <w:rFonts w:eastAsia="Times New Roman" w:cs="Times New Roman"/>
          <w:sz w:val="24"/>
        </w:rPr>
        <w:t>Figure S</w:t>
      </w:r>
      <w:r w:rsidRPr="00E91363">
        <w:rPr>
          <w:rFonts w:eastAsia="Times New Roman" w:cs="Times New Roman"/>
          <w:sz w:val="24"/>
        </w:rPr>
        <w:t>4</w:t>
      </w:r>
      <w:r w:rsidR="006E1FBD" w:rsidRPr="00E91363">
        <w:rPr>
          <w:rFonts w:eastAsia="Times New Roman" w:cs="Times New Roman"/>
          <w:sz w:val="24"/>
        </w:rPr>
        <w:t xml:space="preserve">. </w:t>
      </w:r>
      <w:r w:rsidR="005C4753" w:rsidRPr="00E91363">
        <w:rPr>
          <w:rFonts w:eastAsia="Times New Roman" w:cs="Times New Roman"/>
          <w:sz w:val="24"/>
        </w:rPr>
        <w:t>B</w:t>
      </w:r>
      <w:r w:rsidR="006E1FBD" w:rsidRPr="00E91363">
        <w:rPr>
          <w:rFonts w:eastAsia="Times New Roman" w:cs="Times New Roman"/>
          <w:sz w:val="24"/>
        </w:rPr>
        <w:t xml:space="preserve">ias </w:t>
      </w:r>
      <w:r w:rsidR="005C4753" w:rsidRPr="00E91363">
        <w:rPr>
          <w:rFonts w:eastAsia="Times New Roman" w:cs="Times New Roman"/>
          <w:sz w:val="24"/>
        </w:rPr>
        <w:t xml:space="preserve">vs precision, to prove that </w:t>
      </w:r>
      <w:r w:rsidR="006E1FBD" w:rsidRPr="00E91363">
        <w:rPr>
          <w:rFonts w:eastAsia="Times New Roman" w:cs="Times New Roman"/>
          <w:sz w:val="24"/>
        </w:rPr>
        <w:t xml:space="preserve">RMSE </w:t>
      </w:r>
      <w:r w:rsidR="005C4753" w:rsidRPr="00E91363">
        <w:rPr>
          <w:rFonts w:eastAsia="Times New Roman" w:cs="Times New Roman"/>
          <w:sz w:val="24"/>
        </w:rPr>
        <w:t>used here is mainly accounting for precision and not bias.</w:t>
      </w:r>
    </w:p>
    <w:p w14:paraId="376076AB" w14:textId="360A6A9B" w:rsidR="006E1FBD" w:rsidRDefault="006E1FBD" w:rsidP="000974AE">
      <w:pPr>
        <w:pStyle w:val="Bibliography"/>
        <w:spacing w:before="0" w:line="360" w:lineRule="auto"/>
      </w:pPr>
      <w:r w:rsidRPr="006E1FBD">
        <w:rPr>
          <w:noProof/>
        </w:rPr>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0"/>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76F40B96" w:rsidR="003F0D81" w:rsidRPr="00E91363" w:rsidRDefault="00E91363" w:rsidP="00D92540">
      <w:pPr>
        <w:pStyle w:val="Bibliography"/>
        <w:spacing w:before="0" w:line="360" w:lineRule="auto"/>
        <w:ind w:left="0" w:firstLine="0"/>
        <w:rPr>
          <w:rFonts w:eastAsia="Times New Roman" w:cs="Times New Roman"/>
          <w:sz w:val="24"/>
        </w:rPr>
      </w:pPr>
      <w:r w:rsidRPr="00E91363">
        <w:rPr>
          <w:rFonts w:eastAsia="Times New Roman" w:cs="Times New Roman"/>
          <w:sz w:val="24"/>
        </w:rPr>
        <w:lastRenderedPageBreak/>
        <w:t xml:space="preserve">Supplementary Figure </w:t>
      </w:r>
      <w:r w:rsidR="003F0D81" w:rsidRPr="00E91363">
        <w:rPr>
          <w:rFonts w:eastAsia="Times New Roman" w:cs="Times New Roman"/>
          <w:sz w:val="24"/>
        </w:rPr>
        <w:t>S</w:t>
      </w:r>
      <w:r>
        <w:rPr>
          <w:rFonts w:eastAsia="Times New Roman" w:cs="Times New Roman"/>
          <w:sz w:val="24"/>
        </w:rPr>
        <w:t>5</w:t>
      </w:r>
      <w:r w:rsidR="003F0D81" w:rsidRPr="00E91363">
        <w:rPr>
          <w:rFonts w:eastAsia="Times New Roman" w:cs="Times New Roman"/>
          <w:sz w:val="24"/>
        </w:rPr>
        <w:t xml:space="preserve">. Showing the observations of </w:t>
      </w:r>
      <w:r w:rsidR="00BC7F95" w:rsidRPr="00E91363">
        <w:rPr>
          <w:rFonts w:eastAsia="Times New Roman" w:cs="Times New Roman"/>
          <w:sz w:val="24"/>
        </w:rPr>
        <w:t xml:space="preserve">the prediction error (dots) and the </w:t>
      </w:r>
      <w:r w:rsidR="00172440" w:rsidRPr="00E91363">
        <w:rPr>
          <w:rFonts w:eastAsia="Times New Roman" w:cs="Times New Roman"/>
          <w:sz w:val="24"/>
        </w:rPr>
        <w:t>modeled estimates (line) from the fitted model using Eq. 6.</w:t>
      </w:r>
    </w:p>
    <w:p w14:paraId="7E207C75" w14:textId="1290E0BF" w:rsidR="003F0D81" w:rsidRDefault="00BC7F95" w:rsidP="000974AE">
      <w:pPr>
        <w:pStyle w:val="Bibliography"/>
        <w:spacing w:before="0" w:line="360" w:lineRule="auto"/>
      </w:pPr>
      <w:r w:rsidRPr="00BC7F95">
        <w:rPr>
          <w:noProof/>
        </w:rPr>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21"/>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line="360" w:lineRule="auto"/>
      </w:pPr>
    </w:p>
    <w:sectPr w:rsidR="00C915DD"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019DEB" w14:textId="77777777" w:rsidR="007D3A60" w:rsidRDefault="007D3A60" w:rsidP="009A2297">
      <w:pPr>
        <w:spacing w:after="0"/>
      </w:pPr>
      <w:r>
        <w:separator/>
      </w:r>
    </w:p>
  </w:endnote>
  <w:endnote w:type="continuationSeparator" w:id="0">
    <w:p w14:paraId="6FC62340" w14:textId="77777777" w:rsidR="007D3A60" w:rsidRDefault="007D3A60"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A6140E" w14:textId="77777777" w:rsidR="007D3A60" w:rsidRDefault="007D3A60" w:rsidP="009A2297">
      <w:pPr>
        <w:spacing w:after="0"/>
      </w:pPr>
      <w:r>
        <w:separator/>
      </w:r>
    </w:p>
  </w:footnote>
  <w:footnote w:type="continuationSeparator" w:id="0">
    <w:p w14:paraId="173E1913" w14:textId="77777777" w:rsidR="007D3A60" w:rsidRDefault="007D3A60"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5BA3"/>
    <w:rsid w:val="007C6363"/>
    <w:rsid w:val="007C65F2"/>
    <w:rsid w:val="007D006B"/>
    <w:rsid w:val="007D0105"/>
    <w:rsid w:val="007D094B"/>
    <w:rsid w:val="007D14CF"/>
    <w:rsid w:val="007D1DD5"/>
    <w:rsid w:val="007D272A"/>
    <w:rsid w:val="007D39EF"/>
    <w:rsid w:val="007D3A60"/>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30D45"/>
    <w:rsid w:val="008323BE"/>
    <w:rsid w:val="00832C2E"/>
    <w:rsid w:val="00832FE4"/>
    <w:rsid w:val="00833843"/>
    <w:rsid w:val="008345FD"/>
    <w:rsid w:val="008360A2"/>
    <w:rsid w:val="00840904"/>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DA"/>
    <w:rsid w:val="00DC1663"/>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39</Pages>
  <Words>37598</Words>
  <Characters>214313</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251409</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41</cp:revision>
  <cp:lastPrinted>2026-04-15T23:13:00Z</cp:lastPrinted>
  <dcterms:created xsi:type="dcterms:W3CDTF">2026-05-11T04:51:00Z</dcterms:created>
  <dcterms:modified xsi:type="dcterms:W3CDTF">2026-07-02T19:45:00Z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zotero-version="9.0.4"&gt;&lt;session id="LUEis6zL"/&gt;&lt;style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