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A3EC53F" w14:textId="3CD7B7D8" w:rsidR="00AD04EE" w:rsidRPr="00B97B65" w:rsidRDefault="00AD04EE" w:rsidP="00AD04EE">
      <w:pPr>
        <w:pStyle w:val="Title"/>
        <w:spacing w:after="0" w:line="480" w:lineRule="auto"/>
        <w:jc w:val="left"/>
        <w:rPr>
          <w:rFonts w:ascii="Times New Roman" w:hAnsi="Times New Roman" w:cs="Times New Roman"/>
          <w:b/>
          <w:bCs/>
          <w:sz w:val="28"/>
          <w:szCs w:val="28"/>
        </w:rPr>
      </w:pPr>
      <w:bookmarkStart w:id="0" w:name="abstract"/>
      <w:r>
        <w:rPr>
          <w:rFonts w:ascii="Times New Roman" w:hAnsi="Times New Roman" w:cs="Times New Roman"/>
          <w:b/>
          <w:bCs/>
          <w:sz w:val="28"/>
          <w:szCs w:val="28"/>
        </w:rPr>
        <w:t>Smart environmental DNA sampling strategies: Spatial autocorrelation can guide efficient survey design</w:t>
      </w:r>
    </w:p>
    <w:p w14:paraId="4A243CAD" w14:textId="77777777" w:rsidR="000D6CB9" w:rsidRDefault="00000000">
      <w:pPr>
        <w:pStyle w:val="Author"/>
        <w:spacing w:after="0" w:line="480" w:lineRule="auto"/>
      </w:pPr>
      <w:r>
        <w:rPr>
          <w:rFonts w:ascii="Times New Roman" w:hAnsi="Times New Roman" w:cs="Times New Roman"/>
          <w:b/>
          <w:bCs/>
        </w:rPr>
        <w:t>Running headline:</w:t>
      </w:r>
      <w:r>
        <w:rPr>
          <w:rFonts w:ascii="Times New Roman" w:hAnsi="Times New Roman" w:cs="Times New Roman"/>
        </w:rPr>
        <w:t xml:space="preserve"> Efficient eDNA survey design</w:t>
      </w:r>
    </w:p>
    <w:p w14:paraId="4521B9A2" w14:textId="77777777" w:rsidR="00AD04EE" w:rsidRDefault="00AD04EE" w:rsidP="00AD04EE">
      <w:pPr>
        <w:pStyle w:val="Author"/>
        <w:spacing w:after="0" w:line="480" w:lineRule="auto"/>
        <w:jc w:val="left"/>
        <w:rPr>
          <w:rFonts w:ascii="Times New Roman" w:hAnsi="Times New Roman" w:cs="Times New Roman"/>
        </w:rPr>
      </w:pPr>
    </w:p>
    <w:p w14:paraId="39DB5B16" w14:textId="77777777" w:rsidR="00AD04EE" w:rsidRPr="00C40337" w:rsidRDefault="00AD04EE" w:rsidP="00AD04EE">
      <w:pPr>
        <w:pStyle w:val="Author"/>
        <w:spacing w:after="0" w:line="480" w:lineRule="auto"/>
        <w:jc w:val="left"/>
        <w:rPr>
          <w:rFonts w:ascii="Times New Roman" w:hAnsi="Times New Roman" w:cs="Times New Roman"/>
        </w:rPr>
      </w:pPr>
      <w:r w:rsidRPr="00C40337">
        <w:rPr>
          <w:rFonts w:ascii="Times New Roman" w:hAnsi="Times New Roman" w:cs="Times New Roman"/>
        </w:rPr>
        <w:t>Gledis Guri</w:t>
      </w:r>
      <m:oMath>
        <m:sSup>
          <m:sSupPr>
            <m:ctrlPr>
              <w:rPr>
                <w:rFonts w:ascii="Cambria Math" w:hAnsi="Cambria Math" w:cs="Times New Roman"/>
              </w:rPr>
            </m:ctrlPr>
          </m:sSupPr>
          <m:e>
            <m:r>
              <w:rPr>
                <w:rFonts w:ascii="Cambria Math" w:hAnsi="Cambria Math" w:cs="Times New Roman"/>
              </w:rPr>
              <m:t>​</m:t>
            </m:r>
          </m:e>
          <m:sup>
            <m:r>
              <w:rPr>
                <w:rFonts w:ascii="Cambria Math" w:hAnsi="Cambria Math" w:cs="Times New Roman"/>
              </w:rPr>
              <m:t>1</m:t>
            </m:r>
          </m:sup>
        </m:sSup>
      </m:oMath>
      <w:r w:rsidRPr="00C40337">
        <w:rPr>
          <w:rFonts w:ascii="Times New Roman" w:hAnsi="Times New Roman" w:cs="Times New Roman"/>
          <w:b/>
          <w:bCs/>
        </w:rPr>
        <w:t>*</w:t>
      </w:r>
      <w:r w:rsidRPr="00C40337">
        <w:rPr>
          <w:rFonts w:ascii="Times New Roman" w:hAnsi="Times New Roman" w:cs="Times New Roman"/>
        </w:rPr>
        <w:t>,</w:t>
      </w:r>
      <w:r>
        <w:rPr>
          <w:rFonts w:ascii="Times New Roman" w:hAnsi="Times New Roman" w:cs="Times New Roman"/>
        </w:rPr>
        <w:t xml:space="preserve"> </w:t>
      </w:r>
      <w:r w:rsidRPr="00C40337">
        <w:rPr>
          <w:rFonts w:ascii="Times New Roman" w:hAnsi="Times New Roman" w:cs="Times New Roman"/>
        </w:rPr>
        <w:t>Ryan P. Kelly</w:t>
      </w:r>
      <m:oMath>
        <m:sSup>
          <m:sSupPr>
            <m:ctrlPr>
              <w:rPr>
                <w:rFonts w:ascii="Cambria Math" w:hAnsi="Cambria Math" w:cs="Times New Roman"/>
              </w:rPr>
            </m:ctrlPr>
          </m:sSupPr>
          <m:e>
            <m:r>
              <w:rPr>
                <w:rFonts w:ascii="Cambria Math" w:hAnsi="Cambria Math" w:cs="Times New Roman"/>
              </w:rPr>
              <m:t>​</m:t>
            </m:r>
          </m:e>
          <m:sup>
            <m:r>
              <w:rPr>
                <w:rFonts w:ascii="Cambria Math" w:hAnsi="Cambria Math" w:cs="Times New Roman"/>
              </w:rPr>
              <m:t>1</m:t>
            </m:r>
          </m:sup>
        </m:sSup>
      </m:oMath>
      <w:r w:rsidRPr="00C40337">
        <w:rPr>
          <w:rFonts w:ascii="Times New Roman" w:hAnsi="Times New Roman" w:cs="Times New Roman"/>
        </w:rPr>
        <w:t xml:space="preserve">, </w:t>
      </w:r>
      <w:r>
        <w:rPr>
          <w:rFonts w:ascii="Times New Roman" w:hAnsi="Times New Roman" w:cs="Times New Roman"/>
        </w:rPr>
        <w:t xml:space="preserve">Andrew </w:t>
      </w:r>
      <w:r w:rsidRPr="00C40337">
        <w:rPr>
          <w:rFonts w:ascii="Times New Roman" w:hAnsi="Times New Roman" w:cs="Times New Roman"/>
        </w:rPr>
        <w:t>O</w:t>
      </w:r>
      <w:r>
        <w:rPr>
          <w:rFonts w:ascii="Times New Roman" w:hAnsi="Times New Roman" w:cs="Times New Roman"/>
        </w:rPr>
        <w:t>.</w:t>
      </w:r>
      <w:r w:rsidRPr="00C40337">
        <w:rPr>
          <w:rFonts w:ascii="Times New Roman" w:hAnsi="Times New Roman" w:cs="Times New Roman"/>
        </w:rPr>
        <w:t xml:space="preserve"> Shelton</w:t>
      </w:r>
      <m:oMath>
        <m:sSup>
          <m:sSupPr>
            <m:ctrlPr>
              <w:rPr>
                <w:rFonts w:ascii="Cambria Math" w:hAnsi="Cambria Math" w:cs="Times New Roman"/>
              </w:rPr>
            </m:ctrlPr>
          </m:sSupPr>
          <m:e>
            <m:r>
              <w:rPr>
                <w:rFonts w:ascii="Cambria Math" w:hAnsi="Cambria Math" w:cs="Times New Roman"/>
              </w:rPr>
              <m:t>​</m:t>
            </m:r>
          </m:e>
          <m:sup>
            <m:r>
              <w:rPr>
                <w:rFonts w:ascii="Cambria Math" w:hAnsi="Cambria Math" w:cs="Times New Roman"/>
              </w:rPr>
              <m:t>2</m:t>
            </m:r>
          </m:sup>
        </m:sSup>
        <m:r>
          <m:rPr>
            <m:sty m:val="p"/>
          </m:rPr>
          <w:rPr>
            <w:rFonts w:ascii="Cambria Math" w:hAnsi="Cambria Math" w:cs="Times New Roman"/>
          </w:rPr>
          <m:t>*</m:t>
        </m:r>
      </m:oMath>
      <w:r w:rsidRPr="00C40337">
        <w:rPr>
          <w:rFonts w:ascii="Times New Roman" w:hAnsi="Times New Roman" w:cs="Times New Roman"/>
        </w:rPr>
        <w:t xml:space="preserve">, Owen </w:t>
      </w:r>
      <w:r>
        <w:rPr>
          <w:rFonts w:ascii="Times New Roman" w:hAnsi="Times New Roman" w:cs="Times New Roman"/>
        </w:rPr>
        <w:t xml:space="preserve">R. </w:t>
      </w:r>
      <w:r w:rsidRPr="00C40337">
        <w:rPr>
          <w:rFonts w:ascii="Times New Roman" w:hAnsi="Times New Roman" w:cs="Times New Roman"/>
        </w:rPr>
        <w:t>Liu</w:t>
      </w:r>
      <w:r>
        <w:rPr>
          <w:rFonts w:ascii="Times New Roman" w:hAnsi="Times New Roman" w:cs="Times New Roman"/>
          <w:vertAlign w:val="superscript"/>
        </w:rPr>
        <w:t>3</w:t>
      </w:r>
      <w:r>
        <w:rPr>
          <w:rFonts w:ascii="Times New Roman" w:hAnsi="Times New Roman" w:cs="Times New Roman"/>
        </w:rPr>
        <w:t>,</w:t>
      </w:r>
      <w:r w:rsidRPr="00C40337">
        <w:rPr>
          <w:rFonts w:ascii="Times New Roman" w:hAnsi="Times New Roman" w:cs="Times New Roman"/>
        </w:rPr>
        <w:t xml:space="preserve"> Krista M. Nichols</w:t>
      </w:r>
      <m:oMath>
        <m:sSup>
          <m:sSupPr>
            <m:ctrlPr>
              <w:rPr>
                <w:rFonts w:ascii="Cambria Math" w:hAnsi="Cambria Math" w:cs="Times New Roman"/>
              </w:rPr>
            </m:ctrlPr>
          </m:sSupPr>
          <m:e>
            <m:r>
              <w:rPr>
                <w:rFonts w:ascii="Cambria Math" w:hAnsi="Cambria Math" w:cs="Times New Roman"/>
              </w:rPr>
              <m:t>​</m:t>
            </m:r>
          </m:e>
          <m:sup>
            <m:r>
              <w:rPr>
                <w:rFonts w:ascii="Cambria Math" w:hAnsi="Cambria Math" w:cs="Times New Roman"/>
              </w:rPr>
              <m:t>2</m:t>
            </m:r>
          </m:sup>
        </m:sSup>
      </m:oMath>
    </w:p>
    <w:p w14:paraId="2F422FAA" w14:textId="77777777" w:rsidR="00AD04EE" w:rsidRPr="00C40337" w:rsidRDefault="00AD04EE" w:rsidP="00AD04EE">
      <w:pPr>
        <w:pStyle w:val="Heading1"/>
        <w:spacing w:before="0" w:after="0" w:line="480" w:lineRule="auto"/>
        <w:rPr>
          <w:rFonts w:cs="Times New Roman"/>
        </w:rPr>
      </w:pPr>
      <w:bookmarkStart w:id="1" w:name="section"/>
    </w:p>
    <w:tbl>
      <w:tblPr>
        <w:tblStyle w:val="Table"/>
        <w:tblW w:w="0" w:type="auto"/>
        <w:tblLook w:val="0000" w:firstRow="0" w:lastRow="0" w:firstColumn="0" w:lastColumn="0" w:noHBand="0" w:noVBand="0"/>
      </w:tblPr>
      <w:tblGrid>
        <w:gridCol w:w="336"/>
        <w:gridCol w:w="9024"/>
      </w:tblGrid>
      <w:tr w:rsidR="00AD04EE" w:rsidRPr="00C40337" w14:paraId="1FBC0DC6" w14:textId="77777777" w:rsidTr="005E3113">
        <w:tc>
          <w:tcPr>
            <w:tcW w:w="0" w:type="auto"/>
          </w:tcPr>
          <w:p w14:paraId="192B49FA" w14:textId="77777777" w:rsidR="00AD04EE" w:rsidRPr="00C40337" w:rsidRDefault="00AD04EE" w:rsidP="005E3113">
            <w:pPr>
              <w:pStyle w:val="Compact"/>
              <w:spacing w:line="480" w:lineRule="auto"/>
            </w:pPr>
            <w:r w:rsidRPr="00C40337">
              <w:t>1</w:t>
            </w:r>
          </w:p>
        </w:tc>
        <w:tc>
          <w:tcPr>
            <w:tcW w:w="0" w:type="auto"/>
          </w:tcPr>
          <w:p w14:paraId="2CC1BEA8" w14:textId="77777777" w:rsidR="00AD04EE" w:rsidRPr="00C40337" w:rsidRDefault="00AD04EE" w:rsidP="005E3113">
            <w:pPr>
              <w:pStyle w:val="Compact"/>
              <w:spacing w:line="480" w:lineRule="auto"/>
            </w:pPr>
            <w:r w:rsidRPr="00C40337">
              <w:t>School of Marine and Environmental Affairs, University of Washington, Seattle, Washington, USA</w:t>
            </w:r>
          </w:p>
        </w:tc>
      </w:tr>
      <w:tr w:rsidR="00AD04EE" w:rsidRPr="00C40337" w14:paraId="16487664" w14:textId="77777777" w:rsidTr="005E3113">
        <w:tc>
          <w:tcPr>
            <w:tcW w:w="0" w:type="auto"/>
          </w:tcPr>
          <w:p w14:paraId="0C691723" w14:textId="77777777" w:rsidR="00AD04EE" w:rsidRPr="00C40337" w:rsidRDefault="00AD04EE" w:rsidP="005E3113">
            <w:pPr>
              <w:pStyle w:val="Compact"/>
              <w:spacing w:line="480" w:lineRule="auto"/>
            </w:pPr>
            <w:r w:rsidRPr="00C40337">
              <w:t>2</w:t>
            </w:r>
          </w:p>
        </w:tc>
        <w:tc>
          <w:tcPr>
            <w:tcW w:w="0" w:type="auto"/>
          </w:tcPr>
          <w:p w14:paraId="36A941A7" w14:textId="77777777" w:rsidR="00AD04EE" w:rsidRPr="00C40337" w:rsidRDefault="00AD04EE" w:rsidP="005E3113">
            <w:pPr>
              <w:pStyle w:val="Compact"/>
              <w:spacing w:line="480" w:lineRule="auto"/>
            </w:pPr>
            <w:r w:rsidRPr="00C40337">
              <w:t>Conservation Biology Division, Northwest Fisheries Science Center, NOAA Fisheries,</w:t>
            </w:r>
            <w:r>
              <w:t xml:space="preserve"> </w:t>
            </w:r>
            <w:r w:rsidRPr="005E765B">
              <w:t>Montlake Blvd E. Seattle, Washington, USA</w:t>
            </w:r>
          </w:p>
        </w:tc>
      </w:tr>
      <w:tr w:rsidR="00AD04EE" w:rsidRPr="00C40337" w14:paraId="279227C7" w14:textId="77777777" w:rsidTr="005E3113">
        <w:tc>
          <w:tcPr>
            <w:tcW w:w="0" w:type="auto"/>
          </w:tcPr>
          <w:p w14:paraId="74F2A22E" w14:textId="77777777" w:rsidR="00AD04EE" w:rsidRPr="00C40337" w:rsidRDefault="00AD04EE" w:rsidP="005E3113">
            <w:pPr>
              <w:pStyle w:val="Compact"/>
              <w:spacing w:line="480" w:lineRule="auto"/>
            </w:pPr>
            <w:r>
              <w:t>3</w:t>
            </w:r>
          </w:p>
        </w:tc>
        <w:tc>
          <w:tcPr>
            <w:tcW w:w="0" w:type="auto"/>
          </w:tcPr>
          <w:p w14:paraId="1B44C655" w14:textId="77777777" w:rsidR="00AD04EE" w:rsidRDefault="00AD04EE" w:rsidP="005E3113">
            <w:pPr>
              <w:pStyle w:val="Compact"/>
              <w:spacing w:line="480" w:lineRule="auto"/>
            </w:pPr>
            <w:r>
              <w:t>School of Aquatic and Fishery Sciences, University of Washington, Seattle, Washington, USA</w:t>
            </w:r>
          </w:p>
          <w:p w14:paraId="38797BE1" w14:textId="77777777" w:rsidR="00AD04EE" w:rsidRPr="00C40337" w:rsidRDefault="00AD04EE" w:rsidP="005E3113">
            <w:pPr>
              <w:pStyle w:val="Compact"/>
              <w:spacing w:line="480" w:lineRule="auto"/>
            </w:pPr>
          </w:p>
        </w:tc>
      </w:tr>
      <w:tr w:rsidR="00AD04EE" w:rsidRPr="00C40337" w14:paraId="71401C63" w14:textId="77777777" w:rsidTr="005E3113">
        <w:tc>
          <w:tcPr>
            <w:tcW w:w="0" w:type="auto"/>
          </w:tcPr>
          <w:p w14:paraId="2D0CCA3F" w14:textId="77777777" w:rsidR="00AD04EE" w:rsidRPr="00C40337" w:rsidRDefault="00AD04EE" w:rsidP="005E3113">
            <w:pPr>
              <w:pStyle w:val="Compact"/>
              <w:spacing w:line="480" w:lineRule="auto"/>
            </w:pPr>
          </w:p>
        </w:tc>
        <w:tc>
          <w:tcPr>
            <w:tcW w:w="0" w:type="auto"/>
          </w:tcPr>
          <w:p w14:paraId="5EB79B44" w14:textId="77777777" w:rsidR="00AD04EE" w:rsidRPr="00C40337" w:rsidRDefault="00AD04EE" w:rsidP="005E3113">
            <w:pPr>
              <w:pStyle w:val="Compact"/>
              <w:spacing w:line="480" w:lineRule="auto"/>
              <w:rPr>
                <w:b/>
              </w:rPr>
            </w:pPr>
            <w:r w:rsidRPr="00C40337">
              <w:t xml:space="preserve">corresponding author </w:t>
            </w:r>
            <w:hyperlink r:id="rId11" w:history="1">
              <w:r w:rsidRPr="00C40337">
                <w:rPr>
                  <w:rStyle w:val="Hyperlink"/>
                  <w:rFonts w:cs="Times New Roman"/>
                  <w:b/>
                </w:rPr>
                <w:t>gguri@uw.edu</w:t>
              </w:r>
            </w:hyperlink>
          </w:p>
          <w:p w14:paraId="44CC6B60" w14:textId="77777777" w:rsidR="00AD04EE" w:rsidRPr="00C40337" w:rsidRDefault="00AD04EE" w:rsidP="005E3113">
            <w:pPr>
              <w:pStyle w:val="Compact"/>
              <w:spacing w:line="480" w:lineRule="auto"/>
            </w:pPr>
          </w:p>
        </w:tc>
      </w:tr>
      <w:bookmarkEnd w:id="1"/>
    </w:tbl>
    <w:p w14:paraId="7708CA06" w14:textId="77777777" w:rsidR="00AD04EE" w:rsidRDefault="00AD04EE">
      <w:pPr>
        <w:rPr>
          <w:rFonts w:ascii="Times New Roman" w:eastAsiaTheme="majorEastAsia" w:hAnsi="Times New Roman" w:cstheme="majorBidi"/>
          <w:b/>
          <w:sz w:val="28"/>
          <w:szCs w:val="40"/>
        </w:rPr>
      </w:pPr>
      <w:r>
        <w:br w:type="page"/>
      </w:r>
    </w:p>
    <w:p w14:paraId="5516F176" w14:textId="5E08148A" w:rsidR="0032076E" w:rsidRDefault="00D04708" w:rsidP="001643E6">
      <w:pPr>
        <w:pStyle w:val="Heading1"/>
        <w:spacing w:before="0" w:after="0" w:line="480" w:lineRule="auto"/>
      </w:pPr>
      <w:r>
        <w:lastRenderedPageBreak/>
        <w:t>Abstract</w:t>
      </w:r>
    </w:p>
    <w:p w14:paraId="3FF73381" w14:textId="77777777" w:rsidR="000D6CB9" w:rsidRDefault="00000000">
      <w:pPr>
        <w:pStyle w:val="BodyText"/>
        <w:spacing w:line="480" w:lineRule="auto"/>
      </w:pPr>
      <w:r>
        <w:t>1. Environmental DNA (eDNA) surveys are increasingly used to monitor marine biodiversity, yet managers have little quantitative guidance on how many samples to collect. Because ship time is costly, it matters where extra sampling stops improving the information used for decisions; and because species differ in patchiness, no single sample size serves all.</w:t>
      </w:r>
    </w:p>
    <w:p w14:paraId="01A46080" w14:textId="77777777" w:rsidR="000D6CB9" w:rsidRDefault="00000000">
      <w:pPr>
        <w:pStyle w:val="BodyText"/>
        <w:spacing w:line="480" w:lineRule="auto"/>
      </w:pPr>
      <w:r>
        <w:t>2. We combined eDNA metabarcoding data for 12 fish species from 358 stations and five depth strata along the U.S. West Coast with 200 simulated spatial fields spanning autocorrelation length-scales (</w:t>
      </w:r>
      <w:r>
        <w:rPr>
          <w:i/>
          <w:iCs/>
        </w:rPr>
        <w:t>ρ</w:t>
      </w:r>
      <w:r>
        <w:t>) of 25–1000 km. Bayesian Gaussian process (GP) models estimated species-specific spatial structure, and datasets were progressively thinned to quantify how reduced effort degrades prediction and parameter recovery.</w:t>
      </w:r>
    </w:p>
    <w:p w14:paraId="1A16C07B" w14:textId="77777777" w:rsidR="000D6CB9" w:rsidRDefault="00000000">
      <w:pPr>
        <w:pStyle w:val="BodyText"/>
        <w:spacing w:line="480" w:lineRule="auto"/>
      </w:pPr>
      <w:r>
        <w:t xml:space="preserve">3. Prediction error declined non-linearly with sampling density and with increasing </w:t>
      </w:r>
      <w:r>
        <w:rPr>
          <w:i/>
          <w:iCs/>
        </w:rPr>
        <w:t>ρ</w:t>
      </w:r>
      <w:r>
        <w:t>, and the two interacted. Coefficients of a log–log error model fitted separately to simulated and field data agreed closely, indicating that the simulations reproduced real eDNA fields.</w:t>
      </w:r>
    </w:p>
    <w:p w14:paraId="75E2E814" w14:textId="77777777" w:rsidR="000D6CB9" w:rsidRDefault="00000000">
      <w:pPr>
        <w:pStyle w:val="BodyText"/>
        <w:spacing w:line="480" w:lineRule="auto"/>
      </w:pPr>
      <w:r>
        <w:t>4. Marginal gains became negligible at 4–5 samples per 10,000 km</w:t>
      </w:r>
      <w:r>
        <w:rPr>
          <w:vertAlign w:val="superscript"/>
        </w:rPr>
        <w:t>2</w:t>
      </w:r>
      <w:r>
        <w:t xml:space="preserve"> per depth layer for smoothly distributed species (</w:t>
      </w:r>
      <w:r>
        <w:rPr>
          <w:i/>
          <w:iCs/>
        </w:rPr>
        <w:t>ρ</w:t>
      </w:r>
      <w:r>
        <w:t xml:space="preserve"> &gt; 500 km), whereas patchily distributed species (</w:t>
      </w:r>
      <w:r>
        <w:rPr>
          <w:i/>
          <w:iCs/>
        </w:rPr>
        <w:t>ρ</w:t>
      </w:r>
      <w:r>
        <w:t xml:space="preserve"> &lt; 50 km) required 8–11 samples per 10,000 km</w:t>
      </w:r>
      <w:r>
        <w:rPr>
          <w:vertAlign w:val="superscript"/>
        </w:rPr>
        <w:t>2</w:t>
      </w:r>
      <w:r>
        <w:t xml:space="preserve"> — over twice the effort for equal precision.</w:t>
      </w:r>
    </w:p>
    <w:p w14:paraId="1CEE31DB" w14:textId="77777777" w:rsidR="000D6CB9" w:rsidRDefault="00000000">
      <w:pPr>
        <w:pStyle w:val="BodyText"/>
        <w:spacing w:line="480" w:lineRule="auto"/>
      </w:pPr>
      <w:r>
        <w:t xml:space="preserve">5. The inferential objective mattered as much as the effort: depth-specific means, which underpin abundance indices, were recovered reliably under sparse sampling, whereas </w:t>
      </w:r>
      <w:r>
        <w:rPr>
          <w:i/>
          <w:iCs/>
        </w:rPr>
        <w:t>ρ</w:t>
      </w:r>
      <w:r>
        <w:t xml:space="preserve"> required denser designs spanning a wide range of distances, </w:t>
      </w:r>
      <w:proofErr w:type="spellStart"/>
      <w:r>
        <w:t>stabilising</w:t>
      </w:r>
      <w:proofErr w:type="spellEnd"/>
      <w:r>
        <w:t xml:space="preserve"> above ~6 samples per 10,000 km</w:t>
      </w:r>
      <w:r>
        <w:rPr>
          <w:vertAlign w:val="superscript"/>
        </w:rPr>
        <w:t>2</w:t>
      </w:r>
      <w:r>
        <w:t>.</w:t>
      </w:r>
    </w:p>
    <w:p w14:paraId="78FB4D89" w14:textId="77777777" w:rsidR="000D6CB9" w:rsidRDefault="00000000">
      <w:pPr>
        <w:pStyle w:val="BodyText"/>
        <w:spacing w:line="480" w:lineRule="auto"/>
      </w:pPr>
      <w:r>
        <w:t xml:space="preserve">6. </w:t>
      </w:r>
      <w:r>
        <w:rPr>
          <w:i/>
          <w:iCs/>
        </w:rPr>
        <w:t>Synthesis and applications</w:t>
      </w:r>
      <w:r>
        <w:t xml:space="preserve">. Optimal eDNA sampling effort depends on the patchiness of the target </w:t>
      </w:r>
      <w:proofErr w:type="spellStart"/>
      <w:r>
        <w:t>taxon</w:t>
      </w:r>
      <w:proofErr w:type="spellEnd"/>
      <w:r>
        <w:t xml:space="preserve"> and on the purpose of the survey. Our error model can be inverted to convert a required precision and a prior estimate of spatial autocorrelation into a minimum sampling density, letting survey designers allocate ship time before a cruise. Across the California Current, 4–9 samples per </w:t>
      </w:r>
      <w:r>
        <w:lastRenderedPageBreak/>
        <w:t>10,000 km</w:t>
      </w:r>
      <w:r>
        <w:rPr>
          <w:vertAlign w:val="superscript"/>
        </w:rPr>
        <w:t>2</w:t>
      </w:r>
      <w:r>
        <w:t xml:space="preserve"> per depth layer spanned the point of diminishing returns, modestly above the existing eDNA and </w:t>
      </w:r>
      <w:proofErr w:type="spellStart"/>
      <w:r>
        <w:t>CalCOFI</w:t>
      </w:r>
      <w:proofErr w:type="spellEnd"/>
      <w:r>
        <w:t xml:space="preserve"> grids (3.6 and 3.4 samples per 10,000 km</w:t>
      </w:r>
      <w:r>
        <w:rPr>
          <w:vertAlign w:val="superscript"/>
        </w:rPr>
        <w:t>2</w:t>
      </w:r>
      <w:r>
        <w:t xml:space="preserve">). </w:t>
      </w:r>
      <w:proofErr w:type="spellStart"/>
      <w:r>
        <w:t>Programmes</w:t>
      </w:r>
      <w:proofErr w:type="spellEnd"/>
      <w:r>
        <w:t xml:space="preserve"> producing abundance indices for stock assessment can operate near current effort; those mapping fine-scale distributions need denser designs including clusters of closely spaced stations.</w:t>
      </w:r>
    </w:p>
    <w:p w14:paraId="4345CD1D" w14:textId="77777777" w:rsidR="003B5D12" w:rsidRPr="00915163" w:rsidRDefault="003B5D12" w:rsidP="001643E6">
      <w:pPr>
        <w:pStyle w:val="BodyText"/>
        <w:spacing w:line="480" w:lineRule="auto"/>
      </w:pPr>
    </w:p>
    <w:p w14:paraId="5516F177" w14:textId="52892F70" w:rsidR="0032076E" w:rsidRDefault="00D04708" w:rsidP="001643E6">
      <w:pPr>
        <w:pStyle w:val="FirstParagraph"/>
        <w:spacing w:line="480" w:lineRule="auto"/>
      </w:pPr>
      <w:r>
        <w:rPr>
          <w:b/>
        </w:rPr>
        <w:t>Keywords</w:t>
      </w:r>
      <w:r>
        <w:t>: biodiversity monitoring, environmental DNA, fisheries management, Gaussian process, metabarcoding, sampling design, spatial autocorrelation, survey cost-effectiveness</w:t>
      </w:r>
    </w:p>
    <w:p w14:paraId="6B62DA99" w14:textId="77777777" w:rsidR="00D477E6" w:rsidRPr="00D477E6" w:rsidRDefault="00D477E6" w:rsidP="001643E6">
      <w:pPr>
        <w:pStyle w:val="BodyText"/>
        <w:spacing w:line="480" w:lineRule="auto"/>
      </w:pPr>
    </w:p>
    <w:p w14:paraId="5516F178" w14:textId="77777777" w:rsidR="0032076E" w:rsidRDefault="00D04708" w:rsidP="001643E6">
      <w:pPr>
        <w:pStyle w:val="Heading1"/>
        <w:spacing w:before="0" w:after="0" w:line="480" w:lineRule="auto"/>
      </w:pPr>
      <w:bookmarkStart w:id="2" w:name="introduction"/>
      <w:bookmarkEnd w:id="0"/>
      <w:r>
        <w:t>Introduction</w:t>
      </w:r>
    </w:p>
    <w:p w14:paraId="12A3A315" w14:textId="358CA57E" w:rsidR="00E656D3" w:rsidRDefault="00686350" w:rsidP="001643E6">
      <w:pPr>
        <w:pStyle w:val="BodyText"/>
        <w:spacing w:line="480" w:lineRule="auto"/>
      </w:pPr>
      <w:bookmarkStart w:id="3" w:name="OLE_LINK9"/>
      <w:r>
        <w:t xml:space="preserve">Biodiversity monitoring </w:t>
      </w:r>
      <w:proofErr w:type="spellStart"/>
      <w:r>
        <w:t>programmes</w:t>
      </w:r>
      <w:proofErr w:type="spellEnd"/>
      <w:r>
        <w:t xml:space="preserve"> underpin decisions about where to fish, what to protect and how to report progress against national and international conservation targets, yet the budgets available to them are effectively fixed. How many samples to collect, and where, is therefore a management decision as much as a statistical one</w:t>
      </w:r>
      <w:r w:rsidR="00B44D15">
        <w:t xml:space="preserve"> </w:t>
      </w:r>
      <w:r w:rsidR="00B44D15">
        <w:fldChar w:fldCharType="begin"/>
      </w:r>
      <w:r w:rsidR="00B44D15">
        <w:instrText xml:space="preserve"> ADDIN ZOTERO_ITEM CSL_CITATION {"citationID":"tecIVbvI","properties":{"unsorted":false,"formattedCitation":"(Yoccoz et al., 2001)","plainCitation":"(Yoccoz et al., 2001)","noteIndex":0},"citationItems":[{"id":4699,"uris":["http://zotero.org/users/9456007/items/6HQLU6XX"],"itemData":{"id":4699,"type":"article-journal","citation-key":"yoccoz2001","container-title":"Trends in Ecology &amp; Evolution","DOI":"10.1016/S0169-5347(01)02205-4","ISSN":"01695347","issue":"8","journalAbbreviation":"Trends in Ecology &amp; Evolution","language":"en","license":"https://www.elsevier.com/tdm/userlicense/1.0/","page":"446-453","source":"DOI.org (Crossref)","title":"Monitoring of biological diversity in space and time","volume":"16","author":[{"family":"Yoccoz","given":"Nigel G."},{"family":"Nichols","given":"James D."},{"family":"Boulinier","given":"Thierry"}],"issued":{"date-parts":[["2001",8]]}}}],"schema":"https://github.com/citation-style-language/schema/raw/master/csl-citation.json"} </w:instrText>
      </w:r>
      <w:r w:rsidR="00B44D15">
        <w:fldChar w:fldCharType="separate"/>
      </w:r>
      <w:r w:rsidR="00B44D15">
        <w:rPr>
          <w:noProof/>
        </w:rPr>
        <w:t>(Yoccoz et al., 2001)</w:t>
      </w:r>
      <w:r w:rsidR="00B44D15">
        <w:fldChar w:fldCharType="end"/>
      </w:r>
      <w:r w:rsidR="00B44D15">
        <w:t>.</w:t>
      </w:r>
      <w:r>
        <w:t xml:space="preserve"> Survey design must balance the need for sufficient data for detecting trends and changes in population while also minimizing cost (i.e., maximizing sampling efficiency)</w:t>
      </w:r>
      <w:r w:rsidR="008A6B47" w:rsidRPr="008A6B47">
        <w:t xml:space="preserve"> </w:t>
      </w:r>
      <w:r w:rsidR="008A6B47">
        <w:fldChar w:fldCharType="begin"/>
      </w:r>
      <w:r w:rsidR="00AA6C90">
        <w:instrText xml:space="preserve"> ADDIN ZOTERO_ITEM CSL_CITATION {"citationID":"M9vGpHeW","properties":{"unsorted":false,"formattedCitation":"(Stein &amp; Ettema, 2003; Xu et al., 2015; Zhao et al., 2022)","plainCitation":"(Stein &amp; Ettema, 2003; Xu et al., 2015; Zhao et al., 2022)","noteIndex":0},"citationItems":[{"id":4563,"uris":["http://zotero.org/users/9456007/items/D2YHP9BP"],"itemData":{"id":4563,"type":"article-journal","citation-key":"stein2003","container-title":"Agriculture, Ecosystems &amp; Environment","DOI":"10.1016/S0167-8809(02)00013-0","ISSN":"01678809","issue":"1","journalAbbreviation":"Agriculture, Ecosystems &amp; Environment","language":"en","license":"https://www.elsevier.com/tdm/userlicense/1.0/","page":"31-47","source":"DOI.org (Crossref)","title":"An overview of spatial sampling procedures and experimental design of spatial studies for ecosystem comparisons","volume":"94","author":[{"family":"Stein","given":"Alfred"},{"family":"Ettema","given":"Christien"}],"issued":{"date-parts":[["2003",1]]}}},{"id":4250,"uris":["http://zotero.org/users/9456007/items/DKL9ISHA"],"itemData":{"id":4250,"type":"article-journal","citation-key":"xu2015","container-title":"Environmental Monitoring and Assessment","DOI":"10.1007/s10661-015-4483-9","ISSN":"0167-6369, 1573-2959","issue":"5","journalAbbreviation":"Environ Monit Assess","language":"en","license":"http://www.springer.com/tdm","note":"59 citations (Crossref/DOI) [2026-01-20]\n58 citations (Crossref/DOI) [2025-11-07]\n57 citations (Crossref/DOI) [2025-10-27]","publisher":"Springer Science and Business Media LLC","source":"Crossref","title":"Optimization of sampling effort for a fishery-independent survey with multiple goals","URL":"http://link.springer.com/10.1007/s10661-015-4483-9","volume":"187","author":[{"family":"Xu","given":"Binduo"},{"family":"Zhang","given":"Chongliang"},{"family":"Xue","given":"Ying"},{"family":"Ren","given":"Yiping"},{"family":"Chen","given":"Yong"}],"accessed":{"date-parts":[["2025",7,7]]},"issued":{"date-parts":[["2015",5]]}}},{"id":4255,"uris":["http://zotero.org/users/9456007/items/3S288ECW"],"itemData":{"id":4255,"type":"article-journal","abstract":"Abstract               The Yangtze River Estuary (YRE) plays an important role in the conservation of fishery resources in the Yangtze River basin, and the Chinese government has established a special fishing ban management area at the YRE. To assess effects of the fishing ban, survey design and appropriate effort need to be determined and implemented. This study used long-term trawl survey data of the YRE (2004–2017) to explore the effects of survey effort (8–30 continuous survey stations selected by systematic and stratified sampling) on precision and accuracy of estimates of abundance of different fishery groups in the YRE. Estimated precision for a given number of survey stations varied by season and fishery group. Precision of systematic sampling fluctuated with the number of stations. Precision of stratified sampling with a proportional allocation scheme gradually increased with the number of survey stations. We suggest including 15–20 survey stations for all fishery groups sampled using the examined sampling methods.This study provides a research reference for selecting the survey effort (number of survey stations) for a fishery-independent survey in the YRE under the backgroud of conservation.","citation-key":"zhao2022","container-title":"Marine and Coastal Fisheries","DOI":"10.1002/mcf2.10214","ISSN":"1942-5120","issue":"4","language":"en","license":"https://creativecommons.org/licenses/by/4.0/","note":"1 citations (Crossref/DOI) [2026-01-20]\n1 citations (Crossref/DOI) [2025-11-07]\n1 citations (Crossref/DOI) [2025-10-27]","publisher":"Oxford University Press (OUP)","source":"Crossref","title":"Optimization of Sampling Effort for Different Fishery Groups in the Yangtze River Estuary, China","URL":"https://academic.oup.com/mcf/article/doi/10.1002/mcf2.10214/7819907","volume":"14","author":[{"family":"Zhao","given":"Jing"},{"family":"Yang","given":"Keer"},{"family":"Ma","given":"Jin"}],"accessed":{"date-parts":[["2025",7,7]]},"issued":{"date-parts":[["2022",8,1]]}}}],"schema":"https://github.com/citation-style-language/schema/raw/master/csl-citation.json"} </w:instrText>
      </w:r>
      <w:r w:rsidR="008A6B47">
        <w:fldChar w:fldCharType="separate"/>
      </w:r>
      <w:r w:rsidR="00556224">
        <w:rPr>
          <w:noProof/>
        </w:rPr>
        <w:t>(Stein &amp; Ettema, 2003; Xu et al., 2015; Zhao et al., 2022)</w:t>
      </w:r>
      <w:r w:rsidR="008A6B47">
        <w:fldChar w:fldCharType="end"/>
      </w:r>
      <w:r w:rsidR="009841AD">
        <w:t>.</w:t>
      </w:r>
    </w:p>
    <w:bookmarkEnd w:id="3"/>
    <w:p w14:paraId="25688A63" w14:textId="77777777" w:rsidR="00D477E6" w:rsidRDefault="00D477E6" w:rsidP="001643E6">
      <w:pPr>
        <w:pStyle w:val="BodyText"/>
        <w:spacing w:line="480" w:lineRule="auto"/>
      </w:pPr>
    </w:p>
    <w:p w14:paraId="0267C06D" w14:textId="537E66ED" w:rsidR="00CE6B24" w:rsidRDefault="0066533A" w:rsidP="001643E6">
      <w:pPr>
        <w:pStyle w:val="BodyText"/>
        <w:spacing w:line="480" w:lineRule="auto"/>
      </w:pPr>
      <w:r>
        <w:t>The emergence of environmental DNA (eDNA) sampling has revolutionized monitoring capabilities, offering a non-invasive method to detect species presence and estimate relative abundance</w:t>
      </w:r>
      <w:r w:rsidR="009841AD" w:rsidRPr="009841AD">
        <w:t xml:space="preserve"> </w:t>
      </w:r>
      <w:r w:rsidR="009841AD">
        <w:fldChar w:fldCharType="begin"/>
      </w:r>
      <w:r w:rsidR="00FA3259">
        <w:instrText xml:space="preserve"> ADDIN ZOTERO_ITEM CSL_CITATION {"citationID":"AbgBOqqe","properties":{"unsorted":false,"formattedCitation":"(Gold et al., 2021; Shelton et al., 2022; Taberlet et al., 2012)","plainCitation":"(Gold et al., 2021; Shelton et al., 2022; Taberlet et al., 2012)","noteIndex":0},"citationItems":[{"id":728,"uris":["http://zotero.org/users/9456007/items/5YIPCZWJ"],"itemData":{"id":728,"type":"article-journal","abstract":"Monitoring of marine protected areas (MPAs) is critical for marine ecosystem management, yet current protocols rely on SCUBA-based visual surveys that are costly and time consuming, limiting their scope and effectiveness. Environmental DNA (eDNA) metabarcoding is a promising alternative for marine ecosystem monitoring, but more direct comparisons to visual surveys are needed to understand the strengths and limitations of each approach. This study compares fish communities inside and outside the Scorpion State Marine Reserve off Santa Cruz Island, CA using eDNA metabarcoding and underwater visual census surveys. Results from eDNA captured 76% (19/25) of fish species and 95% (19/20) of fish genera observed during pairwise underwater visual census. Species missed by eDNA were due to the inability of MiFish 12S barcodes to differentiate species of rockfishes (Sebastes, n = 4) or low site occupancy rates of crevice-dwelling Lythrypnus gobies. However, eDNA detected an additional 23 fish species not recorded in paired visual surveys, but previously reported from prior visual surveys, highlighting the sensitivity of eDNA. Significant variation in eDNA signatures by location (50 m) and site (~1000 m) demonstrates the sensitivity of eDNA to address key questions such as community composition inside and outside MPAs. Results demonstrate the utility of eDNA metabarcoding for monitoring marine ecosystems, providing an important complementary tool to visual methods.","citation-key":"gold2021","container-title":"PLoS ONE","DOI":"10.1371/journal.pone.0238557","ISSN":"19326203","issue":"2 February 2021","note":"162 citations (Crossref/DOI) [2026-01-20]\n158 citations (Crossref/DOI) [2025-10-27]\n61 citations (Crossref) [2023-10-02]\n11 citations (Semantic Scholar/DOI) [2022-05-12]\nISBN: 1111111111","page":"1-19","PMID":"33626067","title":"eDNA metabarcoding as a biomonitoring tool for marine protected areas","volume":"16","author":[{"family":"Gold","given":"Zachary"},{"family":"Sprague","given":"Joshua"},{"family":"Kushner","given":"David J."},{"family":"Marin","given":"Erick Zerecero"},{"family":"Barber","given":"Paul H."}],"issued":{"date-parts":[["2021"]]}}},{"id":749,"uris":["http://zotero.org/users/9456007/items/R4RSPWHM"],"itemData":{"id":749,"type":"article-journal","abstract":"All species inevitably leave genetic traces in their environments, and the resulting environmental DNA (eDNA) reflects the species present in a given habitat. It remains unclear whether eDNA signals can provide quantitative metrics of abundance on which human livelihoods or conservation successes depend. Here, we report the results of a large eDNA ocean survey (spanning 86 000 km\n              2\n              to depths of 500 m) to understand the abundance and distribution of Pacific hake (\n              Merluccius productus\n              ), the target of the largest finfish fishery along the west coast of the USA. We sampled eDNA in parallel with a traditional acoustic-trawl survey to assess the value of eDNA surveys at a scale relevant to fisheries management. Despite local differences, the two methods yield comparable information about the broad-scale spatial distribution and abundance. Furthermore, we find depth and spatial patterns of eDNA closely correspond to acoustic-trawl estimates for hake. We demonstrate the power and efficacy of eDNA sampling for estimating abundance and distribution and move the analysis eDNA data beyond sample-to-sample comparisons to management relevant scales. We posit that eDNA methods are capable of providing general quantitative applications that will prove especially valuable in data- or resource-limited contexts.","citation-key":"shelton2022","container-title":"Proceedings of the Royal Society B: Biological Sciences","DOI":"https://doi.org/10.1098/rspb.2021.2613","ISSN":"0962-8452, 1471-2954","issue":"1971","journalAbbreviation":"Proc. R. Soc. B.","language":"en","note":"76 citations (Crossref/DOI) [2026-01-20]\n71 citations (Crossref/DOI) [2025-10-27]\n32 citations (Crossref) [2023-10-02]\n1 citations (Semantic Scholar/DOI) [2022-05-12]","page":"20212613","source":"DOI.org (Crossref)","title":"Environmental DNA provides quantitative estimates of Pacific hake abundance and distribution in the open ocean","volume":"289","author":[{"family":"Shelton","given":"Andrew Olaf"},{"family":"Ramón-Laca","given":"Ana"},{"family":"Wells","given":"Abigail"},{"family":"Clemons","given":"Julia"},{"family":"Chu","given":"Dezhang"},{"family":"Feist","given":"Blake E."},{"family":"Kelly","given":"Ryan P."},{"family":"Parker-Stetter","given":"Sandra L."},{"family":"Thomas","given":"Rebecca"},{"family":"Nichols","given":"Krista M."},{"family":"Park","given":"Linda"}],"issued":{"date-parts":[["2022",3,30]]}}},{"id":537,"uris":["http://zotero.org/users/9456007/items/N68ZGY3Y"],"itemData":{"id":537,"type":"article-journal","citation-key":"taberlet2012","container-title":"Molecular Ecology","DOI":"10.1111/j.1365-294X.2012.05542.x","ISSN":"09621083","issue":"8","language":"en","note":"1092 citations (Crossref/DOI) [2026-01-20]\n1057 citations (Crossref/DOI) [2025-10-27]\n1057 citations (Crossref/DOI) [2025-10-27]\n881 citations (Semantic Scholar/DOI) [2022-05-13]","page":"1789-1793","source":"DOI.org (Crossref)","title":"Environmental DNA","title-short":"Environmental DNA","volume":"21","author":[{"family":"Taberlet","given":"Pierre"},{"family":"Coissac","given":"Eric"},{"family":"Hajibabaei","given":"Mehrdad"},{"family":"Rieseberg","given":"Loren H."}],"issued":{"date-parts":[["2012",4]]}}}],"schema":"https://github.com/citation-style-language/schema/raw/master/csl-citation.json"} </w:instrText>
      </w:r>
      <w:r w:rsidR="009841AD">
        <w:fldChar w:fldCharType="separate"/>
      </w:r>
      <w:r w:rsidR="00FA3259">
        <w:rPr>
          <w:noProof/>
        </w:rPr>
        <w:t>(Gold et al., 2021; Shelton et al., 2022; Taberlet et al., 2012)</w:t>
      </w:r>
      <w:r w:rsidR="009841AD">
        <w:fldChar w:fldCharType="end"/>
      </w:r>
      <w:r w:rsidR="00CC7677">
        <w:t>.</w:t>
      </w:r>
      <w:r>
        <w:t xml:space="preserve"> </w:t>
      </w:r>
      <w:r w:rsidR="00C72FBD" w:rsidRPr="00C72FBD">
        <w:t>Recent synthesis work shows that eDNA methods have matured sufficiently for key uncertainties to be quantified and incorporated into existing fisheries stock-assessment frameworks, enabling the development of cost-effective abundance indices that complement conventional surveys</w:t>
      </w:r>
      <w:r w:rsidR="00C72FBD">
        <w:t xml:space="preserve"> </w:t>
      </w:r>
      <w:r w:rsidR="00A45D3E">
        <w:fldChar w:fldCharType="begin"/>
      </w:r>
      <w:r w:rsidR="00E54BD9">
        <w:instrText xml:space="preserve"> ADDIN ZOTERO_ITEM CSL_CITATION {"citationID":"8fmPfxNk","properties":{"unsorted":false,"formattedCitation":"(Baetscher et al., 2025; Guri et al., 2024; Kirtane et al., 2021; Salter et al., 2026)","plainCitation":"(Baetscher et al., 2025; Guri et al., 2024; Kirtane et al., 2021; Salter et al., 2026)","noteIndex":0},"citationItems":[{"id":4234,"uris":["http://zotero.org/users/9456007/items/7W8EAA72"],"itemData":{"id":4234,"type":"article-journal","abstract":"ABSTRACT\n            \n              The ‘omics revolution’ has advanced scientific understanding of marine ecosystems and led to a rapid increase in data that can inform species' population structure, distribution, and abundance. Of the 'omics data types, environmental DNA (eDNA) may present the most cost‐effective opportunity for developing quantitative estimates of abundance trends, a key input for stock assessment models. However, eDNA has yet to be widely adopted for stock status determinations within regional fisheries management organisations. We review progress towards addressing key challenges that limited the application of eDNA in marine fisheries management, including advances in (1) the quantitative relationship between eDNA observations and species biomass, (2) reducing false‐negative and false‐positive detections, (3) defining the spatial scale of eDNA, (4) collecting biological data from eDNA surveys, (5) quantifying uncertainty in eDNA surveys, and (6) responding to scepticism of new survey methods. We use a case study with Pacific hake (\n              \n                Merluccius productus\n              \n              ) to demonstrate the development of an eDNA index and its direct integration into an age‐structured stock assessment model. Given the many ways in which the field of eDNA has matured, we propose that eDNA can meaningfully inform a range of fisheries management needs, and outline a roadmap for using eDNA in stock assessment models in data‐limited to data‐rich species. A primary impediment to operationalising eDNA as stock assessment model inputs is the lack of interdisciplinary research teams, including geneticists, ecological modellers, and stock assessment scientists, which are necessary to interpret methods and results across scientific disciplines and ensure data are used appropriately.","citation-key":"baetscher2025","container-title":"Fish and Fisheries","DOI":"10.1111/faf.70001","ISSN":"1467-2960, 1467-2979","journalAbbreviation":"Fish and Fisheries","language":"en","note":"2 citations (Crossref/DOI) [2026-01-20]\n0 citations (Crossref/DOI) [2025-10-27]\n0 citations (Crossref/DOI) [2025-10-27]","page":"faf.70001","source":"DOI.org (Crossref)","title":"The Pragmatic Sceptic: A Practical Approach for Integrating Environmental &lt;span style=\"font-variant:small-caps;\"&gt;DNA&lt;/span&gt; Into Marine Stock Assessment and Fisheries Management","title-short":"The Pragmatic Sceptic","author":[{"family":"Baetscher","given":"Diana S."},{"family":"Omori","given":"Kristen L."},{"family":"Goethel","given":"Daniel R."},{"family":"Shelton","given":"Andrew Olaf"},{"family":"Berger","given":"Aaron M."},{"family":"Ledger","given":"Kimberly J."},{"family":"Nichols","given":"Krista M."},{"family":"Larson","given":"Wesley A."}],"issued":{"date-parts":[["2025",6,24]]}}},{"id":619,"uris":["http://zotero.org/users/9456007/items/HEWRJKJD"],"itemData":{"id":619,"type":"article-journal","abstract":"Abstract\n            Quantifying the biomass, or number of individuals, diversity, and distribution of marine species is a critical aspect of understanding and managing marine ecosystems. In recent years, there has been growing interest in using environmental DNA (eDNA) for marine ecosystem management and biodiversity assessment. However, the main challenge hindering eDNA applicability has been the inability to infer absolute species abundances from multispecies analysis (eDNA metabarcoding). In this study, we demonstrate a way forward by estimating the abundance of commercially important fish species in a Norwegian fjord using a joint Bayesian statistical model of traditional trawl-catch data and molecular data derived from eDNA. Using this model, we accurately predict out-of-sample trawl catches using eDNA alone. Moreover, our model provides empirical estimates for key processes linking marine eDNA concentration to the fish population abundance estimated from trawl observations, including trawl catchability, DNA shedding, degradation, dilution, transport, recovery rate, and isolation efficiency. These processes, including amplification efficiencies correcting for Polymerase Chain Reaction (PCR) bias, are species-specific and enable the translation of eDNA metabarcoding data into abundances. These findings have broad implications for the use of eDNA in marine ecosystem management and conservation efforts.","citation-key":"guri2024a","container-title":"ICES Journal of Marine Science","DOI":"10.1093/icesjms/fsae097","ISSN":"1054-3139, 1095-9289","language":"en","license":"https://creativecommons.org/licenses/by/4.0/","note":"24 citations (Crossref/DOI) [2026-01-20]\n20 citations (Crossref/DOI) [2025-12-02]\n17 citations (Crossref/DOI) [2025-10-27]\n16 citations (Semantic Scholar/DOI) [2025-10-27]\n17 citations (Crossref/DOI) [2025-10-27]","page":"fsae097","source":"DOI.org (Crossref)","title":"Predicting trawl catches using environmental DNA","author":[{"family":"Guri","given":"Gledis"},{"family":"Shelton","given":"Andrew Olaf"},{"family":"Kelly","given":"Ryan P"},{"family":"Yoccoz","given":"Nigel"},{"family":"Johansen","given":"Torild"},{"family":"Præbel","given":"Kim"},{"family":"Hanebrekke","given":"Tanja"},{"family":"Ray","given":"Jessica Louise"},{"family":"Fall","given":"Johanna"},{"family":"Westgaard","given":"Jon-Ivar"}],"editor":[{"family":"Grant","given":"W Stewart"}],"issued":{"date-parts":[["2024",8,7]]}}},{"id":4609,"uris":["http://zotero.org/users/9456007/items/M2PQPTJA"],"itemData":{"id":4609,"type":"article-journal","abstract":"Abstract\n            \n              Stock assessments are critical to inform decisions for sustainable fisheries management. Environmental DNA (eDNA) analysis is a potential tool for assessing fish biomass and populations to aid in stock assessments. To facilitate modeling of biomass based on eDNA data, shedding and decay rates are needed. We designed species‐specific, probe‐based qPCR assays for three economically important fish species: black sea bass (\n              Centropristis striata\n              ), winter flounder (\n              Pseudopleuronectes americanus\n              ), and summer flounder (\n              Paralichthys dentatus\n              ). Winter flounder eDNA was measured using two qPCR assays (135 and 292 bp). We report the eDNA shedding and decay rates and the associated variability from two replicate experimental systems. The eDNA decay rates were not significantly different between all species. The eDNA shedding rates between the two replicate systems were significantly different for winter flounder (135 bp assay) and summer flounder. qPCR amplicon length did not affect the eDNA decay rates for winter flounder. The three new qPCR assays were tested in environmental waters alongside traditional trawl surveys. No eDNA from BSB, WF, or SF was detected by eDNA methods, and out of 13 bottom trawls over 6 days only 1 WF, 1 SF, and 2 BSB were caught. This research presents three new, efficient qPCR assays and shows agreement between eDNA methods and trawl surveys suggesting low abundance or absence of target fish.","citation-key":"kirtane2021","container-title":"Environmental DNA","DOI":"10.1002/edn3.236","ISSN":"2637-4943, 2637-4943","issue":"6","journalAbbreviation":"Environmental DNA","language":"en","page":"1142-1155","source":"DOI.org (Crossref)","title":"Quantification of Environmental DNA (eDNA) shedding and decay rates for three commercially harvested fish species and comparison between eDNA detection and trawl catches","volume":"3","author":[{"family":"Kirtane","given":"Anish"},{"family":"Wieczorek","given":"Daniel"},{"family":"Noji","given":"Thomas"},{"family":"Baskin","given":"Liza"},{"family":"Ober","given":"Claire"},{"family":"Plosica","given":"Riley"},{"family":"Chenoweth","given":"Ashley"},{"family":"Lynch","given":"Katie"},{"family":"Sassoubre","given":"Lauren"}],"issued":{"date-parts":[["2021",11]]}}},{"id":4619,"uris":["http://zotero.org/users/9456007/items/STH6EZGE"],"itemData":{"id":4619,"type":"article-journal","abstract":"ABSTRACT\n            \n              Environmental DNA (eDNA) has emerged as a promising tool for studying fish dynamics in aquatic environments. However, the quantitative capabilities of eDNA metabarcoding, especially in marine systems, remain contentious due to limited comparative studies. This study presents a comparison between a standardized trawl survey and eDNA metabarcoding (12S) in demersal fishing grounds around the Faroe Islands. Data were collected at 26 sites distributed across six regions. A total of 31 fish species were detected from trawls. Inclusion of Molecular Operational Taxonomic Units increased survey taxa richness by 151% to 47, with 21 species shared between methods, 11 unique to trawling, and 15 unique to eDNA. Unique trawl detections were linked to low biomass species (rarity) and technical limitations in species differentiation (e.g.,\n              Sebastes\n              spp.). Unique eDNA detections were associated with rarity, size, gear‐behavioral traits, and pelagic species. For taxa detected by both methods, total reads were positively correlated with trawl biomass over the survey area (\n              r\n               = 0.85,\n              q\n               &lt; 0.001), but not by site or region. Accounting for stochastic amplification in technical replicates improved the survey‐wide eDNA‐biomass correlation (\n              r\n               = 0.91,\n              q\n               &lt; 0.001). Regional distribution of sandeel eDNA agreed with stomach contents of\n              \n                Gadus morhua\n              \n              , providing information on its spatial distribution otherwise missed by trawling. Overall, eDNA metabarcoding identified small species under‐sampled by trawl gear, thus enhancing species richness when methods were combined. The study also highlighted the potential for eDNA to describe the spatial distribution of sandeel, a keystone species in the Faroese marine ecosystem, and generated reliable quantitative estimates of species rank biomass. However, the study highlights limitations of both eDNA and trawling that are problematic in marine systems: (i) detection of low biomass species, (ii) variability over small spatial scales, and some limitations specific to eDNA: (iii) vertical mixing of eDNA signals from pelagic and demersal habitats.","citation-key":"salter2026","container-title":"Environmental DNA","DOI":"10.1002/edn3.70253","ISSN":"2637-4943, 2637-4943","issue":"2","journalAbbreviation":"Environmental DNA","language":"en","page":"e70253","source":"DOI.org (Crossref)","title":"Comparison of Environmental &lt;span style=\"font-variant:small-caps;\"&gt;DNA&lt;/span&gt; Metabarcoding and Trawl Data Highlights Gear Selectivity of Marine Demersal Fish Surveys on the Faroese Plateau","title-short":"Comparison of Environmental &lt;span style=\"font-variant","volume":"8","author":[{"family":"Salter","given":"I."},{"family":"Brandner","given":"M."},{"family":"Djurhuus","given":"A."},{"family":"Præbel","given":"K."},{"family":"Wangensteen","given":"O."}],"issued":{"date-parts":[["2026",3]]}}}],"schema":"https://github.com/citation-style-language/schema/raw/master/csl-citation.json"} </w:instrText>
      </w:r>
      <w:r w:rsidR="00A45D3E">
        <w:fldChar w:fldCharType="separate"/>
      </w:r>
      <w:r w:rsidR="00E54BD9">
        <w:rPr>
          <w:noProof/>
        </w:rPr>
        <w:t xml:space="preserve">(Baetscher et al., 2025; </w:t>
      </w:r>
      <w:r w:rsidR="00E54BD9">
        <w:rPr>
          <w:noProof/>
        </w:rPr>
        <w:lastRenderedPageBreak/>
        <w:t>Guri et al., 2024; Kirtane et al., 2021; Salter et al., 2026)</w:t>
      </w:r>
      <w:r w:rsidR="00A45D3E">
        <w:fldChar w:fldCharType="end"/>
      </w:r>
      <w:r>
        <w:t>. Because agencies are now evaluating eDNA as an operational component of biodiversity assessment rather than as an exploratory tool, explicit and defensible guidance on how much to sample has become a prerequisite for uptake rather than a refinement of it.</w:t>
      </w:r>
    </w:p>
    <w:p w14:paraId="2A2BAAFC" w14:textId="77777777" w:rsidR="00BF4A9D" w:rsidRDefault="00BF4A9D" w:rsidP="001643E6">
      <w:pPr>
        <w:pStyle w:val="BodyText"/>
        <w:spacing w:line="480" w:lineRule="auto"/>
      </w:pPr>
    </w:p>
    <w:p w14:paraId="204E2337" w14:textId="7B540BBC" w:rsidR="00BF4A9D" w:rsidRDefault="00BF4A9D" w:rsidP="001643E6">
      <w:pPr>
        <w:pStyle w:val="BodyText"/>
        <w:spacing w:line="480" w:lineRule="auto"/>
      </w:pPr>
      <w:r w:rsidRPr="00BF4A9D">
        <w:t>While increased sampling intensity generally reduces variance in population estimates and improves the precision of spatial pattern detection</w:t>
      </w:r>
      <w:r w:rsidR="00403804">
        <w:t xml:space="preserve"> in species distribution models</w:t>
      </w:r>
      <w:r w:rsidR="00184B5A">
        <w:t xml:space="preserve"> </w:t>
      </w:r>
      <w:r w:rsidR="00BC0903">
        <w:fldChar w:fldCharType="begin"/>
      </w:r>
      <w:r w:rsidR="00BC0903">
        <w:instrText xml:space="preserve"> ADDIN ZOTERO_ITEM CSL_CITATION {"citationID":"jNczS9yI","properties":{"unsorted":false,"formattedCitation":"(Schweiger et al., 2016)","plainCitation":"(Schweiger et al., 2016)","noteIndex":0},"citationItems":[{"id":4564,"uris":["http://zotero.org/users/9456007/items/TRH28V7D"],"itemData":{"id":4564,"type":"article-journal","abstract":"Summary\n            \n              \n                \n                  Natural scientists and especially ecologists use manipulative experiments or field observations along gradients to differentiate patterns driven by processes from those caused by random noise. A well‐conceived sampling design is essential for identifying, analysing and reporting underlying patterns in a statistically solid and reproducible manner, given the normal restrictions in labour, time and money. However, a technical guideline about an adequate sampling design to maximize prediction success under restricted resources is lacking. This study aims at developing such a solid and reproducible guideline for sampling along gradients in all fields of ecology and science in general.\n                \n                \n                  We conducted simulations with artificial data for five common response types known in ecology, each represented by a simple function (no response, linear, exponential, symmetric unimodal and asymmetric unimodal). In the simulations, we accounted for different levels of random and systematic error, the two sources of noise in ecological data. We quantified prediction success for varying total sample size, number of locations sampled along a spatial/temporal gradient and number of replicates per sampled location.\n                \n                \n                  The number of replicates becomes more important with increasing random error, whereas replicates become less relevant for a systematic error bigger than 20% of total variation. Thus, if high levels of systematic error are indicated or expected (e.g. in field studies with spatial autocorrelation, unaccountable additional environmental drivers or population clustering), continuous sampling with little to no replication is recommended. In contrast, sampling designs with replications are recommended in studies that can control for systematic errors. In a setting that is characteristic for ecological experiments and field studies strictly controlling for undeterminable systematic error (random error ≥10% and systematic error ≤10% of total variation), prediction success was best for an intermediate number of sampled locations along the gradient (10–15) and a low number of replicates per location (3).\n                \n                \n                  Our findings from reproducible, statistical simulations will help design appropriate and efficient sampling approaches and avoid erroneous conclusions based on studies with flawed sampling design, which is currently one of the main targets of public criticism against science.","citation-key":"schweiger2016","container-title":"Methods in Ecology and Evolution","DOI":"10.1111/2041-210X.12495","ISSN":"2041-210X, 2041-210X","issue":"4","journalAbbreviation":"Methods Ecol Evol","language":"en","license":"http://onlinelibrary.wiley.com/termsAndConditions#vor","page":"463-471","source":"DOI.org (Crossref)","title":"Optimizing sampling approaches along ecological gradients","volume":"7","author":[{"family":"Schweiger","given":"Andreas H."},{"family":"Irl","given":"Severin D. H."},{"family":"Steinbauer","given":"Manuel J."},{"family":"Dengler","given":"Jürgen"},{"family":"Beierkuhnlein","given":"Carl"}],"editor":[{"family":"Schofield","given":"Matthew"}],"issued":{"date-parts":[["2016",4]]}}}],"schema":"https://github.com/citation-style-language/schema/raw/master/csl-citation.json"} </w:instrText>
      </w:r>
      <w:r w:rsidR="00BC0903">
        <w:fldChar w:fldCharType="separate"/>
      </w:r>
      <w:r w:rsidR="00BC0903">
        <w:rPr>
          <w:noProof/>
        </w:rPr>
        <w:t>(Schweiger et al., 2016)</w:t>
      </w:r>
      <w:r w:rsidR="00BC0903">
        <w:fldChar w:fldCharType="end"/>
      </w:r>
      <w:r w:rsidRPr="00BF4A9D">
        <w:t>, this relationship exhibits diminishing returns where beyond a certain threshold, additional sampling effort produces marginal gains in statistical precision that may not justify the associated costs and logistical demands</w:t>
      </w:r>
      <w:r w:rsidR="00063455">
        <w:t xml:space="preserve"> </w:t>
      </w:r>
      <w:r w:rsidR="00FF5201">
        <w:fldChar w:fldCharType="begin"/>
      </w:r>
      <w:r w:rsidR="00AA6C90">
        <w:instrText xml:space="preserve"> ADDIN ZOTERO_ITEM CSL_CITATION {"citationID":"ezGm6bUK","properties":{"unsorted":false,"formattedCitation":"(Perret et al., 2022; Zhao et al., 2022)","plainCitation":"(Perret et al., 2022; Zhao et al., 2022)","noteIndex":0},"citationItems":[{"id":4554,"uris":["http://zotero.org/users/9456007/items/XCN8G6HR"],"itemData":{"id":4554,"type":"article-journal","abstract":"Abstract\n            \n              \n                \n                  Population size is a crucial parameter for both ecological research and conservation planning. When individuals are aggregated, estimating the size of a population through sampling raises methodological challenges, as the high variance between sampling units leads to imprecise estimates. Choosing the right sample design depending on the population aggregation level could improve the precision of estimates; however, this is difficult because studies comparing sample designs for aggregated populations have been limited to a few populations and sampling designs, so their results cannot be generalised.\n                \n                \n                  To address this gap, we combined simulations of spatial point populations and field counts of three plant species to compare the relative precision of estimates between three sampling methods: simple random sampling (SRS), systematic sampling (SYS) and spatially balanced sampling (SBS). Comparisons were performed on density and aggregation gradients for a range of sample sizes.\n                \n                \n                  Our simulations showed that SYS and SBS were always more precise than SRS when individuals were aggregated, reducing sampling variance up to 80% and 60%. The highest precision for estimating population size was always obtained when the average distance between sampling units equalled the diameter of the clusters (i.e. the groups of individuals). The difference in precision was similar for the natural populations, with sampling variance lowered by up to 75% (SYS) and 60% (SBS) compared to SRS.\n                \n                \n                  These findings lead us to recommend using SYS or SBS rather than SRS to estimate population size when individuals are spatially aggregated, as these consistently provide more precise estimates. Assessing cluster diameters in the field enables a quick assessment of the potential gain in precision to expect, and thus the best choice of sampling method depending on the trade‐off between precision and field constraints.","citation-key":"perret2022","container-title":"Methods in Ecology and Evolution","DOI":"10.1111/2041-210X.14015","ISSN":"2041-210X, 2041-210X","issue":"12","journalAbbreviation":"Methods Ecol Evol","language":"en","page":"2743-2756","source":"DOI.org (Crossref)","title":"Spatially balanced sampling methods are always more precise than random ones for estimating the size of aggregated populations","volume":"13","author":[{"family":"Perret","given":"Jan"},{"family":"Charpentier","given":"Anne"},{"family":"Pradel","given":"Roger"},{"family":"Papuga","given":"Guillaume"},{"family":"Besnard","given":"Aurélien"}],"issued":{"date-parts":[["2022",12]]}}},{"id":4255,"uris":["http://zotero.org/users/9456007/items/3S288ECW"],"itemData":{"id":4255,"type":"article-journal","abstract":"Abstract               The Yangtze River Estuary (YRE) plays an important role in the conservation of fishery resources in the Yangtze River basin, and the Chinese government has established a special fishing ban management area at the YRE. To assess effects of the fishing ban, survey design and appropriate effort need to be determined and implemented. This study used long-term trawl survey data of the YRE (2004–2017) to explore the effects of survey effort (8–30 continuous survey stations selected by systematic and stratified sampling) on precision and accuracy of estimates of abundance of different fishery groups in the YRE. Estimated precision for a given number of survey stations varied by season and fishery group. Precision of systematic sampling fluctuated with the number of stations. Precision of stratified sampling with a proportional allocation scheme gradually increased with the number of survey stations. We suggest including 15–20 survey stations for all fishery groups sampled using the examined sampling methods.This study provides a research reference for selecting the survey effort (number of survey stations) for a fishery-independent survey in the YRE under the backgroud of conservation.","citation-key":"zhao2022","container-title":"Marine and Coastal Fisheries","DOI":"10.1002/mcf2.10214","ISSN":"1942-5120","issue":"4","language":"en","license":"https://creativecommons.org/licenses/by/4.0/","note":"1 citations (Crossref/DOI) [2026-01-20]\n1 citations (Crossref/DOI) [2025-11-07]\n1 citations (Crossref/DOI) [2025-10-27]","publisher":"Oxford University Press (OUP)","source":"Crossref","title":"Optimization of Sampling Effort for Different Fishery Groups in the Yangtze River Estuary, China","URL":"https://academic.oup.com/mcf/article/doi/10.1002/mcf2.10214/7819907","volume":"14","author":[{"family":"Zhao","given":"Jing"},{"family":"Yang","given":"Keer"},{"family":"Ma","given":"Jin"}],"accessed":{"date-parts":[["2025",7,7]]},"issued":{"date-parts":[["2022",8,1]]}}}],"schema":"https://github.com/citation-style-language/schema/raw/master/csl-citation.json"} </w:instrText>
      </w:r>
      <w:r w:rsidR="00FF5201">
        <w:fldChar w:fldCharType="separate"/>
      </w:r>
      <w:r w:rsidR="000B7F3C">
        <w:rPr>
          <w:noProof/>
        </w:rPr>
        <w:t>(Perret et al., 2022; Zhao et al., 2022)</w:t>
      </w:r>
      <w:r w:rsidR="00FF5201">
        <w:fldChar w:fldCharType="end"/>
      </w:r>
      <w:r>
        <w:t xml:space="preserve">. </w:t>
      </w:r>
    </w:p>
    <w:p w14:paraId="4D95D583" w14:textId="77777777" w:rsidR="001063EA" w:rsidRDefault="001063EA" w:rsidP="001643E6">
      <w:pPr>
        <w:pStyle w:val="BodyText"/>
        <w:spacing w:line="480" w:lineRule="auto"/>
      </w:pPr>
    </w:p>
    <w:p w14:paraId="5516F180" w14:textId="2B909493" w:rsidR="0032076E" w:rsidRDefault="001063EA" w:rsidP="001063EA">
      <w:pPr>
        <w:pStyle w:val="BodyText"/>
        <w:spacing w:line="480" w:lineRule="auto"/>
      </w:pPr>
      <w:r w:rsidRPr="001063EA">
        <w:t xml:space="preserve">We hypothesize that the sampling density a species requires depends on the distance over which its </w:t>
      </w:r>
      <w:r>
        <w:t xml:space="preserve">quantitative </w:t>
      </w:r>
      <w:r w:rsidRPr="001063EA">
        <w:t>distribution remains similar to itself — its spatial autocorrelation</w:t>
      </w:r>
      <w:r>
        <w:t xml:space="preserve"> </w:t>
      </w:r>
      <w:r w:rsidRPr="001063EA">
        <w:t xml:space="preserve">(ρ). A species with a long length-scale varies gradually and can be reconstructed from </w:t>
      </w:r>
      <w:r>
        <w:t>fewer</w:t>
      </w:r>
      <w:r w:rsidRPr="001063EA">
        <w:t xml:space="preserve"> </w:t>
      </w:r>
      <w:r>
        <w:t>samples</w:t>
      </w:r>
      <w:r w:rsidRPr="001063EA">
        <w:t>, whereas one with a short length-scale varies abruptly</w:t>
      </w:r>
      <w:r>
        <w:t>, hence</w:t>
      </w:r>
      <w:r w:rsidRPr="001063EA">
        <w:t xml:space="preserve"> </w:t>
      </w:r>
      <w:r>
        <w:t xml:space="preserve">requires more samples </w:t>
      </w:r>
      <w:r w:rsidRPr="001063EA">
        <w:t xml:space="preserve">(Figure 1). </w:t>
      </w:r>
      <w:r>
        <w:t>Hence, k</w:t>
      </w:r>
      <w:r w:rsidR="00222B88">
        <w:t>nowledge of</w:t>
      </w:r>
      <w:r w:rsidR="00D04708">
        <w:t xml:space="preserve"> </w:t>
      </w:r>
      <w:r w:rsidR="00AE1698" w:rsidRPr="00F71AC9">
        <w:t>species</w:t>
      </w:r>
      <w:r w:rsidR="00F905C7">
        <w:t xml:space="preserve">-specific </w:t>
      </w:r>
      <w:r w:rsidR="00D04708" w:rsidRPr="00F71AC9">
        <w:t>spatial autocorrelation</w:t>
      </w:r>
      <w:r w:rsidR="00C31296" w:rsidRPr="00F71AC9">
        <w:t xml:space="preserve"> </w:t>
      </w:r>
      <w:r w:rsidR="00D04708" w:rsidRPr="00F71AC9">
        <w:t xml:space="preserve">can provide a quantitative basis for </w:t>
      </w:r>
      <w:r w:rsidR="00222B88" w:rsidRPr="00F71AC9">
        <w:t xml:space="preserve">informing </w:t>
      </w:r>
      <w:r w:rsidR="00D04708" w:rsidRPr="00F71AC9">
        <w:t>sampling effort</w:t>
      </w:r>
      <w:r w:rsidR="00BE245B">
        <w:t xml:space="preserve"> </w:t>
      </w:r>
      <w:r w:rsidR="001365D9">
        <w:fldChar w:fldCharType="begin"/>
      </w:r>
      <w:r w:rsidR="001365D9">
        <w:instrText xml:space="preserve"> ADDIN ZOTERO_ITEM CSL_CITATION {"citationID":"IwwLP0cM","properties":{"unsorted":false,"formattedCitation":"(Fortin et al., 1989)","plainCitation":"(Fortin et al., 1989)","noteIndex":0},"citationItems":[{"id":4714,"uris":["http://zotero.org/users/9456007/items/X5EWCSYP"],"itemData":{"id":4714,"type":"article-journal","citation-key":"fortin1989","container-title":"Vegetatio","DOI":"10.1007/BF00031693","ISSN":"0042-3106, 1573-5052","issue":"1-2","journalAbbreviation":"Vegetatio","language":"en","license":"http://www.springer.com/tdm","page":"209-222","source":"DOI.org (Crossref)","title":"Spatial autocorrelation and sampling design in plant ecology","volume":"83","author":[{"family":"Fortin","given":"Marie-Jos�e"},{"family":"Drapeau","given":"Pierre"},{"family":"Legendre","given":"Pierre"}],"issued":{"date-parts":[["1989",10]]}}}],"schema":"https://github.com/citation-style-language/schema/raw/master/csl-citation.json"} </w:instrText>
      </w:r>
      <w:r w:rsidR="001365D9">
        <w:fldChar w:fldCharType="separate"/>
      </w:r>
      <w:r w:rsidR="001365D9">
        <w:rPr>
          <w:noProof/>
        </w:rPr>
        <w:t>(Fortin et al., 1989)</w:t>
      </w:r>
      <w:r w:rsidR="001365D9">
        <w:fldChar w:fldCharType="end"/>
      </w:r>
      <w:r w:rsidR="00FB27EA">
        <w:t xml:space="preserve">. </w:t>
      </w:r>
      <w:r>
        <w:t>Therefore</w:t>
      </w:r>
      <w:r w:rsidR="00C416FB">
        <w:t>, i</w:t>
      </w:r>
      <w:r w:rsidR="00D04708">
        <w:t xml:space="preserve">n this study, we </w:t>
      </w:r>
      <w:r w:rsidR="004B6CC9">
        <w:t xml:space="preserve">assess </w:t>
      </w:r>
      <w:r w:rsidR="00D04708">
        <w:t xml:space="preserve">how </w:t>
      </w:r>
      <w:r w:rsidR="00A24888">
        <w:t xml:space="preserve">species </w:t>
      </w:r>
      <w:r w:rsidR="00D04708">
        <w:t>spatial autocorrelation influence</w:t>
      </w:r>
      <w:r w:rsidR="004B6CC9">
        <w:t>s</w:t>
      </w:r>
      <w:r w:rsidR="00D04708">
        <w:t xml:space="preserve"> the efficiency of </w:t>
      </w:r>
      <w:r w:rsidR="00EB403D">
        <w:t xml:space="preserve">eDNA metabarcoding </w:t>
      </w:r>
      <w:r w:rsidR="00D04708">
        <w:t>marine sampling strategies</w:t>
      </w:r>
      <w:r w:rsidR="00E501C2">
        <w:t>. We us</w:t>
      </w:r>
      <w:r w:rsidR="004B6CC9">
        <w:t>e</w:t>
      </w:r>
      <w:r w:rsidR="00E501C2">
        <w:t xml:space="preserve"> both simulated and </w:t>
      </w:r>
      <w:r w:rsidR="004B6CC9">
        <w:t xml:space="preserve">empirical </w:t>
      </w:r>
      <w:r w:rsidR="00E501C2">
        <w:t xml:space="preserve">eDNA data for species that differ in their patterns of spatial </w:t>
      </w:r>
      <w:r w:rsidR="0028513F">
        <w:t xml:space="preserve">distributions to </w:t>
      </w:r>
      <w:r w:rsidR="00D04708">
        <w:t>quantify the effect of</w:t>
      </w:r>
      <w:r w:rsidR="00251B03">
        <w:t xml:space="preserve"> species spatial autocorrelation and</w:t>
      </w:r>
      <w:r w:rsidR="00D04708">
        <w:t xml:space="preserve"> sampling effort on</w:t>
      </w:r>
      <w:r w:rsidR="0028513F">
        <w:t xml:space="preserve"> estimating</w:t>
      </w:r>
      <w:r w:rsidR="00D04708">
        <w:t xml:space="preserve"> </w:t>
      </w:r>
      <w:r w:rsidR="00A24888">
        <w:t>(</w:t>
      </w:r>
      <w:proofErr w:type="spellStart"/>
      <w:r w:rsidR="00A24888">
        <w:t>i</w:t>
      </w:r>
      <w:proofErr w:type="spellEnd"/>
      <w:r w:rsidR="00A24888">
        <w:t xml:space="preserve">) </w:t>
      </w:r>
      <w:r w:rsidR="00741A6A" w:rsidRPr="00741A6A">
        <w:t>the predictive accuracy of species distribution models</w:t>
      </w:r>
      <w:r w:rsidR="00FB27EA">
        <w:t xml:space="preserve"> and (ii) the accuracy of GP parameter estimation. Our objective is deliberately operational: to give a survey planner guidance </w:t>
      </w:r>
      <w:r w:rsidR="00FB27EA">
        <w:lastRenderedPageBreak/>
        <w:t>applicable before a cruise from a prior estimate of the spatial autocorrelation of the target taxa and a statement of the precision required</w:t>
      </w:r>
      <w:r w:rsidR="00765D4E">
        <w:t>.</w:t>
      </w:r>
    </w:p>
    <w:p w14:paraId="406949DD" w14:textId="77777777" w:rsidR="00286ADA" w:rsidRDefault="00286ADA" w:rsidP="001643E6">
      <w:pPr>
        <w:pStyle w:val="BodyText"/>
        <w:spacing w:line="480" w:lineRule="auto"/>
      </w:pPr>
    </w:p>
    <w:p w14:paraId="4723CA1B" w14:textId="7E84112C" w:rsidR="006E5251" w:rsidRDefault="0025394F" w:rsidP="001643E6">
      <w:pPr>
        <w:pStyle w:val="BodyText"/>
        <w:spacing w:line="480" w:lineRule="auto"/>
      </w:pPr>
      <w:r>
        <w:rPr>
          <w:noProof/>
        </w:rPr>
        <w:drawing>
          <wp:inline distT="0" distB="0" distL="0" distR="0" wp14:anchorId="2B93C869" wp14:editId="7283CA9C">
            <wp:extent cx="5943600" cy="3264535"/>
            <wp:effectExtent l="0" t="0" r="0" b="0"/>
            <wp:docPr id="1773817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817907" name="Picture 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264535"/>
                    </a:xfrm>
                    <a:prstGeom prst="rect">
                      <a:avLst/>
                    </a:prstGeom>
                  </pic:spPr>
                </pic:pic>
              </a:graphicData>
            </a:graphic>
          </wp:inline>
        </w:drawing>
      </w:r>
    </w:p>
    <w:p w14:paraId="4E48C64F" w14:textId="5A1B3B09" w:rsidR="007D49E0" w:rsidRPr="00871E3F" w:rsidRDefault="00B65A9C" w:rsidP="001643E6">
      <w:pPr>
        <w:pStyle w:val="BodyText"/>
        <w:spacing w:line="480" w:lineRule="auto"/>
        <w:rPr>
          <w:i/>
          <w:iCs/>
        </w:rPr>
      </w:pPr>
      <w:r w:rsidRPr="00871E3F">
        <w:rPr>
          <w:i/>
          <w:iCs/>
        </w:rPr>
        <w:t xml:space="preserve">Figure 1. Conceptual figure illustrating how sampling density affects reconstruction of spatial concentration patterns across </w:t>
      </w:r>
      <w:r w:rsidR="00DF45D1" w:rsidRPr="00871E3F">
        <w:rPr>
          <w:i/>
          <w:iCs/>
        </w:rPr>
        <w:t>different</w:t>
      </w:r>
      <w:r w:rsidRPr="00871E3F">
        <w:rPr>
          <w:i/>
          <w:iCs/>
        </w:rPr>
        <w:t xml:space="preserve"> spatial structures. Panel A shows a patchy </w:t>
      </w:r>
      <w:r w:rsidR="007A5A7E" w:rsidRPr="00871E3F">
        <w:rPr>
          <w:i/>
          <w:iCs/>
        </w:rPr>
        <w:t xml:space="preserve">species </w:t>
      </w:r>
      <w:r w:rsidRPr="00871E3F">
        <w:rPr>
          <w:i/>
          <w:iCs/>
        </w:rPr>
        <w:t>distribution in space, whereas panel B shows a smooth distribution in space, along a one-dimensional spatial transect (x-axis; space in km units). In the top row of each panel, the solid black line represents the true underlying concentration distribution</w:t>
      </w:r>
      <w:r w:rsidR="00C75E34" w:rsidRPr="00871E3F">
        <w:rPr>
          <w:i/>
          <w:iCs/>
        </w:rPr>
        <w:t xml:space="preserve"> whereas the</w:t>
      </w:r>
      <w:r w:rsidRPr="00871E3F">
        <w:rPr>
          <w:i/>
          <w:iCs/>
        </w:rPr>
        <w:t xml:space="preserve"> middle and bottom rows show reconstructions </w:t>
      </w:r>
      <w:r w:rsidR="00F51361" w:rsidRPr="00871E3F">
        <w:rPr>
          <w:i/>
          <w:iCs/>
        </w:rPr>
        <w:t xml:space="preserve">of </w:t>
      </w:r>
      <w:r w:rsidR="00D265B9" w:rsidRPr="00871E3F">
        <w:rPr>
          <w:i/>
          <w:iCs/>
        </w:rPr>
        <w:t xml:space="preserve">concentration distribution (red dashed line) </w:t>
      </w:r>
      <w:r w:rsidRPr="00871E3F">
        <w:rPr>
          <w:i/>
          <w:iCs/>
        </w:rPr>
        <w:t>based on a low number of samples and a high number of samples, respectively. Green circles indicate discrete observation points</w:t>
      </w:r>
      <w:r w:rsidR="00D265B9" w:rsidRPr="00871E3F">
        <w:rPr>
          <w:i/>
          <w:iCs/>
        </w:rPr>
        <w:t xml:space="preserve">. </w:t>
      </w:r>
      <w:r w:rsidR="00966BB9" w:rsidRPr="00871E3F">
        <w:rPr>
          <w:i/>
          <w:iCs/>
        </w:rPr>
        <w:t xml:space="preserve"> </w:t>
      </w:r>
    </w:p>
    <w:p w14:paraId="10CBF52C" w14:textId="77777777" w:rsidR="00006E74" w:rsidRPr="00006E74" w:rsidRDefault="00006E74" w:rsidP="001643E6">
      <w:pPr>
        <w:pStyle w:val="BodyText"/>
        <w:spacing w:line="480" w:lineRule="auto"/>
      </w:pPr>
    </w:p>
    <w:p w14:paraId="5516F181" w14:textId="77777777" w:rsidR="0032076E" w:rsidRDefault="00D04708" w:rsidP="001643E6">
      <w:pPr>
        <w:pStyle w:val="Heading1"/>
        <w:spacing w:before="0" w:after="0" w:line="480" w:lineRule="auto"/>
      </w:pPr>
      <w:bookmarkStart w:id="4" w:name="materials-and-methods"/>
      <w:bookmarkEnd w:id="2"/>
      <w:r>
        <w:lastRenderedPageBreak/>
        <w:t>Materials and methods</w:t>
      </w:r>
    </w:p>
    <w:p w14:paraId="6D460FDF" w14:textId="28F45267" w:rsidR="001B4F2A" w:rsidRDefault="003676DB" w:rsidP="001643E6">
      <w:pPr>
        <w:pStyle w:val="BodyText"/>
        <w:spacing w:line="480" w:lineRule="auto"/>
      </w:pPr>
      <w:bookmarkStart w:id="5" w:name="simulated-edna-data"/>
      <w:r>
        <w:t>W</w:t>
      </w:r>
      <w:r w:rsidR="00F82C02" w:rsidRPr="00F82C02">
        <w:t>e evaluated how sampling effort influences the recovery of marine eDNA spatial patterns by integrating empirical observations with simulation-based analyses within a common GP framework.</w:t>
      </w:r>
      <w:r w:rsidR="002609C5" w:rsidRPr="002609C5">
        <w:t xml:space="preserve"> We first analyzed a real-world eDNA metabarcoding dataset collected across 358 stations and five depth strata along the U.S. West Coast to characterize species-specific spatial structure and depth-specific mean </w:t>
      </w:r>
      <w:r w:rsidR="001B4F2A">
        <w:t xml:space="preserve">eDNA </w:t>
      </w:r>
      <w:r w:rsidR="002609C5" w:rsidRPr="002609C5">
        <w:t>concentration patterns.</w:t>
      </w:r>
      <w:r w:rsidR="001B4F2A" w:rsidRPr="001B4F2A">
        <w:t xml:space="preserve"> We then used the range of parameter values informed by these empirical estimates to simulate new spatial eDNA fields across the same study domain, but at a much higher sampling resolution than was available in the field dataset.</w:t>
      </w:r>
      <w:r w:rsidR="001B4F2A">
        <w:t xml:space="preserve"> </w:t>
      </w:r>
      <w:r>
        <w:t>For both empirical and simulated data, we evaluated how reduced sampling effort affected spatial prediction accuracy and the recovery of GP parameters through systematic thinning analyses.</w:t>
      </w:r>
      <w:r w:rsidR="001B4F2A">
        <w:t xml:space="preserve"> </w:t>
      </w:r>
      <w:r>
        <w:t>By combining empirical and simulation-based evaluation, this framework allowed us to assess sampling efficiency beyond the limits of the empirical dataset alone (restricted to 358 observations) and thus to evaluate the sampling effort required for reliable inference across a broader range of effort.</w:t>
      </w:r>
    </w:p>
    <w:p w14:paraId="04ECAC86" w14:textId="77777777" w:rsidR="001B4F2A" w:rsidRDefault="001B4F2A" w:rsidP="001643E6">
      <w:pPr>
        <w:pStyle w:val="BodyText"/>
        <w:spacing w:line="480" w:lineRule="auto"/>
      </w:pPr>
    </w:p>
    <w:p w14:paraId="07661F64" w14:textId="77777777" w:rsidR="000D6CB9" w:rsidRDefault="00000000">
      <w:pPr>
        <w:pStyle w:val="Heading2"/>
        <w:spacing w:before="0" w:after="0" w:line="480" w:lineRule="auto"/>
      </w:pPr>
      <w:r>
        <w:t>Modelling framework: Gaussian processes</w:t>
      </w:r>
    </w:p>
    <w:p w14:paraId="6365901A" w14:textId="77777777" w:rsidR="000D6CB9" w:rsidRDefault="00000000">
      <w:pPr>
        <w:pStyle w:val="BodyText"/>
        <w:spacing w:line="480" w:lineRule="auto"/>
      </w:pPr>
      <w:r>
        <w:t>The GP approach is grounded in the assumption that species distributions and abundances change in a smooth and continuous manner</w:t>
      </w:r>
      <w:r w:rsidR="00207177">
        <w:t xml:space="preserve"> across space (or other covariates)</w:t>
      </w:r>
      <w:r>
        <w:t>, reflecting correlated responses to spatial, environmental, and biological covariates</w:t>
      </w:r>
      <w:r w:rsidR="00003A5F">
        <w:t xml:space="preserve"> </w:t>
      </w:r>
      <w:r w:rsidR="008F35CC">
        <w:fldChar w:fldCharType="begin"/>
      </w:r>
      <w:r w:rsidR="008F35CC">
        <w:instrText xml:space="preserve"> ADDIN ZOTERO_ITEM CSL_CITATION {"citationID":"PWNbdjgK","properties":{"unsorted":false,"formattedCitation":"(Lewy &amp; Kristensen, 2009)","plainCitation":"(Lewy &amp; Kristensen, 2009)","noteIndex":0},"citationItems":[{"id":4492,"uris":["http://zotero.org/users/9456007/items/S4LRVKV4"],"itemData":{"id":4492,"type":"article-journal","abstract":"The spatial distribution of cod ( Gadus morhua ) in the North Sea and the Skagerrak was analysed over a 24-year period using the Log Gaussian Cox Process (LGCP). In contrast to other spatial models of the distribution of fish, LGCP avoids problems with zero observations and includes the spatial correlation between observations. It is therefore possible to predict and interpolate unobserved densities at any location in the area. This is important for obtaining unbiased estimates of stock concentration and other measures depending on the distribution in the entire area. Results show that the spatial correlation and dispersion of cod catches remained unchanged during winter throughout the period, in spite of a drastic decline in stock abundance and a movement of the centre of gravity of the distribution towards the northeast in the same period. For the age groups considered, the concentration of the stock was found to be constant or declining in the period. This means that cod does not follow the theory of density-dependent habitat selection, as the concentration of the stock does not increase when stock abundance decreases.","citation-key":"lewy2009","container-title":"Canadian Journal of Fisheries and Aquatic Sciences","DOI":"10.1139/F09-114","ISSN":"0706-652X, 1205-7533","issue":"10","journalAbbreviation":"Can. J. Fish. Aquat. Sci.","language":"en","license":"http://www.nrcresearchpress.com/page/about/CorporateTextAndDataMining","page":"1809-1820","source":"DOI.org (Crossref)","title":"Modelling the distribution of fish accounting for spatial correlation and overdispersion","volume":"66","editor":[{"family":"Quinn","given":"Terrance"}],"author":[{"family":"Lewy","given":"Peter"},{"family":"Kristensen","given":"Kasper"}],"issued":{"date-parts":[["2009",10]]}}}],"schema":"https://github.com/citation-style-language/schema/raw/master/csl-citation.json"} </w:instrText>
      </w:r>
      <w:r w:rsidR="008F35CC">
        <w:fldChar w:fldCharType="separate"/>
      </w:r>
      <w:r w:rsidR="008F35CC">
        <w:rPr>
          <w:noProof/>
        </w:rPr>
        <w:t>(Lewy &amp; Kristensen, 2009)</w:t>
      </w:r>
      <w:r w:rsidR="008F35CC">
        <w:fldChar w:fldCharType="end"/>
      </w:r>
      <w:r>
        <w:t>.</w:t>
      </w:r>
      <w:r w:rsidR="00353F64">
        <w:t xml:space="preserve"> </w:t>
      </w:r>
      <w:r>
        <w:t>At the core</w:t>
      </w:r>
      <w:r w:rsidR="00353F64">
        <w:t xml:space="preserve">, </w:t>
      </w:r>
      <w:r w:rsidR="00CD3E18">
        <w:t xml:space="preserve">in simple terms, </w:t>
      </w:r>
      <w:r w:rsidR="007566A0">
        <w:t xml:space="preserve">GPs posit that </w:t>
      </w:r>
      <w:r>
        <w:t xml:space="preserve">observations made at </w:t>
      </w:r>
      <w:r w:rsidR="0067503E">
        <w:t xml:space="preserve">proximate </w:t>
      </w:r>
      <w:r>
        <w:t>locations or covariate</w:t>
      </w:r>
      <w:r w:rsidR="0067503E">
        <w:t xml:space="preserve"> values</w:t>
      </w:r>
      <w:r>
        <w:t xml:space="preserve"> should </w:t>
      </w:r>
      <w:r w:rsidR="00A422E3">
        <w:t xml:space="preserve">be </w:t>
      </w:r>
      <w:r>
        <w:t>similar</w:t>
      </w:r>
      <w:r w:rsidR="00655E33">
        <w:t xml:space="preserve"> </w:t>
      </w:r>
      <w:r w:rsidR="008F35CC">
        <w:fldChar w:fldCharType="begin"/>
      </w:r>
      <w:r w:rsidR="00387956">
        <w:instrText xml:space="preserve"> ADDIN ZOTERO_ITEM CSL_CITATION {"citationID":"SDb824Pt","properties":{"unsorted":false,"formattedCitation":"(Dormann et al., 2007)","plainCitation":"(Dormann et al., 2007)","noteIndex":0},"citationItems":[{"id":4651,"uris":["http://zotero.org/users/9456007/items/J6857QG6"],"itemData":{"id":4651,"type":"article-journal","abstract":"Species distributional or trait data based on range map (extent‐of‐occurrence) or atlas survey data often display spatial autocorrelation, i.e. locations close to each other exhibit more similar values than those further apart. If this pattern remains present in the residuals of a statistical model based on such data, one of the key assumptions of standard statistical analyses, that residuals are independent and identically distributed (i.i.d), is violated. The violation of the assumption of i.i.d. residuals may bias parameter estimates and can increase type I error rates (falsely rejecting the null hypothesis of no effect). While this is increasingly recognised by researchers analysing species distribution data, there is, to our knowledge, no comprehensive overview of the many available spatial statistical methods to take spatial autocorrelation into account in tests of statistical significance. Here, we describe six different statistical approaches to infer correlates of species’ distributions, for both presence/absence (binary response) and species abundance data (poisson or normally distributed response), while accounting for spatial autocorrelation in model residuals: autocovariate regression; spatial eigenvector mapping; generalised least squares; (conditional and simultaneous) autoregressive models and generalised estimating equations. A comprehensive comparison of the relative merits of these methods is beyond the scope of this paper. To demonstrate each method's implementation, however, we undertook preliminary tests based on simulated data. These preliminary tests verified that most of the spatial modeling techniques we examined showed good type I error control and precise parameter estimates, at least when confronted with simplistic simulated data containing spatial autocorrelation in the errors. However, we found that for presence/absence data the results and conclusions were very variable between the different methods. This is likely due to the low information content of binary maps. Also, in contrast with previous studies, we found that autocovariate methods consistently underestimated the effects of environmental controls of species distributions. Given their widespread use, in particular for the modelling of species presence/absence data (e.g. climate envelope models), we argue that this warrants further study and caution in their use. To aid other ecologists in making use of the methods described, code to implement them in freely available software is provided in an electronic appendix.","citation-key":"dormann2007","container-title":"Ecography","DOI":"10.1111/j.2007.0906-7590.05171.x","ISSN":"0906-7590, 1600-0587","issue":"5","journalAbbreviation":"Ecography","language":"en","page":"609-628","source":"DOI.org (Crossref)","title":"Methods to account for spatial autocorrelation in the analysis of species distributional data: a review","title-short":"Methods to account for spatial autocorrelation in the analysis of species distributional data","volume":"30","author":[{"family":"Dormann","given":"Carsten F."},{"family":"McPherson","given":"Jana M."},{"family":"Araújo","given":"Miguel B."},{"family":"Bivand","given":"Roger"},{"family":"Bolliger","given":"Janine"},{"family":"Carl","given":"Gudrun"},{"family":"Davies","given":"Richard G."},{"family":"Hirzel","given":"Alexandre"},{"family":"Jetz","given":"Walter"},{"family":"Daniel Kissling","given":"W."},{"family":"Kühn","given":"Ingolf"},{"family":"Ohlemüller","given":"Ralf"},{"family":"Peres‐Neto","given":"Pedro R."},{"family":"Reineking","given":"Björn"},{"family":"Schröder","given":"Boris"},{"family":"Schurr","given":"Frank M."},{"family":"Wilson","given":"Robert"}],"issued":{"date-parts":[["2007",10]]}}}],"schema":"https://github.com/citation-style-language/schema/raw/master/csl-citation.json"} </w:instrText>
      </w:r>
      <w:r w:rsidR="008F35CC">
        <w:fldChar w:fldCharType="separate"/>
      </w:r>
      <w:r w:rsidR="00387956">
        <w:rPr>
          <w:noProof/>
        </w:rPr>
        <w:t>(Dormann et al., 2007)</w:t>
      </w:r>
      <w:r w:rsidR="008F35CC">
        <w:fldChar w:fldCharType="end"/>
      </w:r>
      <w:r w:rsidR="007F4A1D">
        <w:t xml:space="preserve">. </w:t>
      </w:r>
      <w:r w:rsidR="00EA4F75">
        <w:t>We assert that many species can be well described using relatively simple covariance models</w:t>
      </w:r>
      <w:r w:rsidR="005B37A0" w:rsidRPr="005B37A0">
        <w:t xml:space="preserve"> </w:t>
      </w:r>
      <w:r w:rsidR="00AC6083">
        <w:fldChar w:fldCharType="begin"/>
      </w:r>
      <w:r w:rsidR="00AC6083">
        <w:instrText xml:space="preserve"> ADDIN ZOTERO_ITEM CSL_CITATION {"citationID":"Qkjtp7Vp","properties":{"unsorted":false,"formattedCitation":"(Thorson et al., 2015)","plainCitation":"(Thorson et al., 2015)","noteIndex":0},"citationItems":[{"id":4686,"uris":["http://zotero.org/users/9456007/items/XCGHQLUR"],"itemData":{"id":4686,"type":"article-journal","abstract":"Abstract\n            Indices of abundance are the bedrock for stock assessments or empirical management procedures used to manage fishery catches for fish populations worldwide, and are generally obtained by processing catch-rate data. Recent research suggests that geostatistical models can explain a substantial portion of variability in catch rates via the location of samples (i.e. whether located in high- or low-density habitats), and thus use available catch-rate data more efficiently than conventional “design-based” or stratified estimators. However, the generality of this conclusion is currently unknown because geostatistical models are computationally challenging to simulation-test and have not previously been evaluated using multiple species. We develop a new maximum likelihood estimator for geostatistical index standardization, which uses recent improvements in estimation for Gaussian random fields. We apply the model to data for 28 groundfish species off the U.S. West Coast and compare results to a previous “stratified” index standardization model, which accounts for spatial variation using post-stratification of available data. This demonstrates that the stratified model generates a relative index with 60% larger estimation intervals than the geostatistical model. We also apply both models to simulated data and demonstrate (i) that the geostatistical model has well-calibrated confidence intervals (they include the true value at approximately the nominal rate), (ii) that neither model on average under- or overestimates changes in abundance, and (iii) that the geostatistical model has on average 20% lower estimation errors than a stratified model. We therefore conclude that the geostatistical model uses survey data more efficiently than the stratified model, and therefore provides a more cost-efficient treatment for historical and ongoing fish sampling data.","citation-key":"thorson2015","container-title":"ICES Journal of Marine Science","DOI":"10.1093/icesjms/fsu243","ISSN":"1095-9289, 1054-3139","issue":"5","language":"en","page":"1297-1310","source":"DOI.org (Crossref)","title":"Geostatistical delta-generalized linear mixed models improve precision for estimated abundance indices for West Coast groundfishes","volume":"72","author":[{"family":"Thorson","given":"James T."},{"family":"Shelton","given":"Andrew O."},{"family":"Ward","given":"Eric J."},{"family":"Skaug","given":"Hans J."}],"issued":{"date-parts":[["2015",6,1]]}}}],"schema":"https://github.com/citation-style-language/schema/raw/master/csl-citation.json"} </w:instrText>
      </w:r>
      <w:r w:rsidR="00AC6083">
        <w:fldChar w:fldCharType="separate"/>
      </w:r>
      <w:r w:rsidR="00AC6083">
        <w:rPr>
          <w:noProof/>
        </w:rPr>
        <w:t>(Thorson et al., 2015)</w:t>
      </w:r>
      <w:r w:rsidR="00AC6083">
        <w:fldChar w:fldCharType="end"/>
      </w:r>
      <w:r w:rsidR="00EA4F75">
        <w:t xml:space="preserve">. </w:t>
      </w:r>
      <w:r w:rsidR="004F7F89">
        <w:t>Specifically,</w:t>
      </w:r>
      <w:r w:rsidR="00EA4F75">
        <w:t xml:space="preserve"> we use an isotropic, squared exponential covariance model for the </w:t>
      </w:r>
      <w:r>
        <w:t>distribution of a species</w:t>
      </w:r>
      <w:r w:rsidR="0044189E">
        <w:t xml:space="preserve">. Let </w:t>
      </w:r>
      <w:r w:rsidR="0044189E" w:rsidRPr="0088579E">
        <w:rPr>
          <w:i/>
          <w:iCs/>
        </w:rPr>
        <w:t>X</w:t>
      </w:r>
      <w:r w:rsidR="00EA4F75">
        <w:t xml:space="preserve"> </w:t>
      </w:r>
      <w:r w:rsidR="0044189E">
        <w:t>{</w:t>
      </w:r>
      <w:r w:rsidR="0044189E" w:rsidRPr="0044189E">
        <w:rPr>
          <w:i/>
          <w:iCs/>
        </w:rPr>
        <w:t>x</w:t>
      </w:r>
      <w:r w:rsidR="0044189E" w:rsidRPr="0044189E">
        <w:rPr>
          <w:i/>
          <w:iCs/>
          <w:vertAlign w:val="subscript"/>
        </w:rPr>
        <w:t>1</w:t>
      </w:r>
      <w:r w:rsidR="0044189E">
        <w:t>,</w:t>
      </w:r>
      <w:r w:rsidR="0044189E" w:rsidRPr="0044189E">
        <w:rPr>
          <w:i/>
          <w:iCs/>
        </w:rPr>
        <w:t>x</w:t>
      </w:r>
      <w:proofErr w:type="gramStart"/>
      <w:r w:rsidR="0044189E" w:rsidRPr="0044189E">
        <w:rPr>
          <w:i/>
          <w:iCs/>
          <w:vertAlign w:val="subscript"/>
        </w:rPr>
        <w:t>2</w:t>
      </w:r>
      <w:r w:rsidR="0044189E">
        <w:t>,…</w:t>
      </w:r>
      <w:proofErr w:type="spellStart"/>
      <w:proofErr w:type="gramEnd"/>
      <w:r w:rsidR="0044189E" w:rsidRPr="0044189E">
        <w:rPr>
          <w:i/>
          <w:iCs/>
        </w:rPr>
        <w:t>x</w:t>
      </w:r>
      <w:r w:rsidR="00CA17E1">
        <w:rPr>
          <w:i/>
          <w:iCs/>
          <w:vertAlign w:val="subscript"/>
        </w:rPr>
        <w:t>N</w:t>
      </w:r>
      <w:proofErr w:type="spellEnd"/>
      <w:r w:rsidR="0044189E">
        <w:t xml:space="preserve">} be the </w:t>
      </w:r>
      <w:r w:rsidR="0044189E">
        <w:lastRenderedPageBreak/>
        <w:t xml:space="preserve">set of </w:t>
      </w:r>
      <w:proofErr w:type="gramStart"/>
      <w:r w:rsidR="00180919">
        <w:rPr>
          <w:i/>
          <w:iCs/>
        </w:rPr>
        <w:t>N</w:t>
      </w:r>
      <w:proofErr w:type="gramEnd"/>
      <w:r w:rsidR="0044189E">
        <w:t xml:space="preserve"> observed spatial locations. </w:t>
      </w:r>
      <w:r w:rsidR="0044189E" w:rsidRPr="0044189E">
        <w:t>The</w:t>
      </w:r>
      <w:r w:rsidR="0067503E">
        <w:t>n</w:t>
      </w:r>
      <w:r w:rsidR="0044189E" w:rsidRPr="0044189E">
        <w:t xml:space="preserve"> species </w:t>
      </w:r>
      <w:r w:rsidR="00D56D34">
        <w:t xml:space="preserve">(eDNA) </w:t>
      </w:r>
      <w:r w:rsidR="0044189E" w:rsidRPr="0044189E">
        <w:t>abundance or density</w:t>
      </w:r>
      <w:r w:rsidR="0044189E">
        <w:t xml:space="preserve"> </w:t>
      </w:r>
      <w:r w:rsidR="0044189E" w:rsidRPr="0088579E">
        <w:rPr>
          <w:i/>
          <w:iCs/>
        </w:rPr>
        <w:t>Y</w:t>
      </w:r>
      <w:r w:rsidR="0044189E">
        <w:t xml:space="preserve"> across all sampled locations </w:t>
      </w:r>
      <w:r w:rsidR="00CA17E1">
        <w:t>(</w:t>
      </w:r>
      <w:r w:rsidR="00CA17E1" w:rsidRPr="00350F57">
        <w:rPr>
          <w:i/>
          <w:iCs/>
        </w:rPr>
        <w:t>X</w:t>
      </w:r>
      <w:r w:rsidR="00CA17E1">
        <w:t xml:space="preserve">) </w:t>
      </w:r>
      <w:r w:rsidR="0044189E">
        <w:t>is modeled as</w:t>
      </w:r>
      <w:r w:rsidR="0067503E">
        <w:t>,</w:t>
      </w:r>
    </w:p>
    <w:p w14:paraId="4A5632F3" w14:textId="77777777" w:rsidR="000D6CB9" w:rsidRDefault="00000000">
      <w:pPr>
        <w:pStyle w:val="BodyText"/>
        <w:spacing w:line="480" w:lineRule="auto"/>
        <w:rPr>
          <w:rFonts w:eastAsiaTheme="minorEastAsia"/>
        </w:rPr>
      </w:pPr>
      <m:oMathPara>
        <m:oMath>
          <m:eqArr>
            <m:eqArrPr>
              <m:maxDist m:val="1"/>
              <m:ctrlPr>
                <w:rPr>
                  <w:rFonts w:ascii="Cambria Math" w:hAnsi="Cambria Math"/>
                </w:rPr>
              </m:ctrlPr>
            </m:eqArrPr>
            <m:e>
              <m:r>
                <w:rPr>
                  <w:rFonts w:ascii="Cambria Math" w:hAnsi="Cambria Math"/>
                </w:rPr>
                <m:t>Y</m:t>
              </m:r>
              <m:r>
                <m:rPr>
                  <m:sty m:val="p"/>
                </m:rPr>
                <w:rPr>
                  <w:rFonts w:ascii="Cambria Math" w:hAnsi="Cambria Math"/>
                </w:rPr>
                <m:t>∼</m:t>
              </m:r>
              <m:r>
                <w:rPr>
                  <w:rFonts w:ascii="Cambria Math" w:hAnsi="Cambria Math"/>
                </w:rPr>
                <m:t>MVN</m:t>
              </m:r>
              <m:d>
                <m:dPr>
                  <m:ctrlPr>
                    <w:rPr>
                      <w:rFonts w:ascii="Cambria Math" w:hAnsi="Cambria Math"/>
                    </w:rPr>
                  </m:ctrlPr>
                </m:dPr>
                <m:e>
                  <m:r>
                    <w:rPr>
                      <w:rFonts w:ascii="Cambria Math" w:hAnsi="Cambria Math"/>
                    </w:rPr>
                    <m:t>μ</m:t>
                  </m:r>
                  <m:r>
                    <m:rPr>
                      <m:sty m:val="p"/>
                    </m:rPr>
                    <w:rPr>
                      <w:rFonts w:ascii="Cambria Math" w:hAnsi="Cambria Math"/>
                    </w:rPr>
                    <m:t>,</m:t>
                  </m:r>
                  <m:r>
                    <m:rPr>
                      <m:sty m:val="bi"/>
                    </m:rPr>
                    <w:rPr>
                      <w:rFonts w:ascii="Cambria Math" w:hAnsi="Cambria Math"/>
                    </w:rPr>
                    <m:t>K</m:t>
                  </m:r>
                  <m:r>
                    <m:rPr>
                      <m:sty m:val="p"/>
                    </m:rPr>
                    <w:rPr>
                      <w:rFonts w:ascii="Cambria Math" w:hAnsi="Cambria Math"/>
                    </w:rPr>
                    <m:t>+</m:t>
                  </m:r>
                  <m:sSup>
                    <m:sSupPr>
                      <m:ctrlPr>
                        <w:rPr>
                          <w:rFonts w:ascii="Cambria Math" w:hAnsi="Cambria Math"/>
                        </w:rPr>
                      </m:ctrlPr>
                    </m:sSupPr>
                    <m:e>
                      <m:r>
                        <w:rPr>
                          <w:rFonts w:ascii="Cambria Math" w:hAnsi="Cambria Math"/>
                        </w:rPr>
                        <m:t>σ</m:t>
                      </m:r>
                    </m:e>
                    <m:sup>
                      <m:r>
                        <m:rPr>
                          <m:sty m:val="p"/>
                        </m:rPr>
                        <w:rPr>
                          <w:rFonts w:ascii="Cambria Math" w:hAnsi="Cambria Math"/>
                        </w:rPr>
                        <m:t>2</m:t>
                      </m:r>
                    </m:sup>
                  </m:sSup>
                  <m:r>
                    <m:rPr>
                      <m:sty m:val="bi"/>
                    </m:rPr>
                    <w:rPr>
                      <w:rFonts w:ascii="Cambria Math" w:hAnsi="Cambria Math"/>
                    </w:rPr>
                    <m:t>I</m:t>
                  </m:r>
                </m:e>
              </m:d>
              <m:r>
                <m:rPr>
                  <m:sty m:val="p"/>
                </m:rPr>
                <w:rPr>
                  <w:rFonts w:ascii="Cambria Math" w:hAnsi="Cambria Math"/>
                </w:rPr>
                <m:t>,#1</m:t>
              </m:r>
            </m:e>
          </m:eqArr>
        </m:oMath>
      </m:oMathPara>
    </w:p>
    <w:p w14:paraId="2975EE4B" w14:textId="77777777" w:rsidR="000D6CB9" w:rsidRDefault="00000000">
      <w:pPr>
        <w:pStyle w:val="FirstParagraph"/>
        <w:spacing w:line="480" w:lineRule="auto"/>
      </w:pPr>
      <w:r>
        <w:t xml:space="preserve">where </w:t>
      </w:r>
      <w:r w:rsidR="0044189E" w:rsidRPr="0088579E">
        <w:rPr>
          <w:i/>
          <w:iCs/>
          <w:lang w:val="el-GR"/>
        </w:rPr>
        <w:t>μ</w:t>
      </w:r>
      <w:r w:rsidR="0044189E">
        <w:rPr>
          <w:lang w:val="el-GR"/>
        </w:rPr>
        <w:t xml:space="preserve"> </w:t>
      </w:r>
      <w:r w:rsidR="0044189E">
        <w:t xml:space="preserve">is the </w:t>
      </w:r>
      <w:r>
        <w:t xml:space="preserve">global mean abundance, </w:t>
      </w:r>
      <w:r>
        <w:rPr>
          <w:lang w:val="el-GR"/>
        </w:rPr>
        <w:t>σ</w:t>
      </w:r>
      <w:r w:rsidRPr="00F00310">
        <w:rPr>
          <w:rFonts w:eastAsiaTheme="minorEastAsia"/>
          <w:vertAlign w:val="superscript"/>
        </w:rPr>
        <w:t>2</w:t>
      </w:r>
      <w:r>
        <w:t xml:space="preserve"> is the non-spatial variance, </w:t>
      </w:r>
      <w:r w:rsidRPr="007664E1">
        <w:rPr>
          <w:b/>
          <w:i/>
          <w:iCs/>
        </w:rPr>
        <w:t>I</w:t>
      </w:r>
      <w:r>
        <w:t xml:space="preserve"> </w:t>
      </w:r>
      <w:proofErr w:type="gramStart"/>
      <w:r>
        <w:t>is</w:t>
      </w:r>
      <w:proofErr w:type="gramEnd"/>
      <w:r>
        <w:t xml:space="preserve"> an n x n identity matrix</w:t>
      </w:r>
      <w:r w:rsidR="00705D45">
        <w:t xml:space="preserve"> and </w:t>
      </w:r>
      <w:r w:rsidRPr="007664E1">
        <w:rPr>
          <w:b/>
          <w:i/>
          <w:iCs/>
        </w:rPr>
        <w:t>K</w:t>
      </w:r>
      <w:r w:rsidR="00771760">
        <w:rPr>
          <w:b/>
          <w:i/>
          <w:iCs/>
        </w:rPr>
        <w:t>(</w:t>
      </w:r>
      <w:r w:rsidR="00771760" w:rsidRPr="00771760">
        <w:rPr>
          <w:i/>
          <w:iCs/>
        </w:rPr>
        <w:t>X,X</w:t>
      </w:r>
      <w:r w:rsidR="00771760">
        <w:rPr>
          <w:b/>
          <w:i/>
          <w:iCs/>
        </w:rPr>
        <w:t>)</w:t>
      </w:r>
      <w:r>
        <w:t xml:space="preserve"> </w:t>
      </w:r>
      <w:r w:rsidR="00705D45">
        <w:t>is the</w:t>
      </w:r>
      <w:r>
        <w:t xml:space="preserve"> covaria</w:t>
      </w:r>
      <w:r w:rsidR="008766A3">
        <w:t>nce</w:t>
      </w:r>
      <w:r w:rsidR="00705D45">
        <w:t xml:space="preserve"> matrix whose (</w:t>
      </w:r>
      <w:proofErr w:type="spellStart"/>
      <w:r w:rsidR="00705D45" w:rsidRPr="00CE0914">
        <w:rPr>
          <w:i/>
          <w:iCs/>
        </w:rPr>
        <w:t>i</w:t>
      </w:r>
      <w:r w:rsidR="00705D45" w:rsidRPr="00CE0914">
        <w:t>,</w:t>
      </w:r>
      <w:r w:rsidR="00705D45" w:rsidRPr="00CE0914">
        <w:rPr>
          <w:i/>
          <w:iCs/>
        </w:rPr>
        <w:t>j</w:t>
      </w:r>
      <w:proofErr w:type="spellEnd"/>
      <w:r w:rsidR="00705D45">
        <w:t>)</w:t>
      </w:r>
      <w:proofErr w:type="spellStart"/>
      <w:r w:rsidR="00705D45" w:rsidRPr="00705D45">
        <w:rPr>
          <w:vertAlign w:val="superscript"/>
        </w:rPr>
        <w:t>th</w:t>
      </w:r>
      <w:proofErr w:type="spellEnd"/>
      <w:r w:rsidR="00705D45">
        <w:t xml:space="preserve"> entry </w:t>
      </w:r>
      <w:r w:rsidR="00CE0914">
        <w:t>i</w:t>
      </w:r>
      <w:r w:rsidR="00705D45" w:rsidRPr="00705D45">
        <w:t>s given by the squared exponential kernel</w:t>
      </w:r>
      <w:r w:rsidR="00705D45">
        <w:t xml:space="preserve"> function</w:t>
      </w:r>
      <w:r w:rsidR="0067503E">
        <w:t>,</w:t>
      </w:r>
    </w:p>
    <w:p w14:paraId="2C4371E3" w14:textId="77777777" w:rsidR="000D6CB9" w:rsidRDefault="00000000">
      <w:pPr>
        <w:pStyle w:val="BodyText"/>
        <w:spacing w:line="480" w:lineRule="auto"/>
        <w:rPr>
          <w:rFonts w:eastAsiaTheme="minorEastAsia"/>
        </w:rPr>
      </w:pPr>
      <m:oMathPara>
        <m:oMathParaPr>
          <m:jc m:val="center"/>
        </m:oMathParaPr>
        <m:oMath>
          <m:eqArr>
            <m:eqArrPr>
              <m:maxDist m:val="1"/>
              <m:ctrlPr>
                <w:rPr>
                  <w:rFonts w:ascii="Cambria Math" w:hAnsi="Cambria Math"/>
                </w:rPr>
              </m:ctrlPr>
            </m:eqArrPr>
            <m:e>
              <m:r>
                <m:rPr>
                  <m:sty m:val="bi"/>
                </m:rPr>
                <w:rPr>
                  <w:rFonts w:ascii="Cambria Math" w:hAnsi="Cambria Math"/>
                </w:rPr>
                <m:t>K</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X</m:t>
              </m:r>
              <m:r>
                <m:rPr>
                  <m:sty m:val="p"/>
                </m:rPr>
                <w:rPr>
                  <w:rFonts w:ascii="Cambria Math" w:hAnsi="Cambria Math"/>
                </w:rPr>
                <m:t xml:space="preserve">) = </m:t>
              </m:r>
              <m:r>
                <w:rPr>
                  <w:rFonts w:ascii="Cambria Math" w:hAnsi="Cambria Math"/>
                </w:rPr>
                <m:t>k</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m:t>
                      </m:r>
                    </m:sub>
                  </m:sSub>
                </m:e>
              </m:d>
              <m:r>
                <m:rPr>
                  <m:sty m:val="p"/>
                </m:rPr>
                <w:rPr>
                  <w:rFonts w:ascii="Cambria Math" w:hAnsi="Cambria Math"/>
                </w:rPr>
                <m:t>=</m:t>
              </m:r>
              <m:sSup>
                <m:sSupPr>
                  <m:ctrlPr>
                    <w:rPr>
                      <w:rFonts w:ascii="Cambria Math" w:hAnsi="Cambria Math"/>
                    </w:rPr>
                  </m:ctrlPr>
                </m:sSupPr>
                <m:e>
                  <m:r>
                    <w:rPr>
                      <w:rFonts w:ascii="Cambria Math" w:hAnsi="Cambria Math"/>
                    </w:rPr>
                    <m:t>α</m:t>
                  </m:r>
                </m:e>
                <m:sup>
                  <m:r>
                    <m:rPr>
                      <m:sty m:val="p"/>
                    </m:rPr>
                    <w:rPr>
                      <w:rFonts w:ascii="Cambria Math" w:hAnsi="Cambria Math"/>
                    </w:rPr>
                    <m:t>2</m:t>
                  </m:r>
                </m:sup>
              </m:sSup>
              <m:r>
                <m:rPr>
                  <m:sty m:val="p"/>
                </m:rPr>
                <w:rPr>
                  <w:rFonts w:ascii="Cambria Math" w:hAnsi="Cambria Math"/>
                </w:rPr>
                <m:t>exp</m:t>
              </m:r>
              <m:d>
                <m:dPr>
                  <m:ctrlPr>
                    <w:rPr>
                      <w:rFonts w:ascii="Cambria Math" w:hAnsi="Cambria Math"/>
                    </w:rPr>
                  </m:ctrlPr>
                </m:dPr>
                <m:e>
                  <m:r>
                    <m:rPr>
                      <m:sty m:val="p"/>
                    </m:rP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m:t>
                          </m:r>
                        </m:sub>
                      </m:sSub>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num>
                    <m:den>
                      <m:r>
                        <m:rPr>
                          <m:sty m:val="p"/>
                        </m:rPr>
                        <w:rPr>
                          <w:rFonts w:ascii="Cambria Math" w:hAnsi="Cambria Math"/>
                        </w:rPr>
                        <m:t>2</m:t>
                      </m:r>
                      <m:sSup>
                        <m:sSupPr>
                          <m:ctrlPr>
                            <w:rPr>
                              <w:rFonts w:ascii="Cambria Math" w:hAnsi="Cambria Math"/>
                            </w:rPr>
                          </m:ctrlPr>
                        </m:sSupPr>
                        <m:e>
                          <m:r>
                            <w:rPr>
                              <w:rFonts w:ascii="Cambria Math" w:hAnsi="Cambria Math"/>
                            </w:rPr>
                            <m:t>ρ</m:t>
                          </m:r>
                        </m:e>
                        <m:sup>
                          <m:r>
                            <m:rPr>
                              <m:sty m:val="p"/>
                            </m:rPr>
                            <w:rPr>
                              <w:rFonts w:ascii="Cambria Math" w:hAnsi="Cambria Math"/>
                            </w:rPr>
                            <m:t>2</m:t>
                          </m:r>
                        </m:sup>
                      </m:sSup>
                    </m:den>
                  </m:f>
                </m:e>
              </m:d>
              <m:r>
                <m:rPr>
                  <m:sty m:val="p"/>
                </m:rPr>
                <w:rPr>
                  <w:rFonts w:ascii="Cambria Math" w:hAnsi="Cambria Math"/>
                </w:rPr>
                <m:t>#2</m:t>
              </m:r>
            </m:e>
          </m:eqArr>
        </m:oMath>
      </m:oMathPara>
    </w:p>
    <w:p w14:paraId="1D315C82" w14:textId="77777777" w:rsidR="000D6CB9" w:rsidRDefault="00000000">
      <w:pPr>
        <w:pStyle w:val="FirstParagraph"/>
        <w:spacing w:line="480" w:lineRule="auto"/>
      </w:pPr>
      <w:r>
        <w:t xml:space="preserve">where </w:t>
      </w:r>
      <w:r w:rsidR="00F00310" w:rsidRPr="007664E1">
        <w:rPr>
          <w:i/>
          <w:iCs/>
          <w:lang w:val="el-GR"/>
        </w:rPr>
        <w:t>α</w:t>
      </w:r>
      <w:r w:rsidR="00F00310">
        <w:rPr>
          <w:vertAlign w:val="superscript"/>
        </w:rPr>
        <w:t>2</w:t>
      </w:r>
      <w:r>
        <w:t xml:space="preserve"> is the amplitude</w:t>
      </w:r>
      <w:r w:rsidR="00ED70B9" w:rsidRPr="00ED70B9">
        <w:t xml:space="preserve"> (i.e., the marginal variance of the spatial process, controlling the overall magnitude of variation in abundance)</w:t>
      </w:r>
      <w:r>
        <w:t xml:space="preserve">, </w:t>
      </w:r>
      <w:r w:rsidR="007664E1" w:rsidRPr="007664E1">
        <w:rPr>
          <w:i/>
          <w:iCs/>
          <w:lang w:val="el-GR"/>
        </w:rPr>
        <w:t>ρ</w:t>
      </w:r>
      <w:r>
        <w:t xml:space="preserve"> is the length-scale parameter (in </w:t>
      </w:r>
      <w:r w:rsidR="007801CF" w:rsidRPr="007801CF">
        <w:rPr>
          <w:i/>
          <w:iCs/>
        </w:rPr>
        <w:t>x</w:t>
      </w:r>
      <w:r w:rsidR="00CE0914" w:rsidRPr="00CE0914">
        <w:rPr>
          <w:i/>
          <w:iCs/>
          <w:vertAlign w:val="subscript"/>
        </w:rPr>
        <w:t>i</w:t>
      </w:r>
      <w:r w:rsidR="007801CF" w:rsidRPr="007801CF">
        <w:t>-</w:t>
      </w:r>
      <w:proofErr w:type="spellStart"/>
      <w:r w:rsidR="007801CF" w:rsidRPr="007801CF">
        <w:rPr>
          <w:i/>
          <w:iCs/>
        </w:rPr>
        <w:t>x</w:t>
      </w:r>
      <w:r w:rsidR="00CE0914" w:rsidRPr="00CE0914">
        <w:rPr>
          <w:i/>
          <w:iCs/>
          <w:vertAlign w:val="subscript"/>
        </w:rPr>
        <w:t>j</w:t>
      </w:r>
      <w:proofErr w:type="spellEnd"/>
      <w:r>
        <w:t xml:space="preserve"> units</w:t>
      </w:r>
      <w:r w:rsidR="007801CF">
        <w:t xml:space="preserve">; hereafter </w:t>
      </w:r>
      <w:r w:rsidR="007801CF" w:rsidRPr="007801CF">
        <w:t>spatial autocorrelation</w:t>
      </w:r>
      <w:r>
        <w:t xml:space="preserve">).  </w:t>
      </w:r>
    </w:p>
    <w:p w14:paraId="711766BF" w14:textId="77777777" w:rsidR="001063EA" w:rsidRPr="001063EA" w:rsidRDefault="001063EA" w:rsidP="001063EA">
      <w:pPr>
        <w:pStyle w:val="BodyText"/>
      </w:pPr>
    </w:p>
    <w:p w14:paraId="1FF8BFD3" w14:textId="5629A3D0" w:rsidR="000974AE" w:rsidRDefault="000974AE" w:rsidP="001643E6">
      <w:pPr>
        <w:pStyle w:val="Heading2"/>
        <w:spacing w:before="0" w:after="0" w:line="480" w:lineRule="auto"/>
      </w:pPr>
      <w:r>
        <w:t>Empirical eDNA data</w:t>
      </w:r>
    </w:p>
    <w:p w14:paraId="4E6F073F" w14:textId="785F7F19" w:rsidR="000974AE" w:rsidRDefault="000974AE" w:rsidP="001643E6">
      <w:pPr>
        <w:pStyle w:val="FirstParagraph"/>
        <w:spacing w:line="480" w:lineRule="auto"/>
      </w:pPr>
      <w:r>
        <w:t>Environmental DNA samples were collected during the Joint U.S.-Canada Integrated Ecosystem and Pacific Hake Acoustic-Trawl Survey aboard the NOAA ship Bell M. Shimada in summer 2019 (de Blois 2020)</w:t>
      </w:r>
      <w:r w:rsidR="0046620B">
        <w:t>.</w:t>
      </w:r>
      <w:r w:rsidR="0046620B" w:rsidRPr="0046620B">
        <w:t xml:space="preserve"> </w:t>
      </w:r>
      <w:r>
        <w:t xml:space="preserve">Sampling spanned a broad latitudinal and longitudinal gradient along the U.S. West Coast, extending from 123.53° to 125.93° W (243–461 km UTM eastings; span = 218 km) and from 38.36° - 48.46° N (4249 - 5367 km UTM northings; range 1118 km), corresponding to a region from central California to northern Washington. At each site, seawater (10 L) was collected using </w:t>
      </w:r>
      <w:proofErr w:type="spellStart"/>
      <w:r>
        <w:t>Niskin</w:t>
      </w:r>
      <w:proofErr w:type="spellEnd"/>
      <w:r>
        <w:t xml:space="preserve"> bottles mounted on a CTD rosette system, targeting five depths (0, 50, 150, 300, and 500 m). From each bottle, 2.5 L of seawater was immediately filtered onboard through sterile 47 mm mixed cellulose ester filters (1 </w:t>
      </w:r>
      <m:oMath>
        <m:r>
          <w:rPr>
            <w:rFonts w:ascii="Cambria Math" w:hAnsi="Cambria Math"/>
          </w:rPr>
          <m:t>μ</m:t>
        </m:r>
      </m:oMath>
      <w:r>
        <w:t xml:space="preserve">m pore size) to capture suspended eDNA. Filters were preserved and DNA was extracted using a phase-lock phenol-chloroform protocol, following established methods </w:t>
      </w:r>
      <w:r w:rsidR="00FB75C5">
        <w:fldChar w:fldCharType="begin"/>
      </w:r>
      <w:r w:rsidR="00FB75C5">
        <w:instrText xml:space="preserve"> ADDIN ZOTERO_ITEM CSL_CITATION {"citationID":"qZ3lBBhL","properties":{"unsorted":false,"formattedCitation":"(Ram\\uc0\\u243{}n-Laca et al., 2021; Shelton et al., 2022)","plainCitation":"(Ramón-Laca et al., 2021; Shelton et al., 2022)","noteIndex":0},"citationItems":[{"id":3711,"uris":["http://zotero.org/users/9456007/items/NXJBJH4P"],"itemData":{"id":3711,"type":"article-journal","abstract":"While the number of published marine studies using environmental DNA (eDNA) has increased substantially in recent years, marine fish surveys are still scarce. To examine the potential for eDNA to support marine fisheries monitoring surveys, we optimized an eDNA isolation method, developed a multispecies assay and tested it on eDNA samples collected along the Pacific coast of the United States. Four commercial DNA extraction kits that exploit the capability of the nucleic acids binding a solid phase (two using a silica matrix and two magnetic beads) as well an organic separation method were tested. A species-specific multiplex qPCR assay was developed and tested to simultaneously target Pacific hake (\n              Merluccius productus\n              ), Pacific lamprey (\n              Entosphenus tridentatus\n              ) and eulachon (\n              Thaleichthys pacificus\n              ). The specificity of the assay was tested in silico, in vitro and in natura. Environmental DNA isolation using phenol:chloroform:isoamyl purification with a phase lock was optimized and yielded the highest amount of total and target DNA and was used to extract 46 marine water samples for the detection of the three species of interest. The multiplex qPCR assay used in the quantification process was also optimized to provide convenience and accuracy. Pacific hake was present in 44% of the eDNA samples while the other two species were absent. Here, we present a complete workflow for the simultaneous detection and quantification of multiple marine fish species using eDNA. This workflow supports large-scale at-sea sampling efforts with preservation at ambient temperatures and has demonstrated DNA extraction efficiency and reliability. The multiplex qPCR assay is shown to be sensitive and specific for the purposes of simultaneously monitoring the relative abundance of multiple targeted fish species.","citation-key":"ramon-laca2021","container-title":"PLOS ONE","DOI":"10.1371/journal.pone.0257773","ISSN":"1932-6203","issue":"9","journalAbbreviation":"PLoS ONE","language":"en","note":"19 citations (Crossref/DOI) [2026-01-20]\n16 citations (Crossref/DOI) [2025-10-27]","page":"e0257773","source":"DOI.org (Crossref)","title":"A workflow for the relative quantification of multiple fish species from oceanic water samples using environmental DNA (eDNA) to support large-scale fishery surveys","volume":"16","author":[{"family":"Ramón-Laca","given":"Ana"},{"family":"Wells","given":"Abigail"},{"family":"Park","given":"Linda"}],"editor":[{"family":"Doi","given":"Hideyuki"}],"issued":{"date-parts":[["2021",9,27]]}}},{"id":749,"uris":["http://zotero.org/users/9456007/items/R4RSPWHM"],"itemData":{"id":749,"type":"article-journal","abstract":"All species inevitably leave genetic traces in their environments, and the resulting environmental DNA (eDNA) reflects the species present in a given habitat. It remains unclear whether eDNA signals can provide quantitative metrics of abundance on which human livelihoods or conservation successes depend. Here, we report the results of a large eDNA ocean survey (spanning 86 000 km\n              2\n              to depths of 500 m) to understand the abundance and distribution of Pacific hake (\n              Merluccius productus\n              ), the target of the largest finfish fishery along the west coast of the USA. We sampled eDNA in parallel with a traditional acoustic-trawl survey to assess the value of eDNA surveys at a scale relevant to fisheries management. Despite local differences, the two methods yield comparable information about the broad-scale spatial distribution and abundance. Furthermore, we find depth and spatial patterns of eDNA closely correspond to acoustic-trawl estimates for hake. We demonstrate the power and efficacy of eDNA sampling for estimating abundance and distribution and move the analysis eDNA data beyond sample-to-sample comparisons to management relevant scales. We posit that eDNA methods are capable of providing general quantitative applications that will prove especially valuable in data- or resource-limited contexts.","citation-key":"shelton2022","container-title":"Proceedings of the Royal Society B: Biological Sciences","DOI":"https://doi.org/10.1098/rspb.2021.2613","ISSN":"0962-8452, 1471-2954","issue":"1971","journalAbbreviation":"Proc. R. Soc. B.","language":"en","note":"76 citations (Crossref/DOI) [2026-01-20]\n71 citations (Crossref/DOI) [2025-10-27]\n32 citations (Crossref) [2023-10-02]\n1 citations (Semantic Scholar/DOI) [2022-05-12]","page":"20212613","source":"DOI.org (Crossref)","title":"Environmental DNA provides quantitative estimates of Pacific hake abundance and distribution in the open ocean","volume":"289","author":[{"family":"Shelton","given":"Andrew Olaf"},{"family":"Ramón-Laca","given":"Ana"},{"family":"Wells","given":"Abigail"},{"family":"Clemons","given":"Julia"},{"family":"Chu","given":"Dezhang"},{"family":"Feist","given":"Blake E."},{"family":"Kelly","given":"Ryan P."},{"family":"Parker-Stetter","given":"Sandra L."},{"family":"Thomas","given":"Rebecca"},{"family":"Nichols","given":"Krista M."},{"family":"Park","given":"Linda"}],"issued":{"date-parts":[["2022",3,30]]}}}],"schema":"https://github.com/citation-style-language/schema/raw/master/csl-citation.json"} </w:instrText>
      </w:r>
      <w:r w:rsidR="00FB75C5">
        <w:fldChar w:fldCharType="separate"/>
      </w:r>
      <w:r w:rsidR="00FB75C5" w:rsidRPr="00FB75C5">
        <w:rPr>
          <w:rFonts w:cs="Times New Roman"/>
        </w:rPr>
        <w:t>(Ramón-Laca et al., 2021; Shelton et al., 2022)</w:t>
      </w:r>
      <w:r w:rsidR="00FB75C5">
        <w:fldChar w:fldCharType="end"/>
      </w:r>
      <w:r>
        <w:t>.</w:t>
      </w:r>
    </w:p>
    <w:p w14:paraId="1475DAF9" w14:textId="77777777" w:rsidR="000974AE" w:rsidRDefault="000974AE" w:rsidP="001643E6">
      <w:pPr>
        <w:pStyle w:val="BodyText"/>
        <w:spacing w:line="480" w:lineRule="auto"/>
      </w:pPr>
    </w:p>
    <w:p w14:paraId="5902B6BB" w14:textId="6D18E8CF" w:rsidR="00E05D8F" w:rsidRDefault="000974AE" w:rsidP="001643E6">
      <w:pPr>
        <w:pStyle w:val="BodyText"/>
        <w:spacing w:line="480" w:lineRule="auto"/>
      </w:pPr>
      <w:r>
        <w:t xml:space="preserve">Samples underwent PCR amplification using the </w:t>
      </w:r>
      <w:proofErr w:type="spellStart"/>
      <w:r>
        <w:t>MiFish</w:t>
      </w:r>
      <w:proofErr w:type="spellEnd"/>
      <w:r>
        <w:t xml:space="preserve"> U universal primer set</w:t>
      </w:r>
      <w:r w:rsidR="002F6B9D">
        <w:t xml:space="preserve"> </w:t>
      </w:r>
      <w:r w:rsidR="002F6B9D">
        <w:fldChar w:fldCharType="begin"/>
      </w:r>
      <w:r w:rsidR="00AA6C90">
        <w:instrText xml:space="preserve"> ADDIN ZOTERO_ITEM CSL_CITATION {"citationID":"oQ58iqqn","properties":{"unsorted":false,"formattedCitation":"(Miya et al., 2015)","plainCitation":"(Miya et al., 2015)","noteIndex":0},"citationItems":[{"id":348,"uris":["http://zotero.org/users/9456007/items/7BIU8GAX"],"itemData":{"id":348,"type":"article-journal","abstract":"We developed a set of universal PCR primers (MiFish-U/E) for metabarcoding environmental DNA (eDNA) from fishes. Primers were designed using aligned whole mitochondrial genome (mitogenome) sequences from 880 species, supplemented by partial mitogenome sequences from 160 elasmobranchs (sharks and rays). The primers target a hypervariable region of the 12S rRNA gene (163–185 bp), which contains sufficient information to identify fishes to taxonomic family, genus and species except for some closely related congeners. To test versatility of the primers across a diverse range of fishes, we sampled eDNA from four tanks in the Okinawa Churaumi Aquarium with known species compositions, prepared dual-indexed libraries and performed paired-end sequencing of the region using high-throughput next-generation sequencing technologies. Out of the 180 marine fish species contained in the four tanks with reference sequences in a custom database, we detected 168 species (93.3%) distributed across 59 families and 123 genera. These fishes are not only taxonomically diverse, ranging from sharks and rays to higher teleosts, but are also greatly varied in their ecology, including both pelagic and benthic species living in shallow coastal to deep waters. We also sampled natural seawaters around coral reefs near the aquarium and detected 93 fish species using this approach. Of the 93 species, 64 were not detected in the four aquarium tanks, rendering the total number of species detected to 232 (from 70 families and 152 genera). The metabarcoding approach presented here is non-invasive, more efficient, more cost-effective and more sensitive than the traditional survey methods. It has the potential to serve as an alternative (or complementary) tool for biodiversity monitoring that revolutionizes natural resource management and ecological studies of fish communities on larger spatial and temporal scales.","citation-key":"miya2015a","container-title":"Royal Society Open Science","DOI":"10.1098/rsos.150088","ISSN":"20545703","note":"1164 citations (Crossref/DOI) [2026-01-20]\n1095 citations (Crossref/DOI) [2025-10-27]","PMID":"26587265","title":"MiFish, a set of universal PCR primers for metabarcoding environmental DNA from fishes: Detection of more than 230 subtropical marine species","author":[{"family":"Miya","given":"M."},{"family":"Sato","given":"Y."},{"family":"Fukunaga","given":"T."},{"family":"Sado","given":"T."},{"family":"Poulsen","given":"J. Y."},{"family":"Sato","given":"K."},{"family":"Minamoto","given":"T."},{"family":"Yamamoto","given":"S."},{"family":"Yamanaka","given":"H."},{"family":"Araki","given":"H."},{"family":"Kondoh","given":"M."},{"family":"Iwasaki","given":"W."}],"issued":{"date-parts":[["2015"]]}}}],"schema":"https://github.com/citation-style-language/schema/raw/master/csl-citation.json"} </w:instrText>
      </w:r>
      <w:r w:rsidR="002F6B9D">
        <w:fldChar w:fldCharType="separate"/>
      </w:r>
      <w:r w:rsidR="00AA6C90">
        <w:rPr>
          <w:noProof/>
        </w:rPr>
        <w:t>(Miya et al., 2015)</w:t>
      </w:r>
      <w:r w:rsidR="002F6B9D">
        <w:fldChar w:fldCharType="end"/>
      </w:r>
      <w:r>
        <w:t xml:space="preserve">, targeting a 170 bp fragment of the mitochondrial 12S rRNA gene and thereafter sequenced on an Illumina </w:t>
      </w:r>
      <w:proofErr w:type="spellStart"/>
      <w:r>
        <w:t>MiSeq</w:t>
      </w:r>
      <w:proofErr w:type="spellEnd"/>
      <w:r>
        <w:t xml:space="preserve"> platform (2x150 bp paired-end) at the University of Washington Genomics Core. Raw sequence reads were processed using the DADA2 pipeline </w:t>
      </w:r>
      <w:r w:rsidR="00AA6C90">
        <w:fldChar w:fldCharType="begin"/>
      </w:r>
      <w:r w:rsidR="00AA6C90">
        <w:instrText xml:space="preserve"> ADDIN ZOTERO_ITEM CSL_CITATION {"citationID":"Vj6oMyOP","properties":{"unsorted":false,"formattedCitation":"(Callahan et al., 2016)","plainCitation":"(Callahan et al., 2016)","noteIndex":0},"citationItems":[{"id":3708,"uris":["http://zotero.org/users/9456007/items/Z3Z2FXPP"],"itemData":{"id":3708,"type":"article-journal","citation-key":"callahan2016","container-title":"Nature Methods","DOI":"10.1038/nmeth.3869","ISSN":"1548-7091, 1548-7105","issue":"7","journalAbbreviation":"Nat Methods","language":"en","note":"28980 citations (Crossref/DOI) [2026-01-20]\n27353 citations (Crossref/DOI) [2025-10-27]\n27353 citations (Crossref/DOI) [2025-10-27]\n27353 citations (Crossref/DOI) [2025-10-27]","page":"581-583","source":"DOI.org (Crossref)","title":"DADA2: High-resolution sample inference from Illumina amplicon data","title-short":"DADA2","volume":"13","author":[{"family":"Callahan","given":"Benjamin J"},{"family":"McMurdie","given":"Paul J"},{"family":"Rosen","given":"Michael J"},{"family":"Han","given":"Andrew W"},{"family":"Johnson","given":"Amy Jo A"},{"family":"Holmes","given":"Susan P"}],"issued":{"date-parts":[["2016",7]]}}}],"schema":"https://github.com/citation-style-language/schema/raw/master/csl-citation.json"} </w:instrText>
      </w:r>
      <w:r w:rsidR="00AA6C90">
        <w:fldChar w:fldCharType="separate"/>
      </w:r>
      <w:r w:rsidR="00AA6C90">
        <w:rPr>
          <w:noProof/>
        </w:rPr>
        <w:t>(Callahan et al., 2016)</w:t>
      </w:r>
      <w:r w:rsidR="00AA6C90">
        <w:fldChar w:fldCharType="end"/>
      </w:r>
      <w:r>
        <w:t xml:space="preserve"> to generate amplicon sequence variants (ASVs), which were taxonomically assigned using a custom reference database from NCBI GenBank and BOLD Systems. The same set of samples were used to estimate hake eDNA concentration using qPCR (see more </w:t>
      </w:r>
      <w:r w:rsidR="00232D1E">
        <w:fldChar w:fldCharType="begin"/>
      </w:r>
      <w:r w:rsidR="00387956">
        <w:instrText xml:space="preserve"> ADDIN ZOTERO_ITEM CSL_CITATION {"citationID":"H7tL89zp","properties":{"unsorted":false,"formattedCitation":"(Guri et al., 2025)","plainCitation":"(Guri et al., 2025)","dontUpdate":true,"noteIndex":0},"citationItems":[{"id":4730,"uris":["http://zotero.org/users/9456007/items/HQXX6EZM"],"itemData":{"id":4730,"type":"article","abstract":"Abstract\n          Molecular data from environmental samples can reflect the abundance of species’ DNA, an index immediately relevant to natural-resources management at a broad geographic scale. These data commonly derive from assays designed and targeted for individual species (e.g., using qPCR or ddPCR), or from metabarcoding that use more general PCR primers to amplify many species simultaneously. Multispecies analyses make efficient use of field samples and laboratory time, and speak to inherently multispecies questions of management and ecological interest. However, unlike single-species techniques, metabarcoding alone generally reflects only the environmental DNA (eDNA) proportions of target-species DNA present, not their absolute quantities. Here, we combine qPCR and metabarcoding data derived from the same samples to estimate quantities of eDNA from many fish species along the US West Coast in three dimensions, demonstrating a technique of practical relevance for both management and ecology. We derive spatially explicit maps of eDNA abundances for 12 common species of ecological and management importance and point the way to quantitative surveys of wild species using molecules alone. We find that species distribution maps derived from eDNA largely mirror known species niches and known spatial distributions. Notably, our analyses indentify biodiversity hotspots that align with previously documented regions of ecological significance, such as the Columbia River plume and the Heceta Bank.","citation-key":"guri2025","DOI":"10.1101/2025.10.30.685180","language":"en","license":"http://creativecommons.org/licenses/by-nc-nd/4.0/","publisher":"Ecology","source":"DOI.org (Crossref)","title":"Quantitative, Multispecies Monitoring at a Continental Scale","URL":"http://biorxiv.org/lookup/doi/10.1101/2025.10.30.685180","author":[{"family":"Guri","given":"Gledis"},{"family":"Liu","given":"Owen R."},{"family":"Kelly","given":"Ryan P."},{"family":"Shaffer","given":"Megan R."},{"family":"Parsons","given":"Kim M."},{"family":"Ramón-Laca","given":"Ana"},{"family":"Nichols","given":"Krista M."},{"family":"Brandão-Dias","given":"Pedro F. P."},{"family":"Wells","given":"Abigail"},{"family":"Shelton","given":"Andrew Olaf"}],"accessed":{"date-parts":[["2026",5,7]]},"issued":{"date-parts":[["2025",10,31]]}}}],"schema":"https://github.com/citation-style-language/schema/raw/master/csl-citation.json"} </w:instrText>
      </w:r>
      <w:r w:rsidR="00232D1E">
        <w:fldChar w:fldCharType="separate"/>
      </w:r>
      <w:r>
        <w:rPr>
          <w:noProof/>
        </w:rPr>
        <w:t>Guri et al., 2025</w:t>
      </w:r>
      <w:r w:rsidR="00232D1E">
        <w:fldChar w:fldCharType="end"/>
      </w:r>
      <w:r>
        <w:t xml:space="preserve">). </w:t>
      </w:r>
      <w:r w:rsidRPr="005A6DEF">
        <w:t>Species-specific eDNA concentrations were estimated by jointly modeling ASV read counts, a mock community to correct for amplification bias, and qPCR measurements of Pacific hake to estimate absolute eDNA abundance for 12 fish species</w:t>
      </w:r>
      <w:r w:rsidR="00FB75C5">
        <w:t xml:space="preserve"> </w:t>
      </w:r>
      <w:r w:rsidR="00FB75C5">
        <w:fldChar w:fldCharType="begin"/>
      </w:r>
      <w:r w:rsidR="00FB75C5">
        <w:instrText xml:space="preserve"> ADDIN ZOTERO_ITEM CSL_CITATION {"citationID":"0nFHkra4","properties":{"unsorted":false,"formattedCitation":"(Guri et al., 2024, 2025)","plainCitation":"(Guri et al., 2024, 2025)","noteIndex":0},"citationItems":[{"id":619,"uris":["http://zotero.org/users/9456007/items/HEWRJKJD"],"itemData":{"id":619,"type":"article-journal","abstract":"Abstract\n            Quantifying the biomass, or number of individuals, diversity, and distribution of marine species is a critical aspect of understanding and managing marine ecosystems. In recent years, there has been growing interest in using environmental DNA (eDNA) for marine ecosystem management and biodiversity assessment. However, the main challenge hindering eDNA applicability has been the inability to infer absolute species abundances from multispecies analysis (eDNA metabarcoding). In this study, we demonstrate a way forward by estimating the abundance of commercially important fish species in a Norwegian fjord using a joint Bayesian statistical model of traditional trawl-catch data and molecular data derived from eDNA. Using this model, we accurately predict out-of-sample trawl catches using eDNA alone. Moreover, our model provides empirical estimates for key processes linking marine eDNA concentration to the fish population abundance estimated from trawl observations, including trawl catchability, DNA shedding, degradation, dilution, transport, recovery rate, and isolation efficiency. These processes, including amplification efficiencies correcting for Polymerase Chain Reaction (PCR) bias, are species-specific and enable the translation of eDNA metabarcoding data into abundances. These findings have broad implications for the use of eDNA in marine ecosystem management and conservation efforts.","citation-key":"guri2024a","container-title":"ICES Journal of Marine Science","DOI":"10.1093/icesjms/fsae097","ISSN":"1054-3139, 1095-9289","language":"en","license":"https://creativecommons.org/licenses/by/4.0/","note":"24 citations (Crossref/DOI) [2026-01-20]\n20 citations (Crossref/DOI) [2025-12-02]\n17 citations (Crossref/DOI) [2025-10-27]\n16 citations (Semantic Scholar/DOI) [2025-10-27]\n17 citations (Crossref/DOI) [2025-10-27]","page":"fsae097","source":"DOI.org (Crossref)","title":"Predicting trawl catches using environmental DNA","author":[{"family":"Guri","given":"Gledis"},{"family":"Shelton","given":"Andrew Olaf"},{"family":"Kelly","given":"Ryan P"},{"family":"Yoccoz","given":"Nigel"},{"family":"Johansen","given":"Torild"},{"family":"Præbel","given":"Kim"},{"family":"Hanebrekke","given":"Tanja"},{"family":"Ray","given":"Jessica Louise"},{"family":"Fall","given":"Johanna"},{"family":"Westgaard","given":"Jon-Ivar"}],"editor":[{"family":"Grant","given":"W Stewart"}],"issued":{"date-parts":[["2024",8,7]]}}},{"id":4730,"uris":["http://zotero.org/users/9456007/items/HQXX6EZM"],"itemData":{"id":4730,"type":"article","abstract":"Abstract\n          Molecular data from environmental samples can reflect the abundance of species’ DNA, an index immediately relevant to natural-resources management at a broad geographic scale. These data commonly derive from assays designed and targeted for individual species (e.g., using qPCR or ddPCR), or from metabarcoding that use more general PCR primers to amplify many species simultaneously. Multispecies analyses make efficient use of field samples and laboratory time, and speak to inherently multispecies questions of management and ecological interest. However, unlike single-species techniques, metabarcoding alone generally reflects only the environmental DNA (eDNA) proportions of target-species DNA present, not their absolute quantities. Here, we combine qPCR and metabarcoding data derived from the same samples to estimate quantities of eDNA from many fish species along the US West Coast in three dimensions, demonstrating a technique of practical relevance for both management and ecology. We derive spatially explicit maps of eDNA abundances for 12 common species of ecological and management importance and point the way to quantitative surveys of wild species using molecules alone. We find that species distribution maps derived from eDNA largely mirror known species niches and known spatial distributions. Notably, our analyses indentify biodiversity hotspots that align with previously documented regions of ecological significance, such as the Columbia River plume and the Heceta Bank.","citation-key":"guri2025","DOI":"10.1101/2025.10.30.685180","language":"en","license":"http://creativecommons.org/licenses/by-nc-nd/4.0/","publisher":"Ecology","source":"DOI.org (Crossref)","title":"Quantitative, Multispecies Monitoring at a Continental Scale","URL":"http://biorxiv.org/lookup/doi/10.1101/2025.10.30.685180","author":[{"family":"Guri","given":"Gledis"},{"family":"Liu","given":"Owen R."},{"family":"Kelly","given":"Ryan P."},{"family":"Shaffer","given":"Megan R."},{"family":"Parsons","given":"Kim M."},{"family":"Ramón-Laca","given":"Ana"},{"family":"Nichols","given":"Krista M."},{"family":"Brandão-Dias","given":"Pedro F. P."},{"family":"Wells","given":"Abigail"},{"family":"Shelton","given":"Andrew Olaf"}],"accessed":{"date-parts":[["2026",5,7]]},"issued":{"date-parts":[["2025",10,31]]}}}],"schema":"https://github.com/citation-style-language/schema/raw/master/csl-citation.json"} </w:instrText>
      </w:r>
      <w:r w:rsidR="00FB75C5">
        <w:fldChar w:fldCharType="separate"/>
      </w:r>
      <w:r w:rsidR="00FB75C5">
        <w:rPr>
          <w:noProof/>
        </w:rPr>
        <w:t>(Guri et al., 2024, 2025)</w:t>
      </w:r>
      <w:r w:rsidR="00FB75C5">
        <w:fldChar w:fldCharType="end"/>
      </w:r>
      <w:r w:rsidRPr="005A6DEF">
        <w:t>.</w:t>
      </w:r>
      <w:r w:rsidR="00527630">
        <w:t xml:space="preserve"> </w:t>
      </w:r>
      <w:r>
        <w:t xml:space="preserve">The focal assemblage comprised a mixture of pelagic, mesopelagic, and demersal taxa characteristic of the California Current ecosystem, including </w:t>
      </w:r>
      <w:r>
        <w:rPr>
          <w:i/>
          <w:iCs/>
        </w:rPr>
        <w:t xml:space="preserve">Clupea </w:t>
      </w:r>
      <w:proofErr w:type="spellStart"/>
      <w:r>
        <w:rPr>
          <w:i/>
          <w:iCs/>
        </w:rPr>
        <w:t>pallasii</w:t>
      </w:r>
      <w:proofErr w:type="spellEnd"/>
      <w:r>
        <w:t xml:space="preserve">, </w:t>
      </w:r>
      <w:proofErr w:type="spellStart"/>
      <w:r>
        <w:rPr>
          <w:i/>
          <w:iCs/>
        </w:rPr>
        <w:t>Engraulis</w:t>
      </w:r>
      <w:proofErr w:type="spellEnd"/>
      <w:r>
        <w:rPr>
          <w:i/>
          <w:iCs/>
        </w:rPr>
        <w:t xml:space="preserve"> mordax</w:t>
      </w:r>
      <w:r>
        <w:t xml:space="preserve">, </w:t>
      </w:r>
      <w:proofErr w:type="spellStart"/>
      <w:r>
        <w:rPr>
          <w:i/>
          <w:iCs/>
        </w:rPr>
        <w:t>Leuroglossus</w:t>
      </w:r>
      <w:proofErr w:type="spellEnd"/>
      <w:r>
        <w:rPr>
          <w:i/>
          <w:iCs/>
        </w:rPr>
        <w:t xml:space="preserve"> </w:t>
      </w:r>
      <w:proofErr w:type="spellStart"/>
      <w:r>
        <w:rPr>
          <w:i/>
          <w:iCs/>
        </w:rPr>
        <w:t>stilbius</w:t>
      </w:r>
      <w:proofErr w:type="spellEnd"/>
      <w:r>
        <w:t xml:space="preserve">, </w:t>
      </w:r>
      <w:proofErr w:type="spellStart"/>
      <w:r>
        <w:rPr>
          <w:i/>
          <w:iCs/>
        </w:rPr>
        <w:t>Microstomus</w:t>
      </w:r>
      <w:proofErr w:type="spellEnd"/>
      <w:r>
        <w:rPr>
          <w:i/>
          <w:iCs/>
        </w:rPr>
        <w:t xml:space="preserve"> pacificus</w:t>
      </w:r>
      <w:r>
        <w:t xml:space="preserve">, </w:t>
      </w:r>
      <w:r>
        <w:rPr>
          <w:i/>
          <w:iCs/>
        </w:rPr>
        <w:t xml:space="preserve">Sardinops </w:t>
      </w:r>
      <w:proofErr w:type="spellStart"/>
      <w:r>
        <w:rPr>
          <w:i/>
          <w:iCs/>
        </w:rPr>
        <w:t>sagax</w:t>
      </w:r>
      <w:proofErr w:type="spellEnd"/>
      <w:r>
        <w:t xml:space="preserve">, </w:t>
      </w:r>
      <w:proofErr w:type="spellStart"/>
      <w:r>
        <w:rPr>
          <w:i/>
          <w:iCs/>
        </w:rPr>
        <w:t>Scomber</w:t>
      </w:r>
      <w:proofErr w:type="spellEnd"/>
      <w:r>
        <w:rPr>
          <w:i/>
          <w:iCs/>
        </w:rPr>
        <w:t xml:space="preserve"> japonicus</w:t>
      </w:r>
      <w:r>
        <w:t xml:space="preserve">, </w:t>
      </w:r>
      <w:r>
        <w:rPr>
          <w:i/>
          <w:iCs/>
        </w:rPr>
        <w:t xml:space="preserve">Sebastes </w:t>
      </w:r>
      <w:proofErr w:type="spellStart"/>
      <w:r>
        <w:rPr>
          <w:i/>
          <w:iCs/>
        </w:rPr>
        <w:t>entomelas</w:t>
      </w:r>
      <w:proofErr w:type="spellEnd"/>
      <w:r>
        <w:t xml:space="preserve">, </w:t>
      </w:r>
      <w:proofErr w:type="spellStart"/>
      <w:r>
        <w:rPr>
          <w:i/>
          <w:iCs/>
        </w:rPr>
        <w:t>Stenobrachius</w:t>
      </w:r>
      <w:proofErr w:type="spellEnd"/>
      <w:r>
        <w:rPr>
          <w:i/>
          <w:iCs/>
        </w:rPr>
        <w:t xml:space="preserve"> </w:t>
      </w:r>
      <w:proofErr w:type="spellStart"/>
      <w:r>
        <w:rPr>
          <w:i/>
          <w:iCs/>
        </w:rPr>
        <w:t>leucopsarus</w:t>
      </w:r>
      <w:proofErr w:type="spellEnd"/>
      <w:r>
        <w:t xml:space="preserve">, </w:t>
      </w:r>
      <w:proofErr w:type="spellStart"/>
      <w:r>
        <w:rPr>
          <w:i/>
          <w:iCs/>
        </w:rPr>
        <w:t>Tactostoma</w:t>
      </w:r>
      <w:proofErr w:type="spellEnd"/>
      <w:r>
        <w:rPr>
          <w:i/>
          <w:iCs/>
        </w:rPr>
        <w:t xml:space="preserve"> </w:t>
      </w:r>
      <w:proofErr w:type="spellStart"/>
      <w:r>
        <w:rPr>
          <w:i/>
          <w:iCs/>
        </w:rPr>
        <w:t>macropus</w:t>
      </w:r>
      <w:proofErr w:type="spellEnd"/>
      <w:r>
        <w:t xml:space="preserve">, </w:t>
      </w:r>
      <w:proofErr w:type="spellStart"/>
      <w:r>
        <w:rPr>
          <w:i/>
          <w:iCs/>
        </w:rPr>
        <w:t>Tarletonbeania</w:t>
      </w:r>
      <w:proofErr w:type="spellEnd"/>
      <w:r>
        <w:rPr>
          <w:i/>
          <w:iCs/>
        </w:rPr>
        <w:t xml:space="preserve"> </w:t>
      </w:r>
      <w:proofErr w:type="spellStart"/>
      <w:r>
        <w:rPr>
          <w:i/>
          <w:iCs/>
        </w:rPr>
        <w:t>crenularis</w:t>
      </w:r>
      <w:proofErr w:type="spellEnd"/>
      <w:r>
        <w:t xml:space="preserve">, </w:t>
      </w:r>
      <w:proofErr w:type="spellStart"/>
      <w:r>
        <w:rPr>
          <w:i/>
          <w:iCs/>
        </w:rPr>
        <w:t>Thaleichthys</w:t>
      </w:r>
      <w:proofErr w:type="spellEnd"/>
      <w:r>
        <w:rPr>
          <w:i/>
          <w:iCs/>
        </w:rPr>
        <w:t xml:space="preserve"> pacificus</w:t>
      </w:r>
      <w:r>
        <w:t xml:space="preserve"> and </w:t>
      </w:r>
      <w:r>
        <w:rPr>
          <w:i/>
          <w:iCs/>
        </w:rPr>
        <w:t xml:space="preserve">Trachurus </w:t>
      </w:r>
      <w:proofErr w:type="spellStart"/>
      <w:r>
        <w:rPr>
          <w:i/>
          <w:iCs/>
        </w:rPr>
        <w:t>symmetricus</w:t>
      </w:r>
      <w:proofErr w:type="spellEnd"/>
      <w:r>
        <w:t>.</w:t>
      </w:r>
      <w:r w:rsidR="00FC3664">
        <w:t xml:space="preserve"> </w:t>
      </w:r>
      <w:r>
        <w:t>The final empirical dataset included eDNA measurements (in log copies/L) from 358 spatially distributed sampling among the reported depth layers.</w:t>
      </w:r>
    </w:p>
    <w:p w14:paraId="56FCDECE" w14:textId="77777777" w:rsidR="00162082" w:rsidRDefault="00162082" w:rsidP="001643E6">
      <w:pPr>
        <w:pStyle w:val="BodyText"/>
        <w:spacing w:line="480" w:lineRule="auto"/>
      </w:pPr>
    </w:p>
    <w:p w14:paraId="3369C701" w14:textId="688C77DF" w:rsidR="00A15ACC" w:rsidRPr="008D73E1" w:rsidRDefault="00162082" w:rsidP="001643E6">
      <w:pPr>
        <w:pStyle w:val="BodyText"/>
        <w:spacing w:line="480" w:lineRule="auto"/>
      </w:pPr>
      <w:r w:rsidRPr="00CF5B2C">
        <w:rPr>
          <w:b/>
          <w:bCs w:val="0"/>
        </w:rPr>
        <w:t>Estimation of species-specific spatial structure</w:t>
      </w:r>
    </w:p>
    <w:p w14:paraId="6CD5011B" w14:textId="47E99947" w:rsidR="00D94C80" w:rsidRDefault="0039223E" w:rsidP="001643E6">
      <w:pPr>
        <w:pStyle w:val="BodyText"/>
        <w:spacing w:line="480" w:lineRule="auto"/>
      </w:pPr>
      <w:r>
        <w:t xml:space="preserve">After the </w:t>
      </w:r>
      <w:r w:rsidRPr="006A2F1A">
        <w:t xml:space="preserve">acquisition of the </w:t>
      </w:r>
      <w:r w:rsidR="000A685B" w:rsidRPr="000A685B">
        <w:t>empirical</w:t>
      </w:r>
      <w:r w:rsidR="000A685B">
        <w:t xml:space="preserve"> data</w:t>
      </w:r>
      <w:r w:rsidRPr="006A2F1A">
        <w:t xml:space="preserve">, we obtained </w:t>
      </w:r>
      <w:r w:rsidR="00D2547E">
        <w:t xml:space="preserve">log </w:t>
      </w:r>
      <w:r w:rsidRPr="006A2F1A">
        <w:t>eDNA concentration values (</w:t>
      </w:r>
      <w:r w:rsidRPr="001B3530">
        <w:rPr>
          <w:i/>
          <w:iCs/>
        </w:rPr>
        <w:t>Y</w:t>
      </w:r>
      <w:r w:rsidRPr="006A2F1A">
        <w:t>) paired with spatial coordinates (</w:t>
      </w:r>
      <w:r w:rsidRPr="001B3530">
        <w:rPr>
          <w:i/>
          <w:iCs/>
        </w:rPr>
        <w:t>X</w:t>
      </w:r>
      <w:r w:rsidRPr="006A2F1A">
        <w:t>) for each sampling location</w:t>
      </w:r>
      <w:r w:rsidR="009177BC">
        <w:t xml:space="preserve"> (</w:t>
      </w:r>
      <w:r w:rsidR="009177BC" w:rsidRPr="009177BC">
        <w:rPr>
          <w:i/>
          <w:iCs/>
        </w:rPr>
        <w:t>x</w:t>
      </w:r>
      <w:r w:rsidR="00B30D2B" w:rsidRPr="00B30D2B">
        <w:t>;</w:t>
      </w:r>
      <w:r w:rsidR="00B30D2B">
        <w:rPr>
          <w:i/>
          <w:iCs/>
        </w:rPr>
        <w:t xml:space="preserve"> N</w:t>
      </w:r>
      <w:r w:rsidR="00B30D2B" w:rsidRPr="00B30D2B">
        <w:t xml:space="preserve"> = 358</w:t>
      </w:r>
      <w:r w:rsidR="009177BC">
        <w:t>)</w:t>
      </w:r>
      <w:r w:rsidRPr="006A2F1A">
        <w:t>. We then used the GP model (Eq. 1–2) to infer the underlying spatial structure and learn key parameters governing the spatial field, including the depth-specific mean (</w:t>
      </w:r>
      <w:proofErr w:type="spellStart"/>
      <w:r w:rsidRPr="001B3530">
        <w:rPr>
          <w:i/>
          <w:iCs/>
        </w:rPr>
        <w:t>μ</w:t>
      </w:r>
      <w:r w:rsidRPr="001B3530">
        <w:rPr>
          <w:i/>
          <w:iCs/>
          <w:vertAlign w:val="subscript"/>
        </w:rPr>
        <w:t>d</w:t>
      </w:r>
      <w:proofErr w:type="spellEnd"/>
      <w:r w:rsidRPr="006A2F1A">
        <w:t xml:space="preserve">), </w:t>
      </w:r>
      <w:r>
        <w:t xml:space="preserve">spatial autocorrelation </w:t>
      </w:r>
      <w:r w:rsidRPr="006A2F1A">
        <w:t>(</w:t>
      </w:r>
      <w:r w:rsidRPr="001B3530">
        <w:rPr>
          <w:i/>
          <w:iCs/>
        </w:rPr>
        <w:t>ρ</w:t>
      </w:r>
      <w:r w:rsidRPr="006A2F1A">
        <w:t>), amplitude (</w:t>
      </w:r>
      <w:r w:rsidRPr="001B3530">
        <w:rPr>
          <w:i/>
          <w:iCs/>
        </w:rPr>
        <w:t>α</w:t>
      </w:r>
      <w:r w:rsidR="00350ED5">
        <w:rPr>
          <w:i/>
          <w:iCs/>
          <w:vertAlign w:val="superscript"/>
        </w:rPr>
        <w:t>2</w:t>
      </w:r>
      <w:r w:rsidRPr="006A2F1A">
        <w:t xml:space="preserve">), and </w:t>
      </w:r>
      <w:r>
        <w:t>non-</w:t>
      </w:r>
      <w:r>
        <w:lastRenderedPageBreak/>
        <w:t>spatial variance</w:t>
      </w:r>
      <w:r w:rsidRPr="006A2F1A">
        <w:t xml:space="preserve"> (</w:t>
      </w:r>
      <w:r w:rsidRPr="001B3530">
        <w:rPr>
          <w:i/>
          <w:iCs/>
        </w:rPr>
        <w:t>σ</w:t>
      </w:r>
      <w:r w:rsidR="00350ED5">
        <w:rPr>
          <w:i/>
          <w:iCs/>
          <w:vertAlign w:val="superscript"/>
        </w:rPr>
        <w:t>2</w:t>
      </w:r>
      <w:r w:rsidRPr="006A2F1A">
        <w:t>)</w:t>
      </w:r>
      <w:r>
        <w:t xml:space="preserve">. Additionally, we </w:t>
      </w:r>
      <w:r w:rsidRPr="006A2F1A">
        <w:t xml:space="preserve">used </w:t>
      </w:r>
      <w:r>
        <w:t xml:space="preserve">the model </w:t>
      </w:r>
      <w:r w:rsidR="002A222B">
        <w:t xml:space="preserve">to </w:t>
      </w:r>
      <w:r w:rsidRPr="006A2F1A">
        <w:t xml:space="preserve">predict eDNA concentrations </w:t>
      </w:r>
      <w:r w:rsidR="00714585" w:rsidRPr="00714585">
        <w:t>(</w:t>
      </w:r>
      <w:r w:rsidRPr="00714585">
        <w:rPr>
          <w:i/>
          <w:iCs/>
        </w:rPr>
        <w:t>Z</w:t>
      </w:r>
      <w:r w:rsidR="00714585" w:rsidRPr="00714585">
        <w:t>)</w:t>
      </w:r>
      <w:r>
        <w:t xml:space="preserve"> </w:t>
      </w:r>
      <w:r w:rsidRPr="006A2F1A">
        <w:t>across the full spatial grid</w:t>
      </w:r>
      <w:r>
        <w:t xml:space="preserve"> (</w:t>
      </w:r>
      <w:r w:rsidRPr="001B3530">
        <w:rPr>
          <w:i/>
          <w:iCs/>
        </w:rPr>
        <w:t>Q</w:t>
      </w:r>
      <w:r>
        <w:t>)</w:t>
      </w:r>
      <w:r w:rsidR="0076249D">
        <w:t xml:space="preserve"> </w:t>
      </w:r>
      <w:r w:rsidR="004F7D9E">
        <w:t>using Eq 3</w:t>
      </w:r>
      <w:r w:rsidRPr="006A2F1A">
        <w:t>.</w:t>
      </w:r>
      <w:r w:rsidRPr="00C960DD">
        <w:t xml:space="preserve"> </w:t>
      </w:r>
      <w:r w:rsidR="00875E2B">
        <w:t xml:space="preserve">We defined </w:t>
      </w:r>
      <w:r w:rsidR="001109C4">
        <w:t xml:space="preserve">this grid </w:t>
      </w:r>
      <w:r w:rsidR="002B1A11">
        <w:t>(</w:t>
      </w:r>
      <w:r w:rsidR="0046181E" w:rsidRPr="002B1A11">
        <w:rPr>
          <w:i/>
          <w:iCs/>
        </w:rPr>
        <w:t>Q</w:t>
      </w:r>
      <w:r w:rsidR="002B1A11">
        <w:t>)</w:t>
      </w:r>
      <w:r w:rsidR="0046181E">
        <w:t xml:space="preserve">, </w:t>
      </w:r>
      <w:r w:rsidR="001109C4">
        <w:t>as 18,916 discrete point estimates</w:t>
      </w:r>
      <w:r w:rsidR="0046181E">
        <w:t>,</w:t>
      </w:r>
      <w:r w:rsidR="001109C4">
        <w:t xml:space="preserve"> </w:t>
      </w:r>
      <w:r w:rsidR="00D94C80" w:rsidRPr="00192DF5">
        <w:t>representing the centroids of approximately 8 × 8 km spatial cells</w:t>
      </w:r>
      <w:r w:rsidR="00D94C80">
        <w:t xml:space="preserve"> </w:t>
      </w:r>
      <w:r w:rsidR="00D94C80" w:rsidRPr="00192DF5">
        <w:t>distributed across five depth layers</w:t>
      </w:r>
      <w:r>
        <w:t>. The number of points differed among depth layers (4,000, 4,000, 4,000, 3,622, and 3,294 points, respectively) because deeper layers covered a smaller spatial extent than shallower layers due to bathymetry.</w:t>
      </w:r>
    </w:p>
    <w:p w14:paraId="52C40E28" w14:textId="42986C15" w:rsidR="00AA6F77" w:rsidRDefault="00AA6F77" w:rsidP="001643E6">
      <w:pPr>
        <w:pStyle w:val="BodyText"/>
        <w:spacing w:line="480" w:lineRule="auto"/>
      </w:pPr>
    </w:p>
    <w:p w14:paraId="584735BD" w14:textId="16A724B0" w:rsidR="007A35C1" w:rsidRDefault="00E0592E" w:rsidP="001643E6">
      <w:pPr>
        <w:spacing w:after="0" w:line="480" w:lineRule="auto"/>
        <w:jc w:val="both"/>
        <w:rPr>
          <w:rFonts w:ascii="Times New Roman" w:eastAsia="Times New Roman" w:hAnsi="Times New Roman" w:cs="Times New Roman"/>
        </w:rPr>
      </w:pPr>
      <w:r>
        <w:rPr>
          <w:rFonts w:ascii="Times New Roman" w:eastAsia="Times New Roman" w:hAnsi="Times New Roman" w:cs="Times New Roman"/>
        </w:rPr>
        <w:t>F</w:t>
      </w:r>
      <w:r w:rsidR="007A35C1" w:rsidRPr="00D83BC6">
        <w:rPr>
          <w:rFonts w:ascii="Times New Roman" w:eastAsia="Times New Roman" w:hAnsi="Times New Roman" w:cs="Times New Roman"/>
        </w:rPr>
        <w:t xml:space="preserve">or a given </w:t>
      </w:r>
      <w:r w:rsidR="00782BE1">
        <w:rPr>
          <w:rFonts w:ascii="Times New Roman" w:eastAsia="Times New Roman" w:hAnsi="Times New Roman" w:cs="Times New Roman"/>
        </w:rPr>
        <w:t>species</w:t>
      </w:r>
      <w:r w:rsidR="007A35C1">
        <w:rPr>
          <w:rFonts w:ascii="Times New Roman" w:eastAsia="Times New Roman" w:hAnsi="Times New Roman" w:cs="Times New Roman"/>
        </w:rPr>
        <w:t xml:space="preserve">, </w:t>
      </w:r>
      <w:r>
        <w:rPr>
          <w:rFonts w:ascii="Times New Roman" w:eastAsia="Times New Roman" w:hAnsi="Times New Roman" w:cs="Times New Roman"/>
        </w:rPr>
        <w:t>we</w:t>
      </w:r>
      <w:r w:rsidR="007A35C1" w:rsidRPr="00D83BC6">
        <w:rPr>
          <w:rFonts w:ascii="Times New Roman" w:eastAsia="Times New Roman" w:hAnsi="Times New Roman" w:cs="Times New Roman"/>
        </w:rPr>
        <w:t xml:space="preserve"> compute the covariance matrix among observed locations, </w:t>
      </w:r>
      <w:r w:rsidR="000B4F85" w:rsidRPr="000B4F85">
        <w:rPr>
          <w:rFonts w:ascii="Times New Roman" w:eastAsia="Times New Roman" w:hAnsi="Times New Roman" w:cs="Times New Roman"/>
          <w:b/>
          <w:bCs/>
          <w:i/>
          <w:iCs/>
        </w:rPr>
        <w:t>K</w:t>
      </w:r>
      <w:r w:rsidR="000B4F85" w:rsidRPr="000B4F85">
        <w:rPr>
          <w:rFonts w:ascii="Times New Roman" w:eastAsia="Times New Roman" w:hAnsi="Times New Roman" w:cs="Times New Roman"/>
          <w:i/>
          <w:iCs/>
        </w:rPr>
        <w:t>(X,X</w:t>
      </w:r>
      <w:r w:rsidR="004F0C90">
        <w:rPr>
          <w:rFonts w:ascii="Times New Roman" w:eastAsia="Times New Roman" w:hAnsi="Times New Roman" w:cs="Times New Roman"/>
          <w:i/>
          <w:iCs/>
        </w:rPr>
        <w:t>’</w:t>
      </w:r>
      <w:r w:rsidR="000B4F85" w:rsidRPr="000B4F85">
        <w:rPr>
          <w:rFonts w:ascii="Times New Roman" w:eastAsia="Times New Roman" w:hAnsi="Times New Roman" w:cs="Times New Roman"/>
          <w:i/>
          <w:iCs/>
        </w:rPr>
        <w:t>)</w:t>
      </w:r>
      <w:r w:rsidR="000B4F85" w:rsidRPr="00EC1F08">
        <w:rPr>
          <w:rFonts w:ascii="Times New Roman" w:eastAsia="Times New Roman" w:hAnsi="Times New Roman" w:cs="Times New Roman"/>
        </w:rPr>
        <w:t>,</w:t>
      </w:r>
      <w:r w:rsidR="000B4F85">
        <w:rPr>
          <w:rFonts w:ascii="Times New Roman" w:eastAsia="Times New Roman" w:hAnsi="Times New Roman" w:cs="Times New Roman"/>
        </w:rPr>
        <w:t xml:space="preserve"> </w:t>
      </w:r>
      <w:r w:rsidR="007A35C1" w:rsidRPr="00D83BC6">
        <w:rPr>
          <w:rFonts w:ascii="Times New Roman" w:eastAsia="Times New Roman" w:hAnsi="Times New Roman" w:cs="Times New Roman"/>
        </w:rPr>
        <w:t xml:space="preserve">using the squared exponential kernel and the </w:t>
      </w:r>
      <w:r w:rsidR="00FC5E1D">
        <w:rPr>
          <w:rFonts w:ascii="Times New Roman" w:eastAsia="Times New Roman" w:hAnsi="Times New Roman" w:cs="Times New Roman"/>
        </w:rPr>
        <w:t>non-spatial variance term</w:t>
      </w:r>
      <w:r w:rsidR="007A35C1" w:rsidRPr="00D83BC6">
        <w:rPr>
          <w:rFonts w:ascii="Times New Roman" w:eastAsia="Times New Roman" w:hAnsi="Times New Roman" w:cs="Times New Roman"/>
        </w:rPr>
        <w:t xml:space="preserve"> (</w:t>
      </w:r>
      <w:r w:rsidR="000B4F85" w:rsidRPr="000B4F85">
        <w:rPr>
          <w:rFonts w:ascii="Times New Roman" w:eastAsia="Times New Roman" w:hAnsi="Times New Roman" w:cs="Times New Roman"/>
          <w:i/>
          <w:iCs/>
          <w:lang w:val="el-GR"/>
        </w:rPr>
        <w:t>σ</w:t>
      </w:r>
      <w:r w:rsidR="000B4F85" w:rsidRPr="000B4F85">
        <w:rPr>
          <w:rFonts w:ascii="Times New Roman" w:eastAsia="Times New Roman" w:hAnsi="Times New Roman" w:cs="Times New Roman"/>
          <w:i/>
          <w:iCs/>
          <w:vertAlign w:val="superscript"/>
        </w:rPr>
        <w:t>2</w:t>
      </w:r>
      <w:r w:rsidR="000B4F85" w:rsidRPr="000B4F85">
        <w:rPr>
          <w:rFonts w:ascii="Times New Roman" w:eastAsia="Times New Roman" w:hAnsi="Times New Roman" w:cs="Times New Roman"/>
          <w:b/>
          <w:bCs/>
          <w:i/>
          <w:iCs/>
        </w:rPr>
        <w:t>I</w:t>
      </w:r>
      <w:r w:rsidR="007A35C1" w:rsidRPr="00D83BC6">
        <w:rPr>
          <w:rFonts w:ascii="Times New Roman" w:eastAsia="Times New Roman" w:hAnsi="Times New Roman" w:cs="Times New Roman"/>
        </w:rPr>
        <w:t>)</w:t>
      </w:r>
      <w:r w:rsidR="007A35C1">
        <w:rPr>
          <w:rFonts w:ascii="Times New Roman" w:eastAsia="Times New Roman" w:hAnsi="Times New Roman" w:cs="Times New Roman"/>
        </w:rPr>
        <w:t xml:space="preserve">. Using the </w:t>
      </w:r>
      <w:r w:rsidR="007A35C1" w:rsidRPr="00D83BC6">
        <w:rPr>
          <w:rFonts w:ascii="Times New Roman" w:eastAsia="Times New Roman" w:hAnsi="Times New Roman" w:cs="Times New Roman"/>
        </w:rPr>
        <w:t>Cholesky decompos</w:t>
      </w:r>
      <w:r w:rsidR="007A35C1">
        <w:rPr>
          <w:rFonts w:ascii="Times New Roman" w:eastAsia="Times New Roman" w:hAnsi="Times New Roman" w:cs="Times New Roman"/>
        </w:rPr>
        <w:t>ition</w:t>
      </w:r>
      <w:r w:rsidR="007A35C1" w:rsidRPr="00D83BC6">
        <w:rPr>
          <w:rFonts w:ascii="Times New Roman" w:eastAsia="Times New Roman" w:hAnsi="Times New Roman" w:cs="Times New Roman"/>
        </w:rPr>
        <w:t xml:space="preserve"> </w:t>
      </w:r>
      <w:r w:rsidR="000E3CB4">
        <w:rPr>
          <w:rFonts w:ascii="Times New Roman" w:eastAsia="Times New Roman" w:hAnsi="Times New Roman" w:cs="Times New Roman"/>
        </w:rPr>
        <w:t>we</w:t>
      </w:r>
      <w:r w:rsidR="007A35C1" w:rsidRPr="00D83BC6">
        <w:rPr>
          <w:rFonts w:ascii="Times New Roman" w:eastAsia="Times New Roman" w:hAnsi="Times New Roman" w:cs="Times New Roman"/>
        </w:rPr>
        <w:t xml:space="preserve"> solve</w:t>
      </w:r>
      <w:r w:rsidR="000E3CB4">
        <w:rPr>
          <w:rFonts w:ascii="Times New Roman" w:eastAsia="Times New Roman" w:hAnsi="Times New Roman" w:cs="Times New Roman"/>
        </w:rPr>
        <w:t>d</w:t>
      </w:r>
      <w:r w:rsidR="007A35C1" w:rsidRPr="00D83BC6">
        <w:rPr>
          <w:rFonts w:ascii="Times New Roman" w:eastAsia="Times New Roman" w:hAnsi="Times New Roman" w:cs="Times New Roman"/>
        </w:rPr>
        <w:t xml:space="preserve"> </w:t>
      </w:r>
      <w:r w:rsidR="00FC5E1D">
        <w:rPr>
          <w:rFonts w:ascii="Times New Roman" w:eastAsia="Times New Roman" w:hAnsi="Times New Roman" w:cs="Times New Roman"/>
        </w:rPr>
        <w:t>for (</w:t>
      </w:r>
      <w:r w:rsidR="00FC5E1D" w:rsidRPr="00FC5E1D">
        <w:rPr>
          <w:rFonts w:ascii="Times New Roman" w:eastAsia="Times New Roman" w:hAnsi="Times New Roman" w:cs="Times New Roman"/>
          <w:b/>
          <w:bCs/>
          <w:i/>
          <w:iCs/>
        </w:rPr>
        <w:t>K</w:t>
      </w:r>
      <w:r w:rsidR="00771760" w:rsidRPr="00771760">
        <w:rPr>
          <w:rFonts w:ascii="Times New Roman" w:eastAsia="Times New Roman" w:hAnsi="Times New Roman" w:cs="Times New Roman"/>
          <w:i/>
          <w:iCs/>
        </w:rPr>
        <w:t>(X,X</w:t>
      </w:r>
      <w:r w:rsidR="00AF746C">
        <w:rPr>
          <w:rFonts w:ascii="Times New Roman" w:eastAsia="Times New Roman" w:hAnsi="Times New Roman" w:cs="Times New Roman"/>
          <w:i/>
          <w:iCs/>
        </w:rPr>
        <w:t>’</w:t>
      </w:r>
      <w:r w:rsidR="00771760" w:rsidRPr="00771760">
        <w:rPr>
          <w:rFonts w:ascii="Times New Roman" w:eastAsia="Times New Roman" w:hAnsi="Times New Roman" w:cs="Times New Roman"/>
          <w:i/>
          <w:iCs/>
        </w:rPr>
        <w:t>)</w:t>
      </w:r>
      <w:r w:rsidR="00FC5E1D" w:rsidRPr="00FC5E1D">
        <w:rPr>
          <w:rFonts w:ascii="Times New Roman" w:eastAsia="Times New Roman" w:hAnsi="Times New Roman" w:cs="Times New Roman"/>
          <w:i/>
          <w:iCs/>
        </w:rPr>
        <w:t xml:space="preserve"> + </w:t>
      </w:r>
      <w:r w:rsidR="00FC5E1D" w:rsidRPr="00FC5E1D">
        <w:rPr>
          <w:rFonts w:ascii="Times New Roman" w:eastAsia="Times New Roman" w:hAnsi="Times New Roman" w:cs="Times New Roman"/>
          <w:i/>
          <w:iCs/>
          <w:lang w:val="el-GR"/>
        </w:rPr>
        <w:t>σ</w:t>
      </w:r>
      <w:r w:rsidR="00FC5E1D" w:rsidRPr="00FC5E1D">
        <w:rPr>
          <w:rFonts w:ascii="Times New Roman" w:eastAsia="Times New Roman" w:hAnsi="Times New Roman" w:cs="Times New Roman"/>
          <w:i/>
          <w:iCs/>
          <w:vertAlign w:val="superscript"/>
        </w:rPr>
        <w:t>2</w:t>
      </w:r>
      <w:r w:rsidR="00FC5E1D" w:rsidRPr="00FC5E1D">
        <w:rPr>
          <w:rFonts w:ascii="Times New Roman" w:eastAsia="Times New Roman" w:hAnsi="Times New Roman" w:cs="Times New Roman"/>
          <w:b/>
          <w:bCs/>
          <w:i/>
          <w:iCs/>
        </w:rPr>
        <w:t>I</w:t>
      </w:r>
      <w:r w:rsidR="00FC5E1D">
        <w:rPr>
          <w:rFonts w:ascii="Times New Roman" w:eastAsia="Times New Roman" w:hAnsi="Times New Roman" w:cs="Times New Roman"/>
        </w:rPr>
        <w:t>)</w:t>
      </w:r>
      <w:r w:rsidR="00FC5E1D" w:rsidRPr="00FC5E1D">
        <w:rPr>
          <w:rFonts w:ascii="Times New Roman" w:eastAsia="Times New Roman" w:hAnsi="Times New Roman" w:cs="Times New Roman"/>
          <w:vertAlign w:val="superscript"/>
        </w:rPr>
        <w:t>-1</w:t>
      </w:r>
      <w:r w:rsidR="00FC5E1D">
        <w:rPr>
          <w:rFonts w:ascii="Times New Roman" w:eastAsia="Times New Roman" w:hAnsi="Times New Roman" w:cs="Times New Roman"/>
        </w:rPr>
        <w:t>(</w:t>
      </w:r>
      <w:r w:rsidR="00FC5E1D" w:rsidRPr="00FC5E1D">
        <w:rPr>
          <w:rFonts w:ascii="Times New Roman" w:eastAsia="Times New Roman" w:hAnsi="Times New Roman" w:cs="Times New Roman"/>
          <w:i/>
          <w:iCs/>
        </w:rPr>
        <w:t xml:space="preserve">Y - </w:t>
      </w:r>
      <w:r w:rsidR="00FC5E1D" w:rsidRPr="00FC5E1D">
        <w:rPr>
          <w:rFonts w:ascii="Times New Roman" w:eastAsia="Times New Roman" w:hAnsi="Times New Roman" w:cs="Times New Roman"/>
          <w:i/>
          <w:iCs/>
          <w:lang w:val="el-GR"/>
        </w:rPr>
        <w:t>μ</w:t>
      </w:r>
      <w:r w:rsidR="00FC5E1D" w:rsidRPr="00FC5E1D">
        <w:rPr>
          <w:rFonts w:ascii="Times New Roman" w:eastAsia="Times New Roman" w:hAnsi="Times New Roman" w:cs="Times New Roman"/>
          <w:i/>
          <w:iCs/>
          <w:vertAlign w:val="subscript"/>
        </w:rPr>
        <w:t>d</w:t>
      </w:r>
      <w:r w:rsidR="00FC5E1D">
        <w:rPr>
          <w:rFonts w:ascii="Times New Roman" w:eastAsia="Times New Roman" w:hAnsi="Times New Roman" w:cs="Times New Roman"/>
        </w:rPr>
        <w:t xml:space="preserve">) and </w:t>
      </w:r>
      <w:r w:rsidR="007A35C1">
        <w:rPr>
          <w:rFonts w:ascii="Times New Roman" w:eastAsia="Times New Roman" w:hAnsi="Times New Roman" w:cs="Times New Roman"/>
        </w:rPr>
        <w:t xml:space="preserve">we </w:t>
      </w:r>
      <w:r w:rsidR="007A35C1" w:rsidRPr="00D83BC6">
        <w:rPr>
          <w:rFonts w:ascii="Times New Roman" w:eastAsia="Times New Roman" w:hAnsi="Times New Roman" w:cs="Times New Roman"/>
        </w:rPr>
        <w:t>combine</w:t>
      </w:r>
      <w:r w:rsidR="000E3CB4">
        <w:rPr>
          <w:rFonts w:ascii="Times New Roman" w:eastAsia="Times New Roman" w:hAnsi="Times New Roman" w:cs="Times New Roman"/>
        </w:rPr>
        <w:t>d</w:t>
      </w:r>
      <w:r w:rsidR="007A35C1" w:rsidRPr="00D83BC6">
        <w:rPr>
          <w:rFonts w:ascii="Times New Roman" w:eastAsia="Times New Roman" w:hAnsi="Times New Roman" w:cs="Times New Roman"/>
        </w:rPr>
        <w:t xml:space="preserve"> it with the cross-covariance between observed and prediction points,</w:t>
      </w:r>
      <w:r w:rsidR="00FC5E1D">
        <w:rPr>
          <w:rFonts w:ascii="Times New Roman" w:eastAsia="Times New Roman" w:hAnsi="Times New Roman" w:cs="Times New Roman"/>
        </w:rPr>
        <w:t xml:space="preserve"> </w:t>
      </w:r>
      <w:r w:rsidR="00FC5E1D" w:rsidRPr="00FC5E1D">
        <w:rPr>
          <w:rFonts w:ascii="Times New Roman" w:eastAsia="Times New Roman" w:hAnsi="Times New Roman" w:cs="Times New Roman"/>
          <w:b/>
          <w:bCs/>
          <w:i/>
          <w:iCs/>
        </w:rPr>
        <w:t>K</w:t>
      </w:r>
      <w:r w:rsidR="00FC5E1D" w:rsidRPr="00FC5E1D">
        <w:rPr>
          <w:rFonts w:ascii="Times New Roman" w:eastAsia="Times New Roman" w:hAnsi="Times New Roman" w:cs="Times New Roman"/>
          <w:i/>
          <w:iCs/>
        </w:rPr>
        <w:t>(X,Q)</w:t>
      </w:r>
      <w:r w:rsidR="007A35C1" w:rsidRPr="00D83BC6">
        <w:rPr>
          <w:rFonts w:ascii="Times New Roman" w:eastAsia="Times New Roman" w:hAnsi="Times New Roman" w:cs="Times New Roman"/>
        </w:rPr>
        <w:t>, to yield the predicti</w:t>
      </w:r>
      <w:r w:rsidR="00FC5E1D">
        <w:rPr>
          <w:rFonts w:ascii="Times New Roman" w:eastAsia="Times New Roman" w:hAnsi="Times New Roman" w:cs="Times New Roman"/>
        </w:rPr>
        <w:t>ons</w:t>
      </w:r>
      <w:r w:rsidR="007A35C1" w:rsidRPr="00D83BC6">
        <w:rPr>
          <w:rFonts w:ascii="Times New Roman" w:eastAsia="Times New Roman" w:hAnsi="Times New Roman" w:cs="Times New Roman"/>
        </w:rPr>
        <w:t xml:space="preserve"> at each </w:t>
      </w:r>
      <w:r w:rsidR="00FC5E1D">
        <w:rPr>
          <w:rFonts w:ascii="Times New Roman" w:eastAsia="Times New Roman" w:hAnsi="Times New Roman" w:cs="Times New Roman"/>
        </w:rPr>
        <w:t xml:space="preserve">given </w:t>
      </w:r>
      <w:r w:rsidR="00E93A41">
        <w:rPr>
          <w:rFonts w:ascii="Times New Roman" w:eastAsia="Times New Roman" w:hAnsi="Times New Roman" w:cs="Times New Roman"/>
        </w:rPr>
        <w:t xml:space="preserve">spatial </w:t>
      </w:r>
      <w:r w:rsidR="00FC5E1D">
        <w:rPr>
          <w:rFonts w:ascii="Times New Roman" w:eastAsia="Times New Roman" w:hAnsi="Times New Roman" w:cs="Times New Roman"/>
        </w:rPr>
        <w:t>point (</w:t>
      </w:r>
      <w:r w:rsidR="00FC5E1D" w:rsidRPr="00FC5E1D">
        <w:rPr>
          <w:rFonts w:ascii="Times New Roman" w:eastAsia="Times New Roman" w:hAnsi="Times New Roman" w:cs="Times New Roman"/>
          <w:i/>
          <w:iCs/>
        </w:rPr>
        <w:t>Q</w:t>
      </w:r>
      <w:r w:rsidR="00FC5E1D">
        <w:rPr>
          <w:rFonts w:ascii="Times New Roman" w:eastAsia="Times New Roman" w:hAnsi="Times New Roman" w:cs="Times New Roman"/>
        </w:rPr>
        <w:t>)</w:t>
      </w:r>
      <w:r w:rsidR="007A35C1" w:rsidRPr="00D83BC6">
        <w:rPr>
          <w:rFonts w:ascii="Times New Roman" w:eastAsia="Times New Roman" w:hAnsi="Times New Roman" w:cs="Times New Roman"/>
        </w:rPr>
        <w:t>:</w:t>
      </w:r>
    </w:p>
    <w:p w14:paraId="3EE58840" w14:textId="427E9B98" w:rsidR="007A35C1" w:rsidRDefault="00000000" w:rsidP="001643E6">
      <w:pPr>
        <w:spacing w:after="0" w:line="480" w:lineRule="auto"/>
        <w:jc w:val="both"/>
        <w:rPr>
          <w:rFonts w:ascii="Times New Roman" w:eastAsia="Times New Roman" w:hAnsi="Times New Roman" w:cs="Times New Roman"/>
        </w:rPr>
      </w:pPr>
      <m:oMathPara>
        <m:oMath>
          <m:eqArr>
            <m:eqArrPr>
              <m:maxDist m:val="1"/>
              <m:ctrlPr>
                <w:rPr>
                  <w:rFonts w:ascii="Cambria Math" w:hAnsi="Cambria Math"/>
                </w:rPr>
              </m:ctrlPr>
            </m:eqArrPr>
            <m:e>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d</m:t>
                  </m:r>
                </m:sub>
              </m:sSub>
              <m:r>
                <m:rPr>
                  <m:sty m:val="p"/>
                </m:rPr>
                <w:rPr>
                  <w:rFonts w:ascii="Cambria Math" w:hAnsi="Cambria Math"/>
                </w:rPr>
                <m:t>+</m:t>
              </m:r>
              <m:r>
                <m:rPr>
                  <m:sty m:val="bi"/>
                </m:rPr>
                <w:rPr>
                  <w:rFonts w:ascii="Cambria Math" w:hAnsi="Cambria Math"/>
                </w:rPr>
                <m:t>K</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Q</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sup>
              </m:sSup>
              <m:r>
                <m:rPr>
                  <m:sty m:val="p"/>
                </m:rPr>
                <w:rPr>
                  <w:rFonts w:ascii="Cambria Math" w:hAnsi="Cambria Math"/>
                </w:rPr>
                <m:t>(</m:t>
              </m:r>
              <m:r>
                <m:rPr>
                  <m:sty m:val="bi"/>
                </m:rPr>
                <w:rPr>
                  <w:rFonts w:ascii="Cambria Math" w:hAnsi="Cambria Math"/>
                </w:rPr>
                <m:t>K(</m:t>
              </m:r>
              <m:r>
                <w:rPr>
                  <w:rFonts w:ascii="Cambria Math" w:hAnsi="Cambria Math"/>
                </w:rPr>
                <m:t>X,X'</m:t>
              </m:r>
              <m:r>
                <m:rPr>
                  <m:sty m:val="bi"/>
                </m:rPr>
                <w:rPr>
                  <w:rFonts w:ascii="Cambria Math" w:hAnsi="Cambria Math"/>
                </w:rPr>
                <m:t>)</m:t>
              </m:r>
              <m:r>
                <m:rPr>
                  <m:sty m:val="p"/>
                </m:rPr>
                <w:rPr>
                  <w:rFonts w:ascii="Cambria Math" w:hAnsi="Cambria Math"/>
                </w:rPr>
                <m:t>+</m:t>
              </m:r>
              <m:sSup>
                <m:sSupPr>
                  <m:ctrlPr>
                    <w:rPr>
                      <w:rFonts w:ascii="Cambria Math" w:hAnsi="Cambria Math"/>
                    </w:rPr>
                  </m:ctrlPr>
                </m:sSupPr>
                <m:e>
                  <m:r>
                    <w:rPr>
                      <w:rFonts w:ascii="Cambria Math" w:hAnsi="Cambria Math"/>
                    </w:rPr>
                    <m:t>σ</m:t>
                  </m:r>
                </m:e>
                <m:sup>
                  <m:r>
                    <w:rPr>
                      <w:rFonts w:ascii="Cambria Math" w:hAnsi="Cambria Math"/>
                    </w:rPr>
                    <m:t>2</m:t>
                  </m:r>
                </m:sup>
              </m:sSup>
              <m:r>
                <m:rPr>
                  <m:sty m:val="bi"/>
                </m:rPr>
                <w:rPr>
                  <w:rFonts w:ascii="Cambria Math" w:hAnsi="Cambria Math"/>
                </w:rPr>
                <m:t>I</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r>
                    <w:rPr>
                      <w:rFonts w:ascii="Cambria Math" w:hAnsi="Cambria Math"/>
                    </w:rPr>
                    <m:t>1</m:t>
                  </m:r>
                </m:sup>
              </m:sSup>
              <m:r>
                <m:rPr>
                  <m:sty m:val="p"/>
                </m:rPr>
                <w:rPr>
                  <w:rFonts w:ascii="Cambria Math" w:hAnsi="Cambria Math"/>
                </w:rPr>
                <m:t>(</m:t>
              </m:r>
              <m: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d</m:t>
                  </m:r>
                </m:sub>
              </m:sSub>
              <m:r>
                <m:rPr>
                  <m:sty m:val="p"/>
                </m:rPr>
                <w:rPr>
                  <w:rFonts w:ascii="Cambria Math" w:hAnsi="Cambria Math"/>
                </w:rPr>
                <m:t>)</m:t>
              </m:r>
              <m:r>
                <w:rPr>
                  <w:rFonts w:ascii="Cambria Math" w:hAnsi="Cambria Math"/>
                </w:rPr>
                <m:t>#</m:t>
              </m:r>
              <m:r>
                <m:rPr>
                  <m:sty m:val="p"/>
                </m:rPr>
                <w:rPr>
                  <w:rFonts w:ascii="Cambria Math" w:hAnsi="Cambria Math"/>
                </w:rPr>
                <m:t>3</m:t>
              </m:r>
            </m:e>
          </m:eqArr>
        </m:oMath>
      </m:oMathPara>
    </w:p>
    <w:p w14:paraId="23765350" w14:textId="77777777" w:rsidR="005E3F20" w:rsidRDefault="005E3F20" w:rsidP="001643E6">
      <w:pPr>
        <w:pStyle w:val="p1"/>
        <w:spacing w:before="0" w:beforeAutospacing="0" w:after="0" w:afterAutospacing="0" w:line="480" w:lineRule="auto"/>
        <w:jc w:val="both"/>
      </w:pPr>
    </w:p>
    <w:p w14:paraId="26EBE0D5" w14:textId="6F433914" w:rsidR="003939B7" w:rsidRDefault="003939B7" w:rsidP="001643E6">
      <w:pPr>
        <w:pStyle w:val="Heading2"/>
        <w:spacing w:before="0" w:after="0" w:line="480" w:lineRule="auto"/>
      </w:pPr>
      <w:r>
        <w:t>Estimating sampling efficiency on prediction accuracy</w:t>
      </w:r>
    </w:p>
    <w:p w14:paraId="53B3148B" w14:textId="5A5E6EFE" w:rsidR="005E3F20" w:rsidRPr="004834A6" w:rsidRDefault="005E3F20" w:rsidP="001643E6">
      <w:pPr>
        <w:pStyle w:val="p1"/>
        <w:spacing w:before="0" w:beforeAutospacing="0" w:after="0" w:afterAutospacing="0" w:line="480" w:lineRule="auto"/>
        <w:jc w:val="both"/>
        <w:rPr>
          <w:rStyle w:val="s2"/>
        </w:rPr>
      </w:pPr>
      <w:r w:rsidRPr="008C6514">
        <w:t xml:space="preserve">To evaluate how sampling effort </w:t>
      </w:r>
      <w:r>
        <w:t>(</w:t>
      </w:r>
      <w:r>
        <w:rPr>
          <w:i/>
          <w:iCs/>
        </w:rPr>
        <w:t>E</w:t>
      </w:r>
      <w:r>
        <w:t xml:space="preserve">) </w:t>
      </w:r>
      <w:r w:rsidRPr="008C6514">
        <w:t>influences spatial reconstruction</w:t>
      </w:r>
      <w:r>
        <w:t xml:space="preserve"> and prediction accuracy</w:t>
      </w:r>
      <w:r w:rsidRPr="008C6514">
        <w:t xml:space="preserve">, </w:t>
      </w:r>
      <w:r>
        <w:t>we generated a series of reduced-effort observation datasets</w:t>
      </w:r>
      <w:r w:rsidRPr="00CB48E2">
        <w:t xml:space="preserve"> </w:t>
      </w:r>
      <w:r w:rsidR="000F23E9">
        <w:t>(</w:t>
      </w:r>
      <w:r w:rsidR="000F23E9" w:rsidRPr="006B70C8">
        <w:rPr>
          <w:i/>
          <w:iCs/>
        </w:rPr>
        <w:t>Y</w:t>
      </w:r>
      <w:r w:rsidR="000F23E9" w:rsidRPr="006B70C8">
        <w:rPr>
          <w:i/>
          <w:iCs/>
          <w:vertAlign w:val="subscript"/>
        </w:rPr>
        <w:t>E</w:t>
      </w:r>
      <w:r w:rsidR="009355CD">
        <w:rPr>
          <w:i/>
          <w:iCs/>
        </w:rPr>
        <w:t xml:space="preserve"> </w:t>
      </w:r>
      <w:r w:rsidR="009355CD">
        <w:t>coupled with</w:t>
      </w:r>
      <w:r w:rsidR="009355CD">
        <w:rPr>
          <w:i/>
          <w:iCs/>
        </w:rPr>
        <w:t xml:space="preserve"> X</w:t>
      </w:r>
      <w:r w:rsidR="009355CD" w:rsidRPr="009355CD">
        <w:rPr>
          <w:i/>
          <w:iCs/>
          <w:vertAlign w:val="subscript"/>
        </w:rPr>
        <w:t>E</w:t>
      </w:r>
      <w:r w:rsidR="000F23E9" w:rsidRPr="006B70C8">
        <w:t>)</w:t>
      </w:r>
      <w:r w:rsidR="000F23E9">
        <w:t xml:space="preserve"> </w:t>
      </w:r>
      <w:r>
        <w:t xml:space="preserve">by randomly thinning the observation set </w:t>
      </w:r>
      <w:r w:rsidR="008F6356">
        <w:t>(</w:t>
      </w:r>
      <w:r w:rsidRPr="005E3F20">
        <w:rPr>
          <w:rStyle w:val="s1"/>
          <w:i/>
          <w:iCs/>
        </w:rPr>
        <w:t>Y</w:t>
      </w:r>
      <w:r w:rsidR="008F6356" w:rsidRPr="008F6356">
        <w:rPr>
          <w:rStyle w:val="s1"/>
        </w:rPr>
        <w:t>)</w:t>
      </w:r>
      <w:r>
        <w:t xml:space="preserve"> </w:t>
      </w:r>
      <w:r w:rsidR="009355CD">
        <w:t xml:space="preserve">and </w:t>
      </w:r>
      <w:r w:rsidR="00FE0E33">
        <w:t>its spatial covariate (</w:t>
      </w:r>
      <w:r w:rsidR="00FE0E33" w:rsidRPr="00574BB1">
        <w:rPr>
          <w:i/>
          <w:iCs/>
        </w:rPr>
        <w:t>X</w:t>
      </w:r>
      <w:r w:rsidR="00FE0E33" w:rsidRPr="00574BB1">
        <w:rPr>
          <w:i/>
          <w:iCs/>
          <w:vertAlign w:val="subscript"/>
        </w:rPr>
        <w:t>E</w:t>
      </w:r>
      <w:r w:rsidR="00FE0E33">
        <w:t xml:space="preserve">) </w:t>
      </w:r>
      <w:r>
        <w:t xml:space="preserve">to fixed sample sizes </w:t>
      </w:r>
      <w:r>
        <w:rPr>
          <w:rStyle w:val="s1"/>
        </w:rPr>
        <w:t>(</w:t>
      </w:r>
      <w:r>
        <w:rPr>
          <w:rStyle w:val="s2"/>
        </w:rPr>
        <w:t>N = 330, 300, 260, 220,</w:t>
      </w:r>
      <w:r>
        <w:rPr>
          <w:rStyle w:val="s1"/>
        </w:rPr>
        <w:t xml:space="preserve"> and </w:t>
      </w:r>
      <w:r>
        <w:rPr>
          <w:rStyle w:val="s2"/>
        </w:rPr>
        <w:t>150</w:t>
      </w:r>
      <w:r w:rsidR="00254D82">
        <w:rPr>
          <w:rStyle w:val="s2"/>
        </w:rPr>
        <w:t>; Figure 2B</w:t>
      </w:r>
      <w:r>
        <w:rPr>
          <w:rStyle w:val="s2"/>
        </w:rPr>
        <w:t>).</w:t>
      </w:r>
      <w:r w:rsidRPr="003A0D51">
        <w:t xml:space="preserve"> </w:t>
      </w:r>
      <w:r w:rsidR="007E6DD0" w:rsidRPr="00012269">
        <w:t xml:space="preserve">Each </w:t>
      </w:r>
      <w:r w:rsidR="007E6DD0">
        <w:t>reduced-effort observation dataset (</w:t>
      </w:r>
      <w:r w:rsidR="007E6DD0" w:rsidRPr="006B70C8">
        <w:rPr>
          <w:i/>
          <w:iCs/>
        </w:rPr>
        <w:t>Y</w:t>
      </w:r>
      <w:r w:rsidR="007E6DD0" w:rsidRPr="006B70C8">
        <w:rPr>
          <w:i/>
          <w:iCs/>
          <w:vertAlign w:val="subscript"/>
        </w:rPr>
        <w:t>E</w:t>
      </w:r>
      <w:r w:rsidR="007E6DD0" w:rsidRPr="006B70C8">
        <w:t>)</w:t>
      </w:r>
      <w:r w:rsidR="00574BB1">
        <w:t xml:space="preserve"> together with its covariate (</w:t>
      </w:r>
      <w:r w:rsidR="00574BB1" w:rsidRPr="00574BB1">
        <w:rPr>
          <w:i/>
          <w:iCs/>
        </w:rPr>
        <w:t>X</w:t>
      </w:r>
      <w:r w:rsidR="00574BB1" w:rsidRPr="00574BB1">
        <w:rPr>
          <w:i/>
          <w:iCs/>
          <w:vertAlign w:val="subscript"/>
        </w:rPr>
        <w:t>E</w:t>
      </w:r>
      <w:r w:rsidR="00574BB1">
        <w:t>)</w:t>
      </w:r>
      <w:r w:rsidR="007E6DD0">
        <w:t xml:space="preserve"> </w:t>
      </w:r>
      <w:r w:rsidR="007E6DD0" w:rsidRPr="00012269">
        <w:t xml:space="preserve">was refit with the same GP model </w:t>
      </w:r>
      <w:r w:rsidR="007E6DD0">
        <w:t xml:space="preserve">(Eq 1-2) </w:t>
      </w:r>
      <w:r w:rsidR="007E6DD0" w:rsidRPr="00012269">
        <w:t xml:space="preserve">and </w:t>
      </w:r>
      <w:r w:rsidR="007E6DD0">
        <w:t xml:space="preserve">produced </w:t>
      </w:r>
      <w:r w:rsidR="007E6DD0" w:rsidRPr="005A48FF">
        <w:t>effort-specific spatial predictions</w:t>
      </w:r>
      <w:r w:rsidR="007E6DD0">
        <w:t xml:space="preserve"> (</w:t>
      </w:r>
      <w:r w:rsidR="007E6DD0" w:rsidRPr="00FB072C">
        <w:rPr>
          <w:i/>
          <w:iCs/>
        </w:rPr>
        <w:t>S</w:t>
      </w:r>
      <w:r w:rsidR="007E6DD0">
        <w:rPr>
          <w:i/>
          <w:iCs/>
          <w:vertAlign w:val="subscript"/>
        </w:rPr>
        <w:t>E</w:t>
      </w:r>
      <w:r w:rsidR="007E6DD0">
        <w:t>)</w:t>
      </w:r>
      <w:r w:rsidR="007E6DD0" w:rsidRPr="00012269">
        <w:t xml:space="preserve"> </w:t>
      </w:r>
      <w:r w:rsidR="007E6DD0">
        <w:t xml:space="preserve">on the full grid </w:t>
      </w:r>
      <w:r w:rsidR="007E6DD0" w:rsidRPr="00FB072C">
        <w:rPr>
          <w:i/>
          <w:iCs/>
        </w:rPr>
        <w:t>Q</w:t>
      </w:r>
      <w:r w:rsidR="007E6DD0">
        <w:t xml:space="preserve">, by substituting </w:t>
      </w:r>
      <w:r w:rsidR="007E6DD0" w:rsidRPr="00FB072C">
        <w:rPr>
          <w:i/>
          <w:iCs/>
        </w:rPr>
        <w:t>S</w:t>
      </w:r>
      <w:r w:rsidR="007E6DD0">
        <w:rPr>
          <w:i/>
          <w:iCs/>
          <w:vertAlign w:val="subscript"/>
        </w:rPr>
        <w:t>E</w:t>
      </w:r>
      <w:r w:rsidR="007E6DD0">
        <w:t xml:space="preserve"> with </w:t>
      </w:r>
      <w:r w:rsidR="007E6DD0" w:rsidRPr="00FB072C">
        <w:rPr>
          <w:i/>
          <w:iCs/>
        </w:rPr>
        <w:t>Z</w:t>
      </w:r>
      <w:r w:rsidR="00920328">
        <w:t xml:space="preserve">, </w:t>
      </w:r>
      <w:r w:rsidR="007E6DD0">
        <w:rPr>
          <w:i/>
          <w:iCs/>
        </w:rPr>
        <w:t>Y</w:t>
      </w:r>
      <w:r w:rsidR="007E6DD0">
        <w:rPr>
          <w:i/>
          <w:iCs/>
          <w:vertAlign w:val="subscript"/>
        </w:rPr>
        <w:t>E</w:t>
      </w:r>
      <w:r w:rsidR="007E6DD0">
        <w:t xml:space="preserve"> with </w:t>
      </w:r>
      <w:r w:rsidR="007E6DD0" w:rsidRPr="00FB072C">
        <w:rPr>
          <w:i/>
          <w:iCs/>
        </w:rPr>
        <w:t>Y</w:t>
      </w:r>
      <w:r w:rsidR="007E6DD0">
        <w:t xml:space="preserve"> </w:t>
      </w:r>
      <w:r w:rsidR="00920328">
        <w:t xml:space="preserve">and </w:t>
      </w:r>
      <w:r w:rsidR="00920328">
        <w:rPr>
          <w:i/>
          <w:iCs/>
        </w:rPr>
        <w:t>X</w:t>
      </w:r>
      <w:r w:rsidR="00920328">
        <w:rPr>
          <w:i/>
          <w:iCs/>
          <w:vertAlign w:val="subscript"/>
        </w:rPr>
        <w:t>E</w:t>
      </w:r>
      <w:r w:rsidR="00920328">
        <w:t xml:space="preserve"> with </w:t>
      </w:r>
      <w:r w:rsidR="00920328">
        <w:rPr>
          <w:i/>
          <w:iCs/>
        </w:rPr>
        <w:t>X</w:t>
      </w:r>
      <w:r w:rsidR="00920328">
        <w:t xml:space="preserve"> </w:t>
      </w:r>
      <w:r w:rsidR="007E6DD0">
        <w:t xml:space="preserve">in Eq. 3. </w:t>
      </w:r>
      <w:r>
        <w:t xml:space="preserve">This framework enables direct, like-for-like comparisons of reconstructed fields across sampling </w:t>
      </w:r>
      <w:r>
        <w:lastRenderedPageBreak/>
        <w:t>intensities since the predicted field is the same (</w:t>
      </w:r>
      <w:r>
        <w:rPr>
          <w:i/>
          <w:iCs/>
        </w:rPr>
        <w:t>Q</w:t>
      </w:r>
      <w:r>
        <w:t xml:space="preserve">). </w:t>
      </w:r>
      <w:r w:rsidRPr="003A0D51">
        <w:rPr>
          <w:rStyle w:val="s2"/>
        </w:rPr>
        <w:t>Sampling effort</w:t>
      </w:r>
      <w:r>
        <w:rPr>
          <w:rStyle w:val="s2"/>
        </w:rPr>
        <w:t xml:space="preserve"> (</w:t>
      </w:r>
      <w:r>
        <w:rPr>
          <w:rStyle w:val="s2"/>
          <w:i/>
          <w:iCs/>
        </w:rPr>
        <w:t>E</w:t>
      </w:r>
      <w:r>
        <w:rPr>
          <w:rStyle w:val="s2"/>
        </w:rPr>
        <w:t>)</w:t>
      </w:r>
      <w:r w:rsidRPr="003A0D51">
        <w:rPr>
          <w:rStyle w:val="s2"/>
        </w:rPr>
        <w:t xml:space="preserve"> was quantified as sampling density</w:t>
      </w:r>
      <w:r>
        <w:rPr>
          <w:rStyle w:val="s2"/>
        </w:rPr>
        <w:t>:</w:t>
      </w:r>
    </w:p>
    <w:p w14:paraId="1827EF0B" w14:textId="77777777" w:rsidR="005E3F20" w:rsidRPr="00EC7A2A" w:rsidRDefault="00000000" w:rsidP="001643E6">
      <w:pPr>
        <w:pStyle w:val="p1"/>
        <w:spacing w:before="0" w:beforeAutospacing="0" w:after="0" w:afterAutospacing="0" w:line="480" w:lineRule="auto"/>
        <w:jc w:val="both"/>
        <w:rPr>
          <w:rStyle w:val="s2"/>
        </w:rPr>
      </w:pPr>
      <m:oMathPara>
        <m:oMath>
          <m:eqArr>
            <m:eqArrPr>
              <m:maxDist m:val="1"/>
              <m:ctrlPr>
                <w:rPr>
                  <w:rStyle w:val="s2"/>
                  <w:rFonts w:ascii="Cambria Math" w:hAnsi="Cambria Math"/>
                  <w:i/>
                </w:rPr>
              </m:ctrlPr>
            </m:eqArrPr>
            <m:e>
              <m:r>
                <w:rPr>
                  <w:rStyle w:val="s2"/>
                  <w:rFonts w:ascii="Cambria Math" w:hAnsi="Cambria Math"/>
                </w:rPr>
                <m:t>E=</m:t>
              </m:r>
              <m:f>
                <m:fPr>
                  <m:ctrlPr>
                    <w:rPr>
                      <w:rStyle w:val="s2"/>
                      <w:rFonts w:ascii="Cambria Math" w:hAnsi="Cambria Math"/>
                      <w:i/>
                    </w:rPr>
                  </m:ctrlPr>
                </m:fPr>
                <m:num>
                  <m:r>
                    <w:rPr>
                      <w:rStyle w:val="s2"/>
                      <w:rFonts w:ascii="Cambria Math" w:hAnsi="Cambria Math"/>
                    </w:rPr>
                    <m:t>N</m:t>
                  </m:r>
                </m:num>
                <m:den>
                  <m:r>
                    <w:rPr>
                      <w:rStyle w:val="s2"/>
                      <w:rFonts w:ascii="Cambria Math" w:hAnsi="Cambria Math"/>
                    </w:rPr>
                    <m:t>A×H</m:t>
                  </m:r>
                </m:den>
              </m:f>
              <m:r>
                <w:rPr>
                  <w:rStyle w:val="s2"/>
                  <w:rFonts w:ascii="Cambria Math" w:hAnsi="Cambria Math"/>
                </w:rPr>
                <m:t>×10000#4</m:t>
              </m:r>
            </m:e>
          </m:eqArr>
        </m:oMath>
      </m:oMathPara>
    </w:p>
    <w:p w14:paraId="4F0A249B" w14:textId="00C00BD0" w:rsidR="005E3F20" w:rsidRDefault="005E3F20" w:rsidP="001643E6">
      <w:pPr>
        <w:pStyle w:val="p1"/>
        <w:spacing w:before="0" w:beforeAutospacing="0" w:after="0" w:afterAutospacing="0" w:line="480" w:lineRule="auto"/>
        <w:jc w:val="both"/>
      </w:pPr>
      <w:r w:rsidRPr="00A67FA1">
        <w:rPr>
          <w:rStyle w:val="s2"/>
        </w:rPr>
        <w:t xml:space="preserve">where </w:t>
      </w:r>
      <w:r w:rsidRPr="00A67FA1">
        <w:rPr>
          <w:rStyle w:val="s2"/>
          <w:i/>
          <w:iCs/>
        </w:rPr>
        <w:t>A</w:t>
      </w:r>
      <w:r w:rsidRPr="00A67FA1">
        <w:rPr>
          <w:rStyle w:val="s2"/>
        </w:rPr>
        <w:t xml:space="preserve"> is the spatial area of the study domain (</w:t>
      </w:r>
      <w:r w:rsidRPr="00EC7A2A">
        <w:rPr>
          <w:rStyle w:val="s2"/>
        </w:rPr>
        <w:t>2</w:t>
      </w:r>
      <w:r w:rsidR="005258FE">
        <w:rPr>
          <w:rStyle w:val="s2"/>
        </w:rPr>
        <w:t>0</w:t>
      </w:r>
      <w:r w:rsidRPr="00EC7A2A">
        <w:rPr>
          <w:rStyle w:val="s2"/>
        </w:rPr>
        <w:t>0,000</w:t>
      </w:r>
      <w:r>
        <w:rPr>
          <w:rStyle w:val="s2"/>
        </w:rPr>
        <w:t xml:space="preserve"> </w:t>
      </w:r>
      <w:r w:rsidRPr="00A67FA1">
        <w:rPr>
          <w:rStyle w:val="s2"/>
        </w:rPr>
        <w:t>km</w:t>
      </w:r>
      <w:r w:rsidRPr="00A67FA1">
        <w:rPr>
          <w:rStyle w:val="s2"/>
          <w:vertAlign w:val="superscript"/>
        </w:rPr>
        <w:t>2</w:t>
      </w:r>
      <w:r w:rsidRPr="00A67FA1">
        <w:rPr>
          <w:rStyle w:val="s2"/>
        </w:rPr>
        <w:t>)</w:t>
      </w:r>
      <w:r>
        <w:rPr>
          <w:rStyle w:val="s2"/>
        </w:rPr>
        <w:t xml:space="preserve">, and </w:t>
      </w:r>
      <w:r w:rsidRPr="00180252">
        <w:rPr>
          <w:rStyle w:val="s2"/>
          <w:i/>
          <w:iCs/>
        </w:rPr>
        <w:t>H</w:t>
      </w:r>
      <w:r>
        <w:rPr>
          <w:rStyle w:val="s2"/>
        </w:rPr>
        <w:t xml:space="preserve"> is the number of depth layers (</w:t>
      </w:r>
      <w:r w:rsidRPr="00E65E36">
        <w:rPr>
          <w:rStyle w:val="s2"/>
          <w:i/>
          <w:iCs/>
        </w:rPr>
        <w:t>d</w:t>
      </w:r>
      <w:r>
        <w:rPr>
          <w:rStyle w:val="s2"/>
        </w:rPr>
        <w:t>) included in this study (</w:t>
      </w:r>
      <w:r w:rsidRPr="005E3F20">
        <w:rPr>
          <w:rStyle w:val="s2"/>
          <w:i/>
          <w:iCs/>
        </w:rPr>
        <w:t>H</w:t>
      </w:r>
      <w:r>
        <w:rPr>
          <w:rStyle w:val="s2"/>
        </w:rPr>
        <w:t>=5)</w:t>
      </w:r>
      <w:r w:rsidRPr="00A67FA1">
        <w:rPr>
          <w:rStyle w:val="s2"/>
        </w:rPr>
        <w:t xml:space="preserve">, yielding </w:t>
      </w:r>
      <w:r>
        <w:rPr>
          <w:rStyle w:val="s2"/>
          <w:i/>
          <w:iCs/>
        </w:rPr>
        <w:t>E</w:t>
      </w:r>
      <w:r w:rsidRPr="00A67FA1">
        <w:rPr>
          <w:rStyle w:val="s2"/>
        </w:rPr>
        <w:t xml:space="preserve"> in units of samples per 10,000 km</w:t>
      </w:r>
      <w:r w:rsidRPr="00EC7A2A">
        <w:rPr>
          <w:rStyle w:val="s2"/>
          <w:vertAlign w:val="superscript"/>
        </w:rPr>
        <w:t>2</w:t>
      </w:r>
      <w:r w:rsidRPr="00A67FA1">
        <w:rPr>
          <w:rStyle w:val="s2"/>
        </w:rPr>
        <w:t xml:space="preserve"> per depth layer.</w:t>
      </w:r>
      <w:r>
        <w:rPr>
          <w:rStyle w:val="s2"/>
        </w:rPr>
        <w:t xml:space="preserve"> </w:t>
      </w:r>
    </w:p>
    <w:p w14:paraId="22A1CB9C" w14:textId="77777777" w:rsidR="0039223E" w:rsidRDefault="0039223E" w:rsidP="001643E6">
      <w:pPr>
        <w:pStyle w:val="BodyText"/>
        <w:spacing w:line="480" w:lineRule="auto"/>
      </w:pPr>
    </w:p>
    <w:p w14:paraId="182BD2A3" w14:textId="0BD682B7" w:rsidR="008C05CD" w:rsidRDefault="008C05CD" w:rsidP="001643E6">
      <w:pPr>
        <w:pStyle w:val="p1"/>
        <w:spacing w:before="0" w:beforeAutospacing="0" w:after="0" w:afterAutospacing="0" w:line="480" w:lineRule="auto"/>
        <w:jc w:val="both"/>
      </w:pPr>
      <w:r>
        <w:t>For each model prediction, we calculate</w:t>
      </w:r>
      <w:r w:rsidR="004834A6">
        <w:t>d</w:t>
      </w:r>
      <w:r>
        <w:t xml:space="preserve"> the prediction error (</w:t>
      </w:r>
      <w:r w:rsidRPr="00D672C6">
        <w:rPr>
          <w:rFonts w:eastAsiaTheme="minorEastAsia"/>
          <w:i/>
          <w:iCs/>
          <w:lang w:val="el-GR"/>
        </w:rPr>
        <w:t>ε</w:t>
      </w:r>
      <w:r w:rsidR="001801E2" w:rsidRPr="001801E2">
        <w:rPr>
          <w:rFonts w:eastAsiaTheme="minorEastAsia"/>
          <w:i/>
          <w:iCs/>
          <w:vertAlign w:val="subscript"/>
        </w:rPr>
        <w:t>1</w:t>
      </w:r>
      <w:r>
        <w:rPr>
          <w:rFonts w:eastAsiaTheme="minorEastAsia"/>
          <w:i/>
          <w:iCs/>
          <w:vertAlign w:val="subscript"/>
        </w:rPr>
        <w:t>E</w:t>
      </w:r>
      <w:r>
        <w:t xml:space="preserve">), defined as the root mean squared error between spatial fields predicted from the </w:t>
      </w:r>
      <w:r w:rsidR="004834A6">
        <w:t>full</w:t>
      </w:r>
      <w:r>
        <w:t xml:space="preserve"> dataset (</w:t>
      </w:r>
      <w:r w:rsidRPr="0063190F">
        <w:rPr>
          <w:i/>
          <w:iCs/>
        </w:rPr>
        <w:t>Z</w:t>
      </w:r>
      <w:r>
        <w:t>) and those predicted from each reduced sampling scenario (</w:t>
      </w:r>
      <w:r w:rsidRPr="003E3BD8">
        <w:rPr>
          <w:i/>
          <w:iCs/>
        </w:rPr>
        <w:t>S</w:t>
      </w:r>
      <w:r>
        <w:rPr>
          <w:i/>
          <w:iCs/>
          <w:vertAlign w:val="subscript"/>
        </w:rPr>
        <w:t>E</w:t>
      </w:r>
      <w:r>
        <w:t>) as follows</w:t>
      </w:r>
      <w:r w:rsidR="00254D82">
        <w:t xml:space="preserve"> (</w:t>
      </w:r>
      <w:r w:rsidR="00254D82">
        <w:rPr>
          <w:rStyle w:val="s2"/>
        </w:rPr>
        <w:t>Figure 2B</w:t>
      </w:r>
      <w:r w:rsidR="00254D82">
        <w:t>)</w:t>
      </w:r>
      <w:r>
        <w:t>:</w:t>
      </w:r>
    </w:p>
    <w:p w14:paraId="643C6DFC" w14:textId="02EBF24A" w:rsidR="008C05CD" w:rsidRPr="001F75CE" w:rsidRDefault="00000000" w:rsidP="001643E6">
      <w:pPr>
        <w:pStyle w:val="BodyText"/>
        <w:spacing w:line="480" w:lineRule="auto"/>
        <w:rPr>
          <w:rFonts w:eastAsiaTheme="minorEastAsia"/>
        </w:rPr>
      </w:pPr>
      <m:oMathPara>
        <m:oMath>
          <m:eqArr>
            <m:eqArrPr>
              <m:maxDist m:val="1"/>
              <m:ctrlPr>
                <w:rPr>
                  <w:rFonts w:ascii="Cambria Math" w:eastAsiaTheme="minorEastAsia" w:hAnsi="Cambria Math"/>
                  <w:i/>
                </w:rPr>
              </m:ctrlPr>
            </m:eqArrPr>
            <m:e>
              <m:eqArr>
                <m:eqArrPr>
                  <m:ctrlPr>
                    <w:rPr>
                      <w:rFonts w:ascii="Cambria Math" w:hAnsi="Cambria Math"/>
                    </w:rPr>
                  </m:ctrlPr>
                </m:eqArrPr>
                <m:e>
                  <m:sSub>
                    <m:sSubPr>
                      <m:ctrlPr>
                        <w:rPr>
                          <w:rFonts w:ascii="Cambria Math" w:hAnsi="Cambria Math"/>
                        </w:rPr>
                      </m:ctrlPr>
                    </m:sSubPr>
                    <m:e>
                      <m:r>
                        <w:rPr>
                          <w:rFonts w:ascii="Cambria Math" w:hAnsi="Cambria Math"/>
                        </w:rPr>
                        <m:t>ε</m:t>
                      </m:r>
                    </m:e>
                    <m:sub>
                      <m:r>
                        <w:rPr>
                          <w:rFonts w:ascii="Cambria Math" w:hAnsi="Cambria Math"/>
                        </w:rPr>
                        <m:t>1E</m:t>
                      </m:r>
                    </m:sub>
                  </m:sSub>
                  <m:r>
                    <w:rPr>
                      <w:rFonts w:ascii="Cambria Math" w:hAnsi="Cambria Math"/>
                    </w:rPr>
                    <m:t>&amp;</m:t>
                  </m:r>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iE</m:t>
                                      </m:r>
                                    </m:sub>
                                  </m:sSub>
                                </m:e>
                              </m:d>
                            </m:e>
                            <m:sup>
                              <m:r>
                                <w:rPr>
                                  <w:rFonts w:ascii="Cambria Math" w:hAnsi="Cambria Math"/>
                                </w:rPr>
                                <m:t>2</m:t>
                              </m:r>
                            </m:sup>
                          </m:sSup>
                        </m:e>
                      </m:nary>
                    </m:e>
                  </m:rad>
                </m:e>
              </m:eqArr>
              <m:r>
                <w:rPr>
                  <w:rFonts w:ascii="Cambria Math" w:hAnsi="Cambria Math"/>
                </w:rPr>
                <m:t>#</m:t>
              </m:r>
              <m:r>
                <w:rPr>
                  <w:rFonts w:ascii="Cambria Math" w:eastAsiaTheme="minorEastAsia" w:hAnsi="Cambria Math"/>
                </w:rPr>
                <m:t>5</m:t>
              </m:r>
            </m:e>
          </m:eqArr>
        </m:oMath>
      </m:oMathPara>
    </w:p>
    <w:p w14:paraId="653DA2A3" w14:textId="15C3D38F" w:rsidR="008A5961" w:rsidRDefault="008C05CD" w:rsidP="001643E6">
      <w:pPr>
        <w:pStyle w:val="BodyText"/>
        <w:spacing w:line="480" w:lineRule="auto"/>
      </w:pPr>
      <w:r>
        <w:t xml:space="preserve">with </w:t>
      </w:r>
      <w:r w:rsidR="00573389" w:rsidRPr="00573389">
        <w:rPr>
          <w:i/>
          <w:iCs/>
        </w:rPr>
        <w:t>n</w:t>
      </w:r>
      <w:r w:rsidR="00573389">
        <w:t xml:space="preserve"> </w:t>
      </w:r>
      <w:r>
        <w:t xml:space="preserve">being the total number of </w:t>
      </w:r>
      <w:r w:rsidRPr="005B68F4">
        <w:rPr>
          <w:i/>
          <w:iCs/>
        </w:rPr>
        <w:t>Q</w:t>
      </w:r>
      <w:r>
        <w:t xml:space="preserve"> grid points (n = 18,916) where the predictions (</w:t>
      </w:r>
      <w:r w:rsidRPr="00201F17">
        <w:rPr>
          <w:i/>
          <w:iCs/>
        </w:rPr>
        <w:t>Z</w:t>
      </w:r>
      <w:r>
        <w:t xml:space="preserve"> and </w:t>
      </w:r>
      <w:r w:rsidRPr="00201F17">
        <w:rPr>
          <w:i/>
          <w:iCs/>
        </w:rPr>
        <w:t>S</w:t>
      </w:r>
      <w:r>
        <w:rPr>
          <w:i/>
          <w:iCs/>
          <w:vertAlign w:val="subscript"/>
        </w:rPr>
        <w:t>E</w:t>
      </w:r>
      <w:r>
        <w:t xml:space="preserve">) are projected. </w:t>
      </w:r>
      <w:r w:rsidR="00607BF6">
        <w:t xml:space="preserve">We repeated this thinning-fitting-prediction process across 20 random realizations </w:t>
      </w:r>
      <w:r w:rsidR="008A5961" w:rsidRPr="008A5961">
        <w:t>for each thinning intensity</w:t>
      </w:r>
      <w:r w:rsidR="008A5961">
        <w:t>.</w:t>
      </w:r>
    </w:p>
    <w:p w14:paraId="1BF23A1D" w14:textId="60194420" w:rsidR="008C05CD" w:rsidRDefault="008C05CD" w:rsidP="001643E6">
      <w:pPr>
        <w:pStyle w:val="BodyText"/>
        <w:spacing w:line="480" w:lineRule="auto"/>
      </w:pPr>
      <w:r>
        <w:t xml:space="preserve"> </w:t>
      </w:r>
    </w:p>
    <w:p w14:paraId="37453850" w14:textId="77777777" w:rsidR="0047549D" w:rsidRDefault="0047549D" w:rsidP="001643E6">
      <w:pPr>
        <w:pStyle w:val="Heading2"/>
        <w:spacing w:before="0" w:after="0" w:line="480" w:lineRule="auto"/>
      </w:pPr>
      <w:r>
        <w:t>Simulated eDNA data</w:t>
      </w:r>
    </w:p>
    <w:p w14:paraId="3908C333" w14:textId="344FBE6A" w:rsidR="00895A6B" w:rsidRDefault="00B62303" w:rsidP="001643E6">
      <w:pPr>
        <w:pStyle w:val="BodyText"/>
        <w:spacing w:line="480" w:lineRule="auto"/>
      </w:pPr>
      <w:r w:rsidRPr="00B62303">
        <w:t xml:space="preserve">To extend inference beyond the sampling </w:t>
      </w:r>
      <w:r>
        <w:t>effort</w:t>
      </w:r>
      <w:r w:rsidRPr="00B62303">
        <w:t xml:space="preserve"> limitations </w:t>
      </w:r>
      <w:r w:rsidR="007649BA">
        <w:t>(</w:t>
      </w:r>
      <w:r w:rsidR="007649BA" w:rsidRPr="007649BA">
        <w:rPr>
          <w:i/>
          <w:iCs/>
        </w:rPr>
        <w:t>N</w:t>
      </w:r>
      <w:r w:rsidR="007649BA">
        <w:t xml:space="preserve"> = 358) </w:t>
      </w:r>
      <w:r w:rsidRPr="00B62303">
        <w:t>of the empirical data</w:t>
      </w:r>
      <w:r w:rsidR="00740607">
        <w:t>set</w:t>
      </w:r>
      <w:r w:rsidRPr="00B62303">
        <w:t>,</w:t>
      </w:r>
      <w:r w:rsidR="00916555" w:rsidRPr="00916555">
        <w:t xml:space="preserve"> we conducted </w:t>
      </w:r>
      <w:r w:rsidR="00916555">
        <w:t xml:space="preserve">a series of simulations. </w:t>
      </w:r>
      <w:r w:rsidR="00431D87" w:rsidRPr="00431D87">
        <w:t xml:space="preserve">We generated </w:t>
      </w:r>
      <w:r w:rsidR="00431D87" w:rsidRPr="00740607">
        <w:rPr>
          <w:i/>
          <w:iCs/>
        </w:rPr>
        <w:t>in</w:t>
      </w:r>
      <w:r w:rsidR="00740607">
        <w:rPr>
          <w:i/>
          <w:iCs/>
        </w:rPr>
        <w:t>-</w:t>
      </w:r>
      <w:r w:rsidR="00431D87" w:rsidRPr="00740607">
        <w:rPr>
          <w:i/>
          <w:iCs/>
        </w:rPr>
        <w:t>silico</w:t>
      </w:r>
      <w:r w:rsidR="00431D87" w:rsidRPr="00431D87">
        <w:t xml:space="preserve"> eDNA concentration data</w:t>
      </w:r>
      <w:r w:rsidR="00945EDE">
        <w:t xml:space="preserve"> using the GP model (Eq. 1-2)</w:t>
      </w:r>
      <w:r w:rsidR="00431D87" w:rsidRPr="00431D87">
        <w:t xml:space="preserve"> across the same spatial domain and prediction grid (</w:t>
      </w:r>
      <w:r w:rsidR="00431D87" w:rsidRPr="00431D87">
        <w:rPr>
          <w:i/>
          <w:iCs/>
        </w:rPr>
        <w:t>Q</w:t>
      </w:r>
      <w:r w:rsidR="00431D87" w:rsidRPr="00431D87">
        <w:t xml:space="preserve">) used </w:t>
      </w:r>
      <w:r w:rsidR="00740607">
        <w:t>in</w:t>
      </w:r>
      <w:r w:rsidR="00431D87" w:rsidRPr="00431D87">
        <w:t xml:space="preserve"> the empirical analysis.</w:t>
      </w:r>
    </w:p>
    <w:p w14:paraId="5351B402" w14:textId="77777777" w:rsidR="00895A6B" w:rsidRDefault="00895A6B" w:rsidP="001643E6">
      <w:pPr>
        <w:pStyle w:val="BodyText"/>
        <w:spacing w:line="480" w:lineRule="auto"/>
      </w:pPr>
    </w:p>
    <w:p w14:paraId="6B5D7D7D" w14:textId="485A3ACA" w:rsidR="004242D5" w:rsidRDefault="00D46036" w:rsidP="001643E6">
      <w:pPr>
        <w:pStyle w:val="BodyText"/>
        <w:spacing w:line="480" w:lineRule="auto"/>
      </w:pPr>
      <w:r w:rsidRPr="00D46036">
        <w:lastRenderedPageBreak/>
        <w:t>The simulation</w:t>
      </w:r>
      <w:r w:rsidR="00740607">
        <w:t>s</w:t>
      </w:r>
      <w:r w:rsidRPr="00D46036">
        <w:t xml:space="preserve"> </w:t>
      </w:r>
      <w:r w:rsidR="00740607">
        <w:t>were</w:t>
      </w:r>
      <w:r w:rsidRPr="00D46036">
        <w:t xml:space="preserve"> designed to explore a wide range of spatial structures by varying the GP length-scale parameter </w:t>
      </w:r>
      <w:r w:rsidR="005D0A22">
        <w:t>(</w:t>
      </w:r>
      <w:r w:rsidR="005D0A22" w:rsidRPr="005D0A22">
        <w:rPr>
          <w:i/>
          <w:iCs/>
          <w:lang w:val="el-GR"/>
        </w:rPr>
        <w:t>ρ</w:t>
      </w:r>
      <w:r w:rsidR="005D0A22" w:rsidRPr="005D0A22">
        <w:t>)</w:t>
      </w:r>
      <w:r w:rsidR="005D0A22" w:rsidRPr="00D46036">
        <w:t xml:space="preserve"> </w:t>
      </w:r>
      <w:r w:rsidRPr="00D46036">
        <w:t>across ten levels: 25, 50, 75, 100, 200, 300, 400, 500, 800, and 1000 km</w:t>
      </w:r>
      <w:r w:rsidR="004837D4">
        <w:t xml:space="preserve"> (</w:t>
      </w:r>
      <w:r w:rsidR="0079593E" w:rsidRPr="0079593E">
        <w:rPr>
          <w:szCs w:val="36"/>
        </w:rPr>
        <w:t>Appendix S1:</w:t>
      </w:r>
      <w:r w:rsidR="0079593E">
        <w:rPr>
          <w:szCs w:val="36"/>
        </w:rPr>
        <w:t xml:space="preserve"> </w:t>
      </w:r>
      <w:r w:rsidR="004837D4">
        <w:rPr>
          <w:szCs w:val="36"/>
        </w:rPr>
        <w:t>Table S1)</w:t>
      </w:r>
      <w:r>
        <w:t xml:space="preserve">. For each </w:t>
      </w:r>
      <w:r w:rsidR="003A6403">
        <w:t xml:space="preserve">value </w:t>
      </w:r>
      <w:r w:rsidRPr="00D46036">
        <w:t xml:space="preserve">of </w:t>
      </w:r>
      <w:r w:rsidR="005D0A22" w:rsidRPr="005D0A22">
        <w:rPr>
          <w:i/>
          <w:iCs/>
          <w:lang w:val="el-GR"/>
        </w:rPr>
        <w:t>ρ</w:t>
      </w:r>
      <w:r w:rsidR="005D0A22" w:rsidRPr="00D46036">
        <w:t xml:space="preserve"> </w:t>
      </w:r>
      <w:r w:rsidRPr="00D46036">
        <w:t xml:space="preserve">we generated </w:t>
      </w:r>
      <w:r w:rsidR="0068039E">
        <w:t xml:space="preserve">(arbitrarily) </w:t>
      </w:r>
      <w:r w:rsidRPr="00D46036">
        <w:t>20 independent replicate spatial fields, resulting in a total of 200 simulated datasets</w:t>
      </w:r>
      <w:r w:rsidR="003C4FC4">
        <w:t xml:space="preserve"> </w:t>
      </w:r>
      <w:r w:rsidR="003C4FC4" w:rsidRPr="000461C1">
        <w:rPr>
          <w:rFonts w:eastAsiaTheme="minorEastAsia"/>
        </w:rPr>
        <w:t xml:space="preserve">(10 </w:t>
      </w:r>
      <m:oMath>
        <m:r>
          <w:rPr>
            <w:rFonts w:ascii="Cambria Math" w:hAnsi="Cambria Math"/>
          </w:rPr>
          <m:t>ρ</m:t>
        </m:r>
      </m:oMath>
      <w:r w:rsidR="003C4FC4" w:rsidRPr="000461C1">
        <w:rPr>
          <w:rFonts w:eastAsiaTheme="minorEastAsia"/>
        </w:rPr>
        <w:t xml:space="preserve"> levels × 20 replicates</w:t>
      </w:r>
      <w:r w:rsidR="002C6985">
        <w:rPr>
          <w:rFonts w:eastAsiaTheme="minorEastAsia"/>
        </w:rPr>
        <w:t xml:space="preserve">; </w:t>
      </w:r>
      <w:r w:rsidR="00982787" w:rsidRPr="00982787">
        <w:rPr>
          <w:szCs w:val="36"/>
        </w:rPr>
        <w:t>Appendix S1:</w:t>
      </w:r>
      <w:r w:rsidR="00982787">
        <w:rPr>
          <w:szCs w:val="36"/>
        </w:rPr>
        <w:t xml:space="preserve"> </w:t>
      </w:r>
      <w:r w:rsidR="002C6985">
        <w:rPr>
          <w:szCs w:val="36"/>
        </w:rPr>
        <w:t>Table S1</w:t>
      </w:r>
      <w:r w:rsidR="003C4FC4" w:rsidRPr="000461C1">
        <w:rPr>
          <w:rFonts w:eastAsiaTheme="minorEastAsia"/>
        </w:rPr>
        <w:t>)</w:t>
      </w:r>
      <w:r w:rsidR="003C4FC4">
        <w:rPr>
          <w:rFonts w:eastAsiaTheme="minorEastAsia"/>
        </w:rPr>
        <w:t>.</w:t>
      </w:r>
      <w:r w:rsidR="00895A6B">
        <w:t xml:space="preserve"> </w:t>
      </w:r>
      <w:proofErr w:type="gramStart"/>
      <w:r w:rsidR="004C5337">
        <w:t>Similar to</w:t>
      </w:r>
      <w:proofErr w:type="gramEnd"/>
      <w:r w:rsidR="004C5337">
        <w:t xml:space="preserve"> </w:t>
      </w:r>
      <w:r w:rsidR="00237B5F">
        <w:t xml:space="preserve">GP inference </w:t>
      </w:r>
      <w:r w:rsidR="00607BF6">
        <w:t xml:space="preserve">of the </w:t>
      </w:r>
      <w:r w:rsidR="004C5337">
        <w:t>empirical data</w:t>
      </w:r>
      <w:r w:rsidR="00202E65">
        <w:t>,</w:t>
      </w:r>
      <w:r w:rsidR="004C5337">
        <w:t xml:space="preserve"> </w:t>
      </w:r>
      <w:r w:rsidR="00202E65">
        <w:t xml:space="preserve">within </w:t>
      </w:r>
      <w:r w:rsidR="002704E3">
        <w:t>each</w:t>
      </w:r>
      <w:r w:rsidR="0065046F" w:rsidRPr="00AA096F">
        <w:t xml:space="preserve"> simulation, </w:t>
      </w:r>
      <w:r w:rsidR="00202E65" w:rsidRPr="00202E65">
        <w:rPr>
          <w:i/>
          <w:iCs/>
        </w:rPr>
        <w:t>ρ</w:t>
      </w:r>
      <w:r w:rsidR="00202E65">
        <w:rPr>
          <w:lang w:val="el-GR"/>
        </w:rPr>
        <w:t xml:space="preserve"> </w:t>
      </w:r>
      <w:r w:rsidR="0065046F" w:rsidRPr="00AA096F">
        <w:t>was held constant across depth</w:t>
      </w:r>
      <w:r w:rsidR="00EE38B3">
        <w:t xml:space="preserve"> layers</w:t>
      </w:r>
      <w:r w:rsidR="0065046F" w:rsidRPr="00AA096F">
        <w:t xml:space="preserve">, </w:t>
      </w:r>
      <w:r w:rsidR="00607BF6">
        <w:t xml:space="preserve">but each layer </w:t>
      </w:r>
      <w:r w:rsidR="0065046F" w:rsidRPr="00AA096F">
        <w:t>had a separate mean</w:t>
      </w:r>
      <w:r w:rsidR="0065046F">
        <w:t xml:space="preserve"> </w:t>
      </w:r>
      <w:r w:rsidR="000C1D95">
        <w:t>(</w:t>
      </w:r>
      <w:r w:rsidR="000C1D95">
        <w:rPr>
          <w:lang w:val="el-GR"/>
        </w:rPr>
        <w:t>μ</w:t>
      </w:r>
      <w:r w:rsidR="000C1D95" w:rsidRPr="000C1D95">
        <w:rPr>
          <w:vertAlign w:val="subscript"/>
        </w:rPr>
        <w:t>d</w:t>
      </w:r>
      <w:r w:rsidR="000C1D95">
        <w:t xml:space="preserve">) </w:t>
      </w:r>
      <w:r w:rsidR="0065046F" w:rsidRPr="00AA096F">
        <w:t>drawn randomly from a normal distribution with mean of 0 and a standard deviation of 3.</w:t>
      </w:r>
      <w:r w:rsidR="0065046F">
        <w:t xml:space="preserve"> </w:t>
      </w:r>
      <w:r w:rsidR="00B7212C">
        <w:t>W</w:t>
      </w:r>
      <w:r w:rsidR="000C1D95" w:rsidRPr="000C1D95">
        <w:t>e focused only on spatial autocorrelation</w:t>
      </w:r>
      <w:r w:rsidR="00D23D4E">
        <w:t xml:space="preserve"> across latitude and longitude</w:t>
      </w:r>
      <w:r w:rsidR="00EA4F22">
        <w:rPr>
          <w:lang w:val="el-GR"/>
        </w:rPr>
        <w:t xml:space="preserve">, </w:t>
      </w:r>
      <w:r w:rsidR="00EA4F22">
        <w:t>allowing</w:t>
      </w:r>
      <w:r w:rsidR="009315C7">
        <w:t xml:space="preserve"> the eDNA concentration at each depth to be independent</w:t>
      </w:r>
      <w:r w:rsidR="000C1D95" w:rsidRPr="000C1D95">
        <w:t>.</w:t>
      </w:r>
      <w:r w:rsidR="000C1D95">
        <w:t xml:space="preserve"> </w:t>
      </w:r>
      <w:bookmarkStart w:id="6" w:name="OLE_LINK11"/>
      <w:r w:rsidR="00023927">
        <w:t>The a</w:t>
      </w:r>
      <w:r w:rsidR="00D04708">
        <w:t>mplitude (</w:t>
      </w:r>
      <w:r w:rsidR="005D0C53" w:rsidRPr="005D0C53">
        <w:rPr>
          <w:i/>
          <w:iCs/>
          <w:lang w:val="el-GR"/>
        </w:rPr>
        <w:t>α</w:t>
      </w:r>
      <w:r w:rsidR="005D0C53" w:rsidRPr="005D0C53">
        <w:rPr>
          <w:i/>
          <w:iCs/>
          <w:vertAlign w:val="superscript"/>
        </w:rPr>
        <w:t>2</w:t>
      </w:r>
      <w:r w:rsidR="00D04708">
        <w:t xml:space="preserve">) and </w:t>
      </w:r>
      <w:r w:rsidR="00023927">
        <w:t xml:space="preserve">the </w:t>
      </w:r>
      <w:r w:rsidR="00E96826">
        <w:t>non-spatial</w:t>
      </w:r>
      <w:r w:rsidR="00CB7B2C" w:rsidRPr="00CB7B2C">
        <w:t xml:space="preserve"> </w:t>
      </w:r>
      <w:r w:rsidR="00E96826">
        <w:t>variance</w:t>
      </w:r>
      <w:r w:rsidR="00CB7B2C" w:rsidRPr="00CB7B2C">
        <w:t xml:space="preserve"> </w:t>
      </w:r>
      <w:r w:rsidR="00D04708">
        <w:t>(</w:t>
      </w:r>
      <w:r w:rsidR="00C25351">
        <w:rPr>
          <w:lang w:val="el-GR"/>
        </w:rPr>
        <w:t>σ</w:t>
      </w:r>
      <w:r w:rsidR="005D0C53" w:rsidRPr="005D0C53">
        <w:rPr>
          <w:vertAlign w:val="superscript"/>
        </w:rPr>
        <w:t>2</w:t>
      </w:r>
      <w:r w:rsidR="00D04708">
        <w:t xml:space="preserve">) </w:t>
      </w:r>
      <w:r w:rsidR="00AF2D8F">
        <w:t>in Eq</w:t>
      </w:r>
      <w:r w:rsidR="003A777A">
        <w:t>. 1 and 2</w:t>
      </w:r>
      <w:r w:rsidR="00AF2D8F">
        <w:t xml:space="preserve"> </w:t>
      </w:r>
      <w:r w:rsidR="00D04708">
        <w:t>were fixed at 4 and 3</w:t>
      </w:r>
      <w:r w:rsidR="00B82ACF">
        <w:t>,</w:t>
      </w:r>
      <w:r w:rsidR="00D04708">
        <w:t xml:space="preserve"> </w:t>
      </w:r>
      <w:r w:rsidR="007C65F2">
        <w:t>respectively</w:t>
      </w:r>
      <w:r w:rsidR="00B82ACF">
        <w:t>,</w:t>
      </w:r>
      <w:r w:rsidR="007C65F2">
        <w:t xml:space="preserve"> </w:t>
      </w:r>
      <w:r w:rsidR="00E21848">
        <w:t xml:space="preserve">to mirror </w:t>
      </w:r>
      <w:r w:rsidR="007C65F2">
        <w:t xml:space="preserve">parameter </w:t>
      </w:r>
      <w:r w:rsidR="00D04708">
        <w:t xml:space="preserve">estimates in </w:t>
      </w:r>
      <w:r w:rsidR="003F0FD0">
        <w:t xml:space="preserve">the </w:t>
      </w:r>
      <w:r w:rsidR="007112A5">
        <w:t>empirical</w:t>
      </w:r>
      <w:r w:rsidR="003F0FD0">
        <w:t xml:space="preserve"> data</w:t>
      </w:r>
      <w:r w:rsidR="00D04708">
        <w:t>.</w:t>
      </w:r>
      <w:bookmarkEnd w:id="6"/>
      <w:r w:rsidR="004D2E90">
        <w:t xml:space="preserve"> </w:t>
      </w:r>
      <w:bookmarkStart w:id="7" w:name="OLE_LINK12"/>
      <w:r w:rsidR="00A14311">
        <w:t>Both</w:t>
      </w:r>
      <w:r w:rsidR="00A14311" w:rsidRPr="00A14311">
        <w:t xml:space="preserve"> values were fixed based on the empirical estimates, where </w:t>
      </w:r>
      <w:r w:rsidR="00A14311">
        <w:rPr>
          <w:lang w:val="el-GR"/>
        </w:rPr>
        <w:t>α</w:t>
      </w:r>
      <w:r w:rsidR="00A14311" w:rsidRPr="00A14311">
        <w:rPr>
          <w:vertAlign w:val="superscript"/>
        </w:rPr>
        <w:t>2</w:t>
      </w:r>
      <w:r w:rsidR="00A14311">
        <w:rPr>
          <w:lang w:val="el-GR"/>
        </w:rPr>
        <w:t xml:space="preserve"> </w:t>
      </w:r>
      <w:r w:rsidR="00A14311" w:rsidRPr="00A14311">
        <w:t xml:space="preserve">ranged from 2 to 4 across species and </w:t>
      </w:r>
      <w:r w:rsidR="00A14311">
        <w:rPr>
          <w:lang w:val="el-GR"/>
        </w:rPr>
        <w:t>σ</w:t>
      </w:r>
      <w:r w:rsidR="00A14311" w:rsidRPr="00A14311">
        <w:rPr>
          <w:vertAlign w:val="superscript"/>
        </w:rPr>
        <w:t>2</w:t>
      </w:r>
      <w:r w:rsidR="00A14311">
        <w:t xml:space="preserve"> </w:t>
      </w:r>
      <w:r w:rsidR="00A14311" w:rsidRPr="00A14311">
        <w:t>was approximately 3 (Appendix S1: Table S1).</w:t>
      </w:r>
    </w:p>
    <w:bookmarkEnd w:id="7"/>
    <w:p w14:paraId="5A754501" w14:textId="77777777" w:rsidR="00180245" w:rsidRDefault="00180245" w:rsidP="001643E6">
      <w:pPr>
        <w:pStyle w:val="BodyText"/>
        <w:spacing w:line="480" w:lineRule="auto"/>
      </w:pPr>
    </w:p>
    <w:p w14:paraId="3144ED2B" w14:textId="0C54C0DC" w:rsidR="00640CD9" w:rsidRDefault="00180245" w:rsidP="001643E6">
      <w:pPr>
        <w:pStyle w:val="BodyText"/>
        <w:spacing w:line="480" w:lineRule="auto"/>
      </w:pPr>
      <w:r>
        <w:t xml:space="preserve">Given the large number of </w:t>
      </w:r>
      <w:r w:rsidR="00CA0A3C" w:rsidRPr="00CA0A3C">
        <w:t>projected</w:t>
      </w:r>
      <w:r w:rsidR="00CA0A3C">
        <w:rPr>
          <w:i/>
          <w:iCs/>
        </w:rPr>
        <w:t xml:space="preserve"> </w:t>
      </w:r>
      <w:r>
        <w:t>eDNA points (</w:t>
      </w:r>
      <w:r w:rsidRPr="002362C0">
        <w:rPr>
          <w:i/>
          <w:iCs/>
        </w:rPr>
        <w:t>Q</w:t>
      </w:r>
      <w:r>
        <w:t>), fitting a GP model using all locations (≈ 20,000 input values) was computationally prohibitive. We therefore drew a subset of 4,000 points from each of the 200 simulated datasets as the “complete” observation dataset (Y) and its covariate (X). Following a procedure identical to that used for the empirical data, we first fit the GP model (Eq. 1–2) to each complete simulated dataset (</w:t>
      </w:r>
      <w:r>
        <w:rPr>
          <w:i/>
          <w:iCs/>
        </w:rPr>
        <w:t>Y</w:t>
      </w:r>
      <w:r>
        <w:t>) and covariate (</w:t>
      </w:r>
      <w:r>
        <w:rPr>
          <w:i/>
          <w:iCs/>
        </w:rPr>
        <w:t>X</w:t>
      </w:r>
      <w:r>
        <w:t>) to infer its governing parameters (</w:t>
      </w:r>
      <w:proofErr w:type="spellStart"/>
      <w:r>
        <w:rPr>
          <w:i/>
          <w:iCs/>
        </w:rPr>
        <w:t>μ</w:t>
      </w:r>
      <w:r>
        <w:rPr>
          <w:i/>
          <w:iCs/>
          <w:vertAlign w:val="subscript"/>
        </w:rPr>
        <w:t>d</w:t>
      </w:r>
      <w:proofErr w:type="spellEnd"/>
      <w:r>
        <w:t xml:space="preserve">, </w:t>
      </w:r>
      <w:r>
        <w:rPr>
          <w:i/>
          <w:iCs/>
        </w:rPr>
        <w:t>ρ</w:t>
      </w:r>
      <w:r>
        <w:t xml:space="preserve">, </w:t>
      </w:r>
      <w:r>
        <w:rPr>
          <w:i/>
          <w:iCs/>
        </w:rPr>
        <w:t>α</w:t>
      </w:r>
      <w:r>
        <w:rPr>
          <w:i/>
          <w:iCs/>
          <w:vertAlign w:val="superscript"/>
        </w:rPr>
        <w:t>2</w:t>
      </w:r>
      <w:r>
        <w:t xml:space="preserve">, and </w:t>
      </w:r>
      <w:r>
        <w:rPr>
          <w:i/>
          <w:iCs/>
        </w:rPr>
        <w:t>σ</w:t>
      </w:r>
      <w:r>
        <w:rPr>
          <w:i/>
          <w:iCs/>
          <w:vertAlign w:val="superscript"/>
        </w:rPr>
        <w:t>2</w:t>
      </w:r>
      <w:r>
        <w:t>) and thereafter predict eDNA concentrations (</w:t>
      </w:r>
      <w:r>
        <w:rPr>
          <w:i/>
          <w:iCs/>
        </w:rPr>
        <w:t>Z</w:t>
      </w:r>
      <w:r>
        <w:t>) across the full spatial grid (</w:t>
      </w:r>
      <w:r>
        <w:rPr>
          <w:i/>
          <w:iCs/>
        </w:rPr>
        <w:t>Q</w:t>
      </w:r>
      <w:r>
        <w:t>) using Eq. 3. This prediction (</w:t>
      </w:r>
      <w:r w:rsidR="00640CD9" w:rsidRPr="001C5725">
        <w:rPr>
          <w:i/>
          <w:iCs/>
        </w:rPr>
        <w:t>Z</w:t>
      </w:r>
      <w:r w:rsidR="00640CD9" w:rsidRPr="00640CD9">
        <w:t>) served as the</w:t>
      </w:r>
      <w:r w:rsidR="00640CD9">
        <w:t xml:space="preserve"> “true”</w:t>
      </w:r>
      <w:r w:rsidR="00640CD9" w:rsidRPr="00640CD9">
        <w:t xml:space="preserve"> spatial field against which all subsequent reduced-effort predictions were compared</w:t>
      </w:r>
      <w:r w:rsidR="00B95C1A">
        <w:t xml:space="preserve"> (</w:t>
      </w:r>
      <w:r w:rsidR="00B95C1A">
        <w:rPr>
          <w:rStyle w:val="s2"/>
        </w:rPr>
        <w:t>Figure 2A)</w:t>
      </w:r>
      <w:r w:rsidR="00640CD9" w:rsidRPr="00640CD9">
        <w:t>.</w:t>
      </w:r>
    </w:p>
    <w:p w14:paraId="48B145CE" w14:textId="77777777" w:rsidR="00640CD9" w:rsidRDefault="00640CD9" w:rsidP="001643E6">
      <w:pPr>
        <w:pStyle w:val="BodyText"/>
        <w:spacing w:line="480" w:lineRule="auto"/>
      </w:pPr>
    </w:p>
    <w:p w14:paraId="56A96515" w14:textId="773E587E" w:rsidR="00B11167" w:rsidRDefault="00D71941" w:rsidP="001643E6">
      <w:pPr>
        <w:pStyle w:val="BodyText"/>
        <w:spacing w:line="480" w:lineRule="auto"/>
      </w:pPr>
      <w:r>
        <w:lastRenderedPageBreak/>
        <w:t>T</w:t>
      </w:r>
      <w:r w:rsidRPr="00D71941">
        <w:t>o evaluate how sampling effort influences prediction accuracy</w:t>
      </w:r>
      <w:r>
        <w:t xml:space="preserve"> on the simulated data</w:t>
      </w:r>
      <w:r w:rsidRPr="00D71941">
        <w:t xml:space="preserve">, we generated a series of reduced-effort observation datasets </w:t>
      </w:r>
      <w:r w:rsidR="00955B15">
        <w:t>(</w:t>
      </w:r>
      <w:r w:rsidR="00955B15" w:rsidRPr="006B70C8">
        <w:rPr>
          <w:i/>
          <w:iCs/>
        </w:rPr>
        <w:t>Y</w:t>
      </w:r>
      <w:r w:rsidR="00955B15" w:rsidRPr="006B70C8">
        <w:rPr>
          <w:i/>
          <w:iCs/>
          <w:vertAlign w:val="subscript"/>
        </w:rPr>
        <w:t>E</w:t>
      </w:r>
      <w:r w:rsidRPr="00D71941">
        <w:t xml:space="preserve">) </w:t>
      </w:r>
      <w:r w:rsidR="00CA1067">
        <w:t>and covariates (</w:t>
      </w:r>
      <w:r w:rsidR="00CA1067" w:rsidRPr="000349CA">
        <w:rPr>
          <w:i/>
          <w:iCs/>
        </w:rPr>
        <w:t>X</w:t>
      </w:r>
      <w:r w:rsidR="00CA1067" w:rsidRPr="000349CA">
        <w:rPr>
          <w:i/>
          <w:iCs/>
          <w:vertAlign w:val="subscript"/>
        </w:rPr>
        <w:t>E</w:t>
      </w:r>
      <w:r w:rsidR="00CA1067">
        <w:t xml:space="preserve">) </w:t>
      </w:r>
      <w:r w:rsidRPr="00D71941">
        <w:t>by randomly thinning each complete set (</w:t>
      </w:r>
      <w:r w:rsidRPr="00B7045F">
        <w:rPr>
          <w:i/>
          <w:iCs/>
        </w:rPr>
        <w:t>Y</w:t>
      </w:r>
      <w:r w:rsidRPr="00D71941">
        <w:t xml:space="preserve">) </w:t>
      </w:r>
      <w:r w:rsidR="001178FE">
        <w:t>and its covariate (</w:t>
      </w:r>
      <w:r w:rsidR="001178FE" w:rsidRPr="001178FE">
        <w:rPr>
          <w:i/>
          <w:iCs/>
        </w:rPr>
        <w:t>X</w:t>
      </w:r>
      <w:r w:rsidR="001178FE">
        <w:t xml:space="preserve">) </w:t>
      </w:r>
      <w:r w:rsidRPr="00D71941">
        <w:t>to progressively smaller sample sizes (N = 2000, 1000, 600, 358, 330, 300, 260, 220, and 150</w:t>
      </w:r>
      <w:r w:rsidR="00490862">
        <w:t xml:space="preserve">; </w:t>
      </w:r>
      <w:r w:rsidR="00490862">
        <w:rPr>
          <w:rStyle w:val="s2"/>
        </w:rPr>
        <w:t>Figure 2A</w:t>
      </w:r>
      <w:r w:rsidRPr="00D71941">
        <w:t xml:space="preserve">). </w:t>
      </w:r>
      <w:r>
        <w:t>Following the same procedure used for the empirical data, we fit the GP model (Eq. 1-3) to estimate the governing parameters and generate an effort-specific spatial prediction (</w:t>
      </w:r>
      <w:r>
        <w:rPr>
          <w:i/>
          <w:iCs/>
        </w:rPr>
        <w:t>S</w:t>
      </w:r>
      <w:r>
        <w:rPr>
          <w:i/>
          <w:iCs/>
          <w:vertAlign w:val="subscript"/>
        </w:rPr>
        <w:t>E</w:t>
      </w:r>
      <w:r>
        <w:t>) on the full spatial grid (</w:t>
      </w:r>
      <w:r>
        <w:rPr>
          <w:i/>
          <w:iCs/>
        </w:rPr>
        <w:t>Q</w:t>
      </w:r>
      <w:r>
        <w:t xml:space="preserve">). We then </w:t>
      </w:r>
      <w:r w:rsidRPr="00D71941">
        <w:t xml:space="preserve">quantified the prediction error </w:t>
      </w:r>
      <w:r w:rsidR="005310E1">
        <w:t>(</w:t>
      </w:r>
      <w:r w:rsidR="005310E1" w:rsidRPr="00D672C6">
        <w:rPr>
          <w:rFonts w:eastAsiaTheme="minorEastAsia"/>
          <w:i/>
          <w:iCs/>
          <w:lang w:val="el-GR"/>
        </w:rPr>
        <w:t>ε</w:t>
      </w:r>
      <w:r w:rsidR="00375E4C" w:rsidRPr="00375E4C">
        <w:rPr>
          <w:rFonts w:eastAsiaTheme="minorEastAsia"/>
          <w:i/>
          <w:iCs/>
          <w:vertAlign w:val="subscript"/>
        </w:rPr>
        <w:t>2</w:t>
      </w:r>
      <w:r w:rsidR="005310E1">
        <w:rPr>
          <w:rFonts w:eastAsiaTheme="minorEastAsia"/>
          <w:i/>
          <w:iCs/>
          <w:vertAlign w:val="subscript"/>
        </w:rPr>
        <w:t>E</w:t>
      </w:r>
      <w:r w:rsidR="005310E1">
        <w:t>)</w:t>
      </w:r>
      <w:r w:rsidRPr="00D71941">
        <w:t xml:space="preserve"> for each scenario by calculating the root mean squared error between the </w:t>
      </w:r>
      <w:r w:rsidR="005310E1">
        <w:t>“</w:t>
      </w:r>
      <w:r w:rsidRPr="00D71941">
        <w:t>true</w:t>
      </w:r>
      <w:r w:rsidR="005310E1">
        <w:t>”</w:t>
      </w:r>
      <w:r w:rsidRPr="00D71941">
        <w:t xml:space="preserve"> field (</w:t>
      </w:r>
      <w:r w:rsidRPr="00450784">
        <w:rPr>
          <w:i/>
          <w:iCs/>
        </w:rPr>
        <w:t>Z)</w:t>
      </w:r>
      <w:r w:rsidRPr="00D71941">
        <w:t xml:space="preserve"> and the reduced-effort field (</w:t>
      </w:r>
      <w:r w:rsidR="005310E1" w:rsidRPr="0096274C">
        <w:rPr>
          <w:i/>
          <w:iCs/>
        </w:rPr>
        <w:t>S</w:t>
      </w:r>
      <w:r w:rsidR="005310E1" w:rsidRPr="0096274C">
        <w:rPr>
          <w:i/>
          <w:iCs/>
          <w:vertAlign w:val="subscript"/>
        </w:rPr>
        <w:t>E</w:t>
      </w:r>
      <w:r w:rsidRPr="00D71941">
        <w:t>), as defined in Eq</w:t>
      </w:r>
      <w:r w:rsidR="005310E1">
        <w:t xml:space="preserve">. </w:t>
      </w:r>
      <w:r w:rsidRPr="00D71941">
        <w:t>5</w:t>
      </w:r>
      <w:r w:rsidR="00490862">
        <w:t xml:space="preserve"> (</w:t>
      </w:r>
      <w:r w:rsidR="00490862">
        <w:rPr>
          <w:rStyle w:val="s2"/>
        </w:rPr>
        <w:t>Figure 2A</w:t>
      </w:r>
      <w:r w:rsidR="00490862">
        <w:t>)</w:t>
      </w:r>
      <w:r>
        <w:t xml:space="preserve">. </w:t>
      </w:r>
      <w:bookmarkStart w:id="8" w:name="statistical-inference"/>
      <w:bookmarkEnd w:id="5"/>
      <w:r w:rsidR="00C578B8" w:rsidRPr="00C578B8">
        <w:t xml:space="preserve">    This allowed us to quantify how accurately different sampling efforts (E) reconstructed the underlying eDNA field.</w:t>
      </w:r>
    </w:p>
    <w:p w14:paraId="7487C35D" w14:textId="77777777" w:rsidR="00BB5672" w:rsidRDefault="00BB5672" w:rsidP="001643E6">
      <w:pPr>
        <w:pStyle w:val="BodyText"/>
        <w:spacing w:line="480" w:lineRule="auto"/>
      </w:pPr>
    </w:p>
    <w:p w14:paraId="4CFA0088" w14:textId="1C314B50" w:rsidR="00BB5672" w:rsidRDefault="00BB5672" w:rsidP="001643E6">
      <w:pPr>
        <w:pStyle w:val="BodyText"/>
        <w:spacing w:line="480" w:lineRule="auto"/>
      </w:pPr>
      <w:r>
        <w:t xml:space="preserve">Additionally, to evaluate the influence of sampling effort on GP parameter estimation, we compared the </w:t>
      </w:r>
      <w:r w:rsidR="001B0E72">
        <w:t xml:space="preserve">estimated parameters </w:t>
      </w:r>
      <w:r w:rsidR="00F35716">
        <w:t>(</w:t>
      </w:r>
      <w:r w:rsidR="00F35716" w:rsidRPr="0005416C">
        <w:rPr>
          <w:i/>
          <w:iCs/>
          <w:lang w:val="el-GR"/>
        </w:rPr>
        <w:t>ρ</w:t>
      </w:r>
      <w:r w:rsidR="00F35716">
        <w:rPr>
          <w:lang w:val="el-GR"/>
        </w:rPr>
        <w:t xml:space="preserve">, </w:t>
      </w:r>
      <w:r w:rsidR="00F35716" w:rsidRPr="0005416C">
        <w:rPr>
          <w:i/>
          <w:iCs/>
          <w:lang w:val="el-GR"/>
        </w:rPr>
        <w:t>μ</w:t>
      </w:r>
      <w:r w:rsidR="00F35716" w:rsidRPr="0005416C">
        <w:rPr>
          <w:i/>
          <w:iCs/>
          <w:vertAlign w:val="subscript"/>
        </w:rPr>
        <w:t>d</w:t>
      </w:r>
      <w:r w:rsidR="00F35716">
        <w:rPr>
          <w:lang w:val="el-GR"/>
        </w:rPr>
        <w:t xml:space="preserve">, </w:t>
      </w:r>
      <w:r w:rsidR="0005416C" w:rsidRPr="0005416C">
        <w:rPr>
          <w:i/>
          <w:iCs/>
          <w:lang w:val="el-GR"/>
        </w:rPr>
        <w:t>σ</w:t>
      </w:r>
      <w:r w:rsidR="0005416C" w:rsidRPr="0005416C">
        <w:rPr>
          <w:i/>
          <w:iCs/>
          <w:vertAlign w:val="superscript"/>
        </w:rPr>
        <w:t>2</w:t>
      </w:r>
      <w:r w:rsidR="0005416C">
        <w:rPr>
          <w:lang w:val="el-GR"/>
        </w:rPr>
        <w:t xml:space="preserve">, </w:t>
      </w:r>
      <w:r w:rsidR="0005416C" w:rsidRPr="0005416C">
        <w:rPr>
          <w:i/>
          <w:iCs/>
          <w:lang w:val="el-GR"/>
        </w:rPr>
        <w:t>α</w:t>
      </w:r>
      <w:r w:rsidR="0005416C" w:rsidRPr="0005416C">
        <w:rPr>
          <w:i/>
          <w:iCs/>
          <w:vertAlign w:val="superscript"/>
        </w:rPr>
        <w:t>2</w:t>
      </w:r>
      <w:r w:rsidR="00F35716">
        <w:t xml:space="preserve">) </w:t>
      </w:r>
      <w:r w:rsidR="001B0E72">
        <w:t>from effort-specific datasets</w:t>
      </w:r>
      <w:r w:rsidR="00F35716">
        <w:t xml:space="preserve"> </w:t>
      </w:r>
      <w:r w:rsidR="00A372CE">
        <w:t>(</w:t>
      </w:r>
      <w:r w:rsidR="00A372CE">
        <w:rPr>
          <w:i/>
          <w:iCs/>
        </w:rPr>
        <w:t>Y</w:t>
      </w:r>
      <w:r w:rsidR="00A372CE">
        <w:rPr>
          <w:i/>
          <w:iCs/>
          <w:vertAlign w:val="subscript"/>
        </w:rPr>
        <w:t>E</w:t>
      </w:r>
      <w:r w:rsidR="00A372CE">
        <w:t xml:space="preserve">) </w:t>
      </w:r>
      <w:r w:rsidR="006739D4">
        <w:t>and covariate</w:t>
      </w:r>
      <w:r w:rsidR="00F96E8D">
        <w:t>s</w:t>
      </w:r>
      <w:r w:rsidR="006739D4">
        <w:t xml:space="preserve"> (</w:t>
      </w:r>
      <w:r w:rsidR="006739D4" w:rsidRPr="003124D1">
        <w:rPr>
          <w:i/>
          <w:iCs/>
        </w:rPr>
        <w:t>X</w:t>
      </w:r>
      <w:r w:rsidR="006739D4" w:rsidRPr="003124D1">
        <w:rPr>
          <w:i/>
          <w:iCs/>
          <w:vertAlign w:val="subscript"/>
        </w:rPr>
        <w:t>E</w:t>
      </w:r>
      <w:r w:rsidR="006739D4">
        <w:t>)</w:t>
      </w:r>
      <w:r w:rsidR="001B0E72">
        <w:t xml:space="preserve"> </w:t>
      </w:r>
      <w:r>
        <w:t xml:space="preserve">to the true values used to generate the simulated fields. </w:t>
      </w:r>
      <w:r w:rsidRPr="009F5EDA">
        <w:t xml:space="preserve">Differences between estimated and </w:t>
      </w:r>
      <w:r w:rsidR="00486E70">
        <w:t>simulated</w:t>
      </w:r>
      <w:r w:rsidRPr="009F5EDA">
        <w:t xml:space="preserve"> parameter values were quantified using the root mean squared error (</w:t>
      </w:r>
      <w:r w:rsidR="00247B17">
        <w:t>hereafter</w:t>
      </w:r>
      <w:r w:rsidR="00E428C6">
        <w:rPr>
          <w:lang w:val="el-GR"/>
        </w:rPr>
        <w:t xml:space="preserve"> τ</w:t>
      </w:r>
      <w:r w:rsidRPr="009F5EDA">
        <w:t xml:space="preserve">). </w:t>
      </w:r>
      <w:r>
        <w:t>This allowed us to quantify how reliably different sampling effort (</w:t>
      </w:r>
      <w:r>
        <w:rPr>
          <w:i/>
          <w:iCs/>
        </w:rPr>
        <w:t>E</w:t>
      </w:r>
      <w:r>
        <w:t>) recovered the underlying governing parameters of GP models.</w:t>
      </w:r>
    </w:p>
    <w:p w14:paraId="3F904544" w14:textId="77777777" w:rsidR="00B11167" w:rsidRDefault="00B11167" w:rsidP="001643E6">
      <w:pPr>
        <w:pStyle w:val="BodyText"/>
        <w:spacing w:line="480" w:lineRule="auto"/>
      </w:pPr>
    </w:p>
    <w:p w14:paraId="4BD01BB9" w14:textId="5E5A0C21" w:rsidR="00792AAF" w:rsidRPr="009E1270" w:rsidRDefault="00B11167" w:rsidP="001643E6">
      <w:pPr>
        <w:pStyle w:val="BodyText"/>
        <w:spacing w:line="480" w:lineRule="auto"/>
      </w:pPr>
      <w:r w:rsidRPr="00BF6F31">
        <w:rPr>
          <w:b/>
          <w:bCs w:val="0"/>
        </w:rPr>
        <w:t>Regression analysis of prediction error</w:t>
      </w:r>
    </w:p>
    <w:p w14:paraId="58DABC85" w14:textId="4AA1FA1B" w:rsidR="00F65D5F" w:rsidRDefault="00C0694F" w:rsidP="001643E6">
      <w:pPr>
        <w:pStyle w:val="BodyText"/>
        <w:spacing w:line="480" w:lineRule="auto"/>
      </w:pPr>
      <w:r w:rsidRPr="00C0694F">
        <w:t xml:space="preserve">To examine how sampling effort and spatial autocorrelation jointly shape prediction error, we fit a log-linear model to each dataset separately (empirical: </w:t>
      </w:r>
      <w:r w:rsidR="00DD2960">
        <w:rPr>
          <w:lang w:val="el-GR"/>
        </w:rPr>
        <w:t>ε</w:t>
      </w:r>
      <w:r w:rsidRPr="00C0694F">
        <w:t xml:space="preserve">1; simulated: </w:t>
      </w:r>
      <w:r w:rsidR="00DD2960">
        <w:rPr>
          <w:lang w:val="el-GR"/>
        </w:rPr>
        <w:t>ε</w:t>
      </w:r>
      <w:r w:rsidRPr="00C0694F">
        <w:t>2), isolating each factor's contribution and enabling comparison across datasets.</w:t>
      </w:r>
    </w:p>
    <w:p w14:paraId="2D2149BF" w14:textId="77777777" w:rsidR="0022466F" w:rsidRPr="00F65D5F" w:rsidRDefault="0022466F" w:rsidP="001643E6">
      <w:pPr>
        <w:pStyle w:val="BodyText"/>
        <w:spacing w:line="480" w:lineRule="auto"/>
      </w:pPr>
    </w:p>
    <w:p w14:paraId="4B1FC85F" w14:textId="088A87AA" w:rsidR="007D39EF" w:rsidRPr="007D39EF" w:rsidRDefault="007D39EF" w:rsidP="001643E6">
      <w:pPr>
        <w:pStyle w:val="FirstParagraph"/>
        <w:spacing w:line="480" w:lineRule="auto"/>
      </w:pPr>
      <w:bookmarkStart w:id="9" w:name="OLE_LINK5"/>
      <w:r w:rsidRPr="007D39EF">
        <w:lastRenderedPageBreak/>
        <w:t>We modeled prediction error</w:t>
      </w:r>
      <w:r>
        <w:t xml:space="preserve"> (</w:t>
      </w:r>
      <w:r w:rsidRPr="007D39EF">
        <w:rPr>
          <w:i/>
          <w:iCs/>
          <w:lang w:val="el-GR"/>
        </w:rPr>
        <w:t>ε</w:t>
      </w:r>
      <w:r>
        <w:t>)</w:t>
      </w:r>
      <w:r w:rsidRPr="007D39EF">
        <w:t xml:space="preserve"> as a function of sampling density</w:t>
      </w:r>
      <w:r>
        <w:t xml:space="preserve"> (</w:t>
      </w:r>
      <w:r w:rsidR="007824A2">
        <w:rPr>
          <w:i/>
          <w:iCs/>
        </w:rPr>
        <w:t>E</w:t>
      </w:r>
      <w:r>
        <w:t>)</w:t>
      </w:r>
      <w:r w:rsidRPr="007D39EF">
        <w:t xml:space="preserve"> and spatial autocorrelation</w:t>
      </w:r>
      <w:r w:rsidR="00014D18">
        <w:t xml:space="preserve"> </w:t>
      </w:r>
      <w:r>
        <w:t>(</w:t>
      </w:r>
      <w:r w:rsidRPr="007D39EF">
        <w:rPr>
          <w:i/>
          <w:iCs/>
          <w:lang w:val="el-GR"/>
        </w:rPr>
        <w:t>ρ</w:t>
      </w:r>
      <w:r>
        <w:t>)</w:t>
      </w:r>
      <w:r w:rsidRPr="007D39EF">
        <w:t>, including their interaction</w:t>
      </w:r>
      <w:r w:rsidR="000E3B51">
        <w:t xml:space="preserve"> </w:t>
      </w:r>
      <w:r w:rsidR="00E364A6">
        <w:t>using a linear model (</w:t>
      </w:r>
      <w:proofErr w:type="spellStart"/>
      <w:r w:rsidR="00E364A6" w:rsidRPr="00E364A6">
        <w:rPr>
          <w:i/>
          <w:iCs/>
        </w:rPr>
        <w:t>lm</w:t>
      </w:r>
      <w:proofErr w:type="spellEnd"/>
      <w:r w:rsidR="00E364A6" w:rsidRPr="00E364A6">
        <w:rPr>
          <w:i/>
          <w:iCs/>
        </w:rPr>
        <w:t xml:space="preserve"> </w:t>
      </w:r>
      <w:r w:rsidR="00E364A6" w:rsidRPr="00E364A6">
        <w:t>function</w:t>
      </w:r>
      <w:r w:rsidR="00E364A6">
        <w:t xml:space="preserve">) in R </w:t>
      </w:r>
      <w:r w:rsidR="000E3B51">
        <w:t>as follows:</w:t>
      </w:r>
    </w:p>
    <w:p w14:paraId="3D8098E3" w14:textId="2A74997C" w:rsidR="00124CBE" w:rsidRPr="00124CBE" w:rsidRDefault="00000000" w:rsidP="001643E6">
      <w:pPr>
        <w:pStyle w:val="BodyText"/>
        <w:spacing w:line="480" w:lineRule="auto"/>
        <w:rPr>
          <w:rFonts w:eastAsiaTheme="minorEastAsia"/>
          <w:lang w:val="el-GR"/>
        </w:rPr>
      </w:pPr>
      <m:oMathPara>
        <m:oMath>
          <m:eqArr>
            <m:eqArrPr>
              <m:maxDist m:val="1"/>
              <m:ctrlPr>
                <w:rPr>
                  <w:rFonts w:ascii="Cambria Math" w:hAnsi="Cambria Math"/>
                  <w:lang w:val="el-GR"/>
                </w:rPr>
              </m:ctrlPr>
            </m:eqArrPr>
            <m:e>
              <m:r>
                <w:rPr>
                  <w:rFonts w:ascii="Cambria Math" w:hAnsi="Cambria Math"/>
                </w:rPr>
                <m:t>log</m:t>
              </m:r>
              <m:d>
                <m:dPr>
                  <m:ctrlPr>
                    <w:rPr>
                      <w:rFonts w:ascii="Cambria Math" w:hAnsi="Cambria Math"/>
                    </w:rPr>
                  </m:ctrlPr>
                </m:dPr>
                <m:e>
                  <m:r>
                    <w:rPr>
                      <w:rFonts w:ascii="Cambria Math" w:hAnsi="Cambria Math"/>
                    </w:rPr>
                    <m:t>ε</m:t>
                  </m:r>
                </m:e>
              </m:d>
              <m:r>
                <m:rPr>
                  <m:sty m:val="p"/>
                </m:rPr>
                <w:rPr>
                  <w:rFonts w:ascii="Cambria Math" w:hAnsi="Cambria Math"/>
                </w:rPr>
                <m:t>=</m:t>
              </m:r>
              <m:r>
                <w:rPr>
                  <w:rFonts w:ascii="Cambria Math" w:hAnsi="Cambria Math"/>
                  <w:lang w:val="el-GR"/>
                </w:rPr>
                <m:t>ω</m:t>
              </m:r>
              <m:r>
                <m:rPr>
                  <m:sty m:val="p"/>
                </m:rPr>
                <w:rPr>
                  <w:rFonts w:ascii="Cambria Math" w:hAnsi="Cambria Math"/>
                  <w:lang w:val="el-GR"/>
                </w:rPr>
                <m:t>+</m:t>
              </m:r>
              <m:r>
                <w:rPr>
                  <w:rFonts w:ascii="Cambria Math" w:hAnsi="Cambria Math"/>
                  <w:lang w:val="el-GR"/>
                </w:rPr>
                <m:t>β</m:t>
              </m:r>
              <m:r>
                <m:rPr>
                  <m:sty m:val="p"/>
                </m:rPr>
                <w:rPr>
                  <w:rFonts w:ascii="Cambria Math" w:hAnsi="Cambria Math"/>
                  <w:lang w:val="el-GR"/>
                </w:rPr>
                <m:t xml:space="preserve"> </m:t>
              </m:r>
              <m:r>
                <w:rPr>
                  <w:rFonts w:ascii="Cambria Math" w:hAnsi="Cambria Math"/>
                </w:rPr>
                <m:t>log</m:t>
              </m:r>
              <m:d>
                <m:dPr>
                  <m:ctrlPr>
                    <w:rPr>
                      <w:rFonts w:ascii="Cambria Math" w:hAnsi="Cambria Math"/>
                    </w:rPr>
                  </m:ctrlPr>
                </m:dPr>
                <m:e>
                  <m:r>
                    <w:rPr>
                      <w:rFonts w:ascii="Cambria Math" w:hAnsi="Cambria Math"/>
                    </w:rPr>
                    <m:t>E</m:t>
                  </m:r>
                </m:e>
              </m:d>
              <m:r>
                <m:rPr>
                  <m:sty m:val="p"/>
                </m:rPr>
                <w:rPr>
                  <w:rFonts w:ascii="Cambria Math" w:hAnsi="Cambria Math"/>
                </w:rPr>
                <m:t>+</m:t>
              </m:r>
              <m:r>
                <w:rPr>
                  <w:rFonts w:ascii="Cambria Math" w:hAnsi="Cambria Math"/>
                </w:rPr>
                <m:t>θ</m:t>
              </m:r>
              <m:r>
                <m:rPr>
                  <m:sty m:val="p"/>
                </m:rPr>
                <w:rPr>
                  <w:rFonts w:ascii="Cambria Math" w:hAnsi="Cambria Math"/>
                </w:rPr>
                <m:t xml:space="preserve"> </m:t>
              </m:r>
              <m:r>
                <w:rPr>
                  <w:rFonts w:ascii="Cambria Math" w:hAnsi="Cambria Math"/>
                </w:rPr>
                <m:t>log</m:t>
              </m:r>
              <m:d>
                <m:dPr>
                  <m:ctrlPr>
                    <w:rPr>
                      <w:rFonts w:ascii="Cambria Math" w:hAnsi="Cambria Math"/>
                    </w:rPr>
                  </m:ctrlPr>
                </m:dPr>
                <m:e>
                  <m:r>
                    <w:rPr>
                      <w:rFonts w:ascii="Cambria Math" w:hAnsi="Cambria Math"/>
                      <w:lang w:val="el-GR"/>
                    </w:rPr>
                    <m:t>ρ</m:t>
                  </m:r>
                </m:e>
              </m:d>
              <m:r>
                <m:rPr>
                  <m:sty m:val="p"/>
                </m:rPr>
                <w:rPr>
                  <w:rFonts w:ascii="Cambria Math" w:hAnsi="Cambria Math"/>
                </w:rPr>
                <m:t>+</m:t>
              </m:r>
              <m:r>
                <w:rPr>
                  <w:rFonts w:ascii="Cambria Math" w:hAnsi="Cambria Math"/>
                  <w:lang w:val="el-GR"/>
                </w:rPr>
                <m:t>γ</m:t>
              </m:r>
              <m:r>
                <m:rPr>
                  <m:sty m:val="p"/>
                </m:rPr>
                <w:rPr>
                  <w:rFonts w:ascii="Cambria Math" w:hAnsi="Cambria Math"/>
                  <w:lang w:val="el-GR"/>
                </w:rPr>
                <m:t xml:space="preserve"> </m:t>
              </m:r>
              <m:r>
                <w:rPr>
                  <w:rFonts w:ascii="Cambria Math" w:hAnsi="Cambria Math"/>
                </w:rPr>
                <m:t>log</m:t>
              </m:r>
              <m:d>
                <m:dPr>
                  <m:ctrlPr>
                    <w:rPr>
                      <w:rFonts w:ascii="Cambria Math" w:hAnsi="Cambria Math"/>
                    </w:rPr>
                  </m:ctrlPr>
                </m:dPr>
                <m:e>
                  <m:r>
                    <w:rPr>
                      <w:rFonts w:ascii="Cambria Math" w:hAnsi="Cambria Math"/>
                    </w:rPr>
                    <m:t>E</m:t>
                  </m:r>
                </m:e>
              </m:d>
              <m:r>
                <w:rPr>
                  <w:rFonts w:ascii="Cambria Math" w:hAnsi="Cambria Math"/>
                </w:rPr>
                <m:t>log</m:t>
              </m:r>
              <m:d>
                <m:dPr>
                  <m:ctrlPr>
                    <w:rPr>
                      <w:rFonts w:ascii="Cambria Math" w:hAnsi="Cambria Math"/>
                    </w:rPr>
                  </m:ctrlPr>
                </m:dPr>
                <m:e>
                  <m:r>
                    <w:rPr>
                      <w:rFonts w:ascii="Cambria Math" w:hAnsi="Cambria Math"/>
                      <w:lang w:val="el-GR"/>
                    </w:rPr>
                    <m:t>ρ</m:t>
                  </m:r>
                </m:e>
              </m:d>
              <m:r>
                <m:rPr>
                  <m:sty m:val="p"/>
                </m:rPr>
                <w:rPr>
                  <w:rFonts w:ascii="Cambria Math" w:hAnsi="Cambria Math"/>
                </w:rPr>
                <m:t>#</m:t>
              </m:r>
              <m:r>
                <m:rPr>
                  <m:sty m:val="p"/>
                </m:rPr>
                <w:rPr>
                  <w:rFonts w:ascii="Cambria Math" w:hAnsi="Cambria Math"/>
                  <w:lang w:val="el-GR"/>
                </w:rPr>
                <m:t>6</m:t>
              </m:r>
            </m:e>
          </m:eqArr>
        </m:oMath>
      </m:oMathPara>
    </w:p>
    <w:p w14:paraId="5B3FA865" w14:textId="2DC95E08" w:rsidR="00082BC7" w:rsidRDefault="000E3B51" w:rsidP="001643E6">
      <w:pPr>
        <w:pStyle w:val="BodyText"/>
        <w:spacing w:line="480" w:lineRule="auto"/>
      </w:pPr>
      <w:r>
        <w:t>w</w:t>
      </w:r>
      <w:r w:rsidR="00B144DA">
        <w:t xml:space="preserve">here </w:t>
      </w:r>
      <w:r w:rsidR="00DE510E">
        <w:rPr>
          <w:i/>
          <w:iCs/>
          <w:lang w:val="el-GR"/>
        </w:rPr>
        <w:t>ω</w:t>
      </w:r>
      <w:r w:rsidR="00B144DA">
        <w:t xml:space="preserve"> is the intercept,</w:t>
      </w:r>
      <w:r w:rsidR="00A27262">
        <w:t xml:space="preserve"> </w:t>
      </w:r>
      <w:r w:rsidR="00A27262" w:rsidRPr="00A27262">
        <w:rPr>
          <w:i/>
          <w:iCs/>
          <w:lang w:val="el-GR"/>
        </w:rPr>
        <w:t>β</w:t>
      </w:r>
      <w:r w:rsidR="00A27262" w:rsidRPr="00A27262">
        <w:t xml:space="preserve"> </w:t>
      </w:r>
      <w:r w:rsidR="00A27262">
        <w:t>slope</w:t>
      </w:r>
      <w:r w:rsidR="00A27262" w:rsidRPr="00A27262">
        <w:t xml:space="preserve"> </w:t>
      </w:r>
      <w:r w:rsidR="00A27262">
        <w:t>of</w:t>
      </w:r>
      <w:r w:rsidR="00A27262" w:rsidRPr="00A27262">
        <w:t xml:space="preserve"> </w:t>
      </w:r>
      <w:r w:rsidR="00A27262">
        <w:t>sampling density (</w:t>
      </w:r>
      <w:r w:rsidR="004A7175">
        <w:rPr>
          <w:i/>
          <w:iCs/>
        </w:rPr>
        <w:t>E</w:t>
      </w:r>
      <w:r w:rsidR="00A27262">
        <w:t xml:space="preserve">), </w:t>
      </w:r>
      <w:r w:rsidR="00A27262" w:rsidRPr="001062D5">
        <w:rPr>
          <w:i/>
          <w:iCs/>
          <w:lang w:val="el-GR"/>
        </w:rPr>
        <w:t>θ</w:t>
      </w:r>
      <w:r w:rsidR="00A27262">
        <w:t xml:space="preserve"> is the slope of </w:t>
      </w:r>
      <w:r w:rsidR="001062D5">
        <w:t>spatial autocorrelation (</w:t>
      </w:r>
      <w:r w:rsidR="001062D5" w:rsidRPr="001062D5">
        <w:rPr>
          <w:i/>
          <w:iCs/>
          <w:lang w:val="el-GR"/>
        </w:rPr>
        <w:t>ρ</w:t>
      </w:r>
      <w:r w:rsidR="001062D5">
        <w:t xml:space="preserve">) and </w:t>
      </w:r>
      <w:r w:rsidR="001062D5" w:rsidRPr="001062D5">
        <w:rPr>
          <w:i/>
          <w:iCs/>
          <w:lang w:val="el-GR"/>
        </w:rPr>
        <w:t>γ</w:t>
      </w:r>
      <w:r w:rsidR="001062D5">
        <w:t xml:space="preserve"> is the coefficient on the interaction between the </w:t>
      </w:r>
      <w:r w:rsidR="00DC4890">
        <w:t xml:space="preserve">two </w:t>
      </w:r>
      <w:r w:rsidR="001062D5">
        <w:t xml:space="preserve">latter factors. </w:t>
      </w:r>
    </w:p>
    <w:bookmarkEnd w:id="9"/>
    <w:p w14:paraId="3B127CBD" w14:textId="77777777" w:rsidR="00966400" w:rsidRDefault="00966400" w:rsidP="001643E6">
      <w:pPr>
        <w:pStyle w:val="BodyText"/>
        <w:spacing w:line="480" w:lineRule="auto"/>
      </w:pPr>
    </w:p>
    <w:p w14:paraId="12B2A826" w14:textId="4C57DF21" w:rsidR="00DC0E33" w:rsidRPr="00450784" w:rsidRDefault="00095871" w:rsidP="001643E6">
      <w:pPr>
        <w:pStyle w:val="BodyText"/>
        <w:spacing w:line="480" w:lineRule="auto"/>
      </w:pPr>
      <w:r w:rsidRPr="00173E36">
        <w:rPr>
          <w:b/>
          <w:bCs w:val="0"/>
        </w:rPr>
        <w:t xml:space="preserve">Comparison of prediction </w:t>
      </w:r>
      <w:r w:rsidR="0065738A" w:rsidRPr="00173E36">
        <w:rPr>
          <w:b/>
          <w:bCs w:val="0"/>
        </w:rPr>
        <w:t>accuracy</w:t>
      </w:r>
      <w:r w:rsidRPr="00173E36">
        <w:rPr>
          <w:b/>
          <w:bCs w:val="0"/>
        </w:rPr>
        <w:t xml:space="preserve"> between</w:t>
      </w:r>
      <w:r w:rsidR="003329B8" w:rsidRPr="00173E36">
        <w:rPr>
          <w:b/>
          <w:bCs w:val="0"/>
        </w:rPr>
        <w:t xml:space="preserve"> empirical</w:t>
      </w:r>
      <w:r w:rsidR="0065738A" w:rsidRPr="00173E36">
        <w:rPr>
          <w:b/>
          <w:bCs w:val="0"/>
        </w:rPr>
        <w:t xml:space="preserve"> </w:t>
      </w:r>
      <w:r w:rsidRPr="00173E36">
        <w:rPr>
          <w:b/>
          <w:bCs w:val="0"/>
        </w:rPr>
        <w:t xml:space="preserve">and </w:t>
      </w:r>
      <w:r w:rsidR="003329B8" w:rsidRPr="00173E36">
        <w:rPr>
          <w:b/>
          <w:bCs w:val="0"/>
        </w:rPr>
        <w:t>simulations</w:t>
      </w:r>
    </w:p>
    <w:p w14:paraId="7CFF2A39" w14:textId="1492AFF6" w:rsidR="00AD3A27" w:rsidRDefault="00DB2CB7" w:rsidP="001643E6">
      <w:pPr>
        <w:pStyle w:val="BodyText"/>
        <w:spacing w:line="480" w:lineRule="auto"/>
      </w:pPr>
      <w:r>
        <w:t xml:space="preserve">Due to the gap in sampling effort between field data and simulation datasets, </w:t>
      </w:r>
      <w:r w:rsidR="00A309E9" w:rsidRPr="00A309E9">
        <w:t>prediction accuracy was benchmarked</w:t>
      </w:r>
      <w:r w:rsidR="00A309E9">
        <w:t xml:space="preserve"> at different sampling effort</w:t>
      </w:r>
      <w:r>
        <w:t>. The empirical benchmark (</w:t>
      </w:r>
      <w:r w:rsidR="002A2798" w:rsidRPr="00CA09FB">
        <w:rPr>
          <w:i/>
          <w:iCs/>
        </w:rPr>
        <w:t>ε₁</w:t>
      </w:r>
      <w:r>
        <w:t xml:space="preserve">) was determined by the </w:t>
      </w:r>
      <w:r w:rsidR="00AD3A27">
        <w:t>sampling</w:t>
      </w:r>
      <w:r>
        <w:t xml:space="preserve"> effort of </w:t>
      </w:r>
      <w:r w:rsidR="008A2651" w:rsidRPr="00616925">
        <w:rPr>
          <w:i/>
          <w:iCs/>
        </w:rPr>
        <w:t>N</w:t>
      </w:r>
      <w:r w:rsidR="008A2651">
        <w:rPr>
          <w:i/>
          <w:iCs/>
        </w:rPr>
        <w:t xml:space="preserve"> </w:t>
      </w:r>
      <w:r w:rsidR="008A2651" w:rsidRPr="00F12156">
        <w:t>=</w:t>
      </w:r>
      <w:r w:rsidR="008A2651">
        <w:t xml:space="preserve"> </w:t>
      </w:r>
      <w:r w:rsidR="008A2651" w:rsidRPr="00F12156">
        <w:t>358</w:t>
      </w:r>
      <w:r>
        <w:t>, while the simulation accuracy (</w:t>
      </w:r>
      <w:r w:rsidR="002A2798" w:rsidRPr="00CA09FB">
        <w:rPr>
          <w:i/>
          <w:iCs/>
        </w:rPr>
        <w:t>ε</w:t>
      </w:r>
      <w:r w:rsidR="002A2798" w:rsidRPr="00CA09FB">
        <w:rPr>
          <w:i/>
          <w:iCs/>
          <w:vertAlign w:val="subscript"/>
        </w:rPr>
        <w:t>2</w:t>
      </w:r>
      <w:r>
        <w:t xml:space="preserve">) was benchmarked against </w:t>
      </w:r>
      <w:r w:rsidR="00AD3A27" w:rsidRPr="00966400">
        <w:t>a much larger set</w:t>
      </w:r>
      <w:r w:rsidR="00AD3A27">
        <w:t xml:space="preserve"> of sampling effort </w:t>
      </w:r>
      <w:r w:rsidRPr="008A2651">
        <w:rPr>
          <w:i/>
          <w:iCs/>
        </w:rPr>
        <w:t>N</w:t>
      </w:r>
      <w:r w:rsidR="008A2651">
        <w:t xml:space="preserve"> </w:t>
      </w:r>
      <w:r>
        <w:t>=</w:t>
      </w:r>
      <w:r w:rsidR="008A2651">
        <w:t xml:space="preserve"> </w:t>
      </w:r>
      <w:r>
        <w:t>4,000 samples</w:t>
      </w:r>
      <w:r w:rsidR="0022466F">
        <w:t xml:space="preserve"> (Figure 2)</w:t>
      </w:r>
      <w:r>
        <w:t xml:space="preserve">. </w:t>
      </w:r>
    </w:p>
    <w:p w14:paraId="465C749A" w14:textId="77777777" w:rsidR="008A2651" w:rsidRDefault="008A2651" w:rsidP="001643E6">
      <w:pPr>
        <w:pStyle w:val="BodyText"/>
        <w:spacing w:line="480" w:lineRule="auto"/>
      </w:pPr>
      <w:bookmarkStart w:id="10" w:name="OLE_LINK7"/>
    </w:p>
    <w:p w14:paraId="566D1DFE" w14:textId="2699025D" w:rsidR="003A0DF7" w:rsidRDefault="007D272A" w:rsidP="001643E6">
      <w:pPr>
        <w:pStyle w:val="BodyText"/>
        <w:spacing w:line="480" w:lineRule="auto"/>
      </w:pPr>
      <w:r>
        <w:t>T</w:t>
      </w:r>
      <w:r w:rsidRPr="00E935DB">
        <w:t xml:space="preserve">o </w:t>
      </w:r>
      <w:r w:rsidR="00E935DB" w:rsidRPr="00E935DB">
        <w:t xml:space="preserve">enable a </w:t>
      </w:r>
      <w:r w:rsidR="00AE5C45" w:rsidRPr="00AE5C45">
        <w:t xml:space="preserve">like-for-like </w:t>
      </w:r>
      <w:r w:rsidR="00E935DB" w:rsidRPr="00E935DB">
        <w:t xml:space="preserve">comparison between </w:t>
      </w:r>
      <w:r w:rsidR="00721766" w:rsidRPr="00471569">
        <w:t>simulated and empirical results</w:t>
      </w:r>
      <w:r w:rsidR="00E935DB" w:rsidRPr="00E935DB">
        <w:t xml:space="preserve">, we </w:t>
      </w:r>
      <w:r w:rsidR="00907638" w:rsidRPr="00471569">
        <w:t xml:space="preserve">performed </w:t>
      </w:r>
      <w:r w:rsidR="00E935DB" w:rsidRPr="00E935DB">
        <w:t xml:space="preserve">a secondary thinning analysis </w:t>
      </w:r>
      <w:r w:rsidR="00700CCC">
        <w:t>and prediction accuracy estimation (</w:t>
      </w:r>
      <w:r w:rsidR="00700CCC" w:rsidRPr="004D1659">
        <w:rPr>
          <w:i/>
          <w:iCs/>
          <w:lang w:val="el-GR"/>
        </w:rPr>
        <w:t>ε</w:t>
      </w:r>
      <w:r w:rsidR="00700CCC" w:rsidRPr="004D1659">
        <w:rPr>
          <w:i/>
          <w:iCs/>
          <w:vertAlign w:val="subscript"/>
        </w:rPr>
        <w:t>3</w:t>
      </w:r>
      <w:r w:rsidR="00700CCC">
        <w:t xml:space="preserve">) </w:t>
      </w:r>
      <w:r w:rsidR="00E935DB" w:rsidRPr="00E935DB">
        <w:t xml:space="preserve">in which the </w:t>
      </w:r>
      <w:r w:rsidR="00CF2FA6">
        <w:t>benchmark</w:t>
      </w:r>
      <w:r w:rsidR="00E935DB" w:rsidRPr="00E935DB">
        <w:t xml:space="preserve"> </w:t>
      </w:r>
      <w:r w:rsidR="00050DA2" w:rsidRPr="00471569">
        <w:t xml:space="preserve">was redefined to match empirical </w:t>
      </w:r>
      <w:r w:rsidR="00050DA2">
        <w:t>s</w:t>
      </w:r>
      <w:r w:rsidR="00E935DB" w:rsidRPr="00E935DB">
        <w:t>ampling effort (</w:t>
      </w:r>
      <w:r w:rsidR="00E935DB" w:rsidRPr="007D5E5E">
        <w:rPr>
          <w:i/>
          <w:iCs/>
        </w:rPr>
        <w:t>N</w:t>
      </w:r>
      <w:r w:rsidR="00E935DB" w:rsidRPr="00E935DB">
        <w:t xml:space="preserve"> = 358</w:t>
      </w:r>
      <w:r w:rsidR="00AE01EE">
        <w:t xml:space="preserve">; </w:t>
      </w:r>
      <w:r w:rsidR="00AE01EE">
        <w:rPr>
          <w:rStyle w:val="s2"/>
        </w:rPr>
        <w:t>Figure 2A</w:t>
      </w:r>
      <w:r w:rsidR="00E935DB" w:rsidRPr="00E935DB">
        <w:t>)</w:t>
      </w:r>
      <w:r w:rsidR="009A2297">
        <w:t>.</w:t>
      </w:r>
      <w:bookmarkEnd w:id="10"/>
      <w:r w:rsidR="00017D18">
        <w:t xml:space="preserve"> </w:t>
      </w:r>
      <w:r>
        <w:t>Taking the N=358 subsample as the reference observation set and its prediction on Q as the baseline (Z), we compared</w:t>
      </w:r>
      <w:r>
        <w:t xml:space="preserve"> </w:t>
      </w:r>
      <w:r w:rsidR="00F12156" w:rsidRPr="00F12156">
        <w:t xml:space="preserve">the </w:t>
      </w:r>
      <w:r w:rsidR="00EA2262" w:rsidRPr="00F12156">
        <w:t>prediction</w:t>
      </w:r>
      <w:r w:rsidR="00EA2262">
        <w:t>s</w:t>
      </w:r>
      <w:r w:rsidR="00EA2262" w:rsidRPr="008C75A1">
        <w:t xml:space="preserve"> </w:t>
      </w:r>
      <w:r w:rsidR="00EA2262">
        <w:t>(</w:t>
      </w:r>
      <w:r w:rsidR="00EA2262">
        <w:rPr>
          <w:i/>
          <w:iCs/>
        </w:rPr>
        <w:t>S</w:t>
      </w:r>
      <w:r w:rsidR="007D5E5E">
        <w:rPr>
          <w:i/>
          <w:iCs/>
          <w:vertAlign w:val="subscript"/>
        </w:rPr>
        <w:t>E</w:t>
      </w:r>
      <w:r w:rsidR="00EA2262">
        <w:t xml:space="preserve">) of the </w:t>
      </w:r>
      <w:r w:rsidR="00B44F60">
        <w:t>sampling-effort datasets (</w:t>
      </w:r>
      <w:r w:rsidR="00DC0EDA">
        <w:rPr>
          <w:i/>
          <w:iCs/>
        </w:rPr>
        <w:t>Y</w:t>
      </w:r>
      <w:r w:rsidR="00DC0EDA">
        <w:rPr>
          <w:i/>
          <w:iCs/>
          <w:vertAlign w:val="subscript"/>
        </w:rPr>
        <w:t>E</w:t>
      </w:r>
      <w:r w:rsidR="00B44F60">
        <w:t xml:space="preserve">; </w:t>
      </w:r>
      <w:r w:rsidR="00E307F4">
        <w:rPr>
          <w:i/>
          <w:iCs/>
        </w:rPr>
        <w:t>E</w:t>
      </w:r>
      <w:r w:rsidR="00F12156" w:rsidRPr="00F12156">
        <w:t xml:space="preserve"> = 3</w:t>
      </w:r>
      <w:r w:rsidR="00FE24FB">
        <w:t>30</w:t>
      </w:r>
      <w:r w:rsidR="00F12156" w:rsidRPr="00F12156">
        <w:t>, 3</w:t>
      </w:r>
      <w:r w:rsidR="00FE24FB">
        <w:t>00</w:t>
      </w:r>
      <w:r w:rsidR="00F12156" w:rsidRPr="00F12156">
        <w:t>, 26</w:t>
      </w:r>
      <w:r w:rsidR="00FE24FB">
        <w:t>0</w:t>
      </w:r>
      <w:r w:rsidR="00F12156" w:rsidRPr="00F12156">
        <w:t>, 22</w:t>
      </w:r>
      <w:r w:rsidR="00FE24FB">
        <w:t>0</w:t>
      </w:r>
      <w:r w:rsidR="00F12156" w:rsidRPr="00F12156">
        <w:t>, and 15</w:t>
      </w:r>
      <w:r w:rsidR="00FE24FB">
        <w:t>0</w:t>
      </w:r>
      <w:r w:rsidR="00F12156" w:rsidRPr="00F12156">
        <w:t xml:space="preserve">) to both the simulated and empirical datasets, refit the GP model at each effort, and computed effort-specific </w:t>
      </w:r>
      <w:r w:rsidR="00EA2262">
        <w:t>(</w:t>
      </w:r>
      <w:r w:rsidR="00EA2262" w:rsidRPr="00EA2262">
        <w:rPr>
          <w:i/>
          <w:iCs/>
          <w:lang w:val="el-GR"/>
        </w:rPr>
        <w:t>ε</w:t>
      </w:r>
      <w:r w:rsidR="00AF1F02">
        <w:rPr>
          <w:i/>
          <w:iCs/>
          <w:vertAlign w:val="subscript"/>
        </w:rPr>
        <w:t>3</w:t>
      </w:r>
      <w:r w:rsidR="00EA2262">
        <w:t xml:space="preserve">) </w:t>
      </w:r>
      <w:r w:rsidR="00F12156" w:rsidRPr="00F12156">
        <w:t xml:space="preserve">prediction errors by comparing each </w:t>
      </w:r>
      <w:r w:rsidR="00F12156" w:rsidRPr="00CD4185">
        <w:rPr>
          <w:i/>
          <w:iCs/>
        </w:rPr>
        <w:t>S</w:t>
      </w:r>
      <w:r w:rsidR="00FE24FB">
        <w:rPr>
          <w:i/>
          <w:iCs/>
          <w:vertAlign w:val="subscript"/>
        </w:rPr>
        <w:t>E</w:t>
      </w:r>
      <w:r w:rsidR="00F12156" w:rsidRPr="00F12156">
        <w:t xml:space="preserve"> to the matched reference field </w:t>
      </w:r>
      <w:r w:rsidR="00514687">
        <w:rPr>
          <w:i/>
          <w:iCs/>
        </w:rPr>
        <w:t xml:space="preserve">Z </w:t>
      </w:r>
      <w:r w:rsidR="00514687" w:rsidRPr="00514687">
        <w:t>(derived from</w:t>
      </w:r>
      <w:r w:rsidR="00514687">
        <w:rPr>
          <w:i/>
          <w:iCs/>
        </w:rPr>
        <w:t xml:space="preserve"> S</w:t>
      </w:r>
      <w:r w:rsidR="00514687">
        <w:rPr>
          <w:i/>
          <w:iCs/>
          <w:vertAlign w:val="subscript"/>
        </w:rPr>
        <w:t>E</w:t>
      </w:r>
      <w:r w:rsidR="00514687" w:rsidRPr="001F6996">
        <w:rPr>
          <w:i/>
          <w:iCs/>
          <w:vertAlign w:val="subscript"/>
        </w:rPr>
        <w:t>=3</w:t>
      </w:r>
      <w:r w:rsidR="00514687">
        <w:rPr>
          <w:i/>
          <w:iCs/>
          <w:vertAlign w:val="subscript"/>
        </w:rPr>
        <w:t>58</w:t>
      </w:r>
      <w:r w:rsidR="004E1359">
        <w:rPr>
          <w:i/>
          <w:iCs/>
        </w:rPr>
        <w:t xml:space="preserve">; </w:t>
      </w:r>
      <w:r w:rsidR="004E1359">
        <w:rPr>
          <w:rStyle w:val="s2"/>
        </w:rPr>
        <w:t>Figure 2A</w:t>
      </w:r>
      <w:r w:rsidR="00514687" w:rsidRPr="00514687">
        <w:t>)</w:t>
      </w:r>
      <w:r w:rsidR="00F12156" w:rsidRPr="00F12156">
        <w:t xml:space="preserve">. </w:t>
      </w:r>
      <w:r w:rsidR="003A0DF7" w:rsidRPr="003A0DF7">
        <w:t xml:space="preserve">Furthermore, we </w:t>
      </w:r>
      <w:r w:rsidR="00CA5963">
        <w:t>fitted</w:t>
      </w:r>
      <w:r w:rsidR="003A0DF7" w:rsidRPr="003A0DF7">
        <w:t xml:space="preserve"> the</w:t>
      </w:r>
      <w:r w:rsidR="00AF1F02">
        <w:t xml:space="preserve"> prediction accuracy (</w:t>
      </w:r>
      <w:r w:rsidR="00AF1F02">
        <w:rPr>
          <w:lang w:val="el-GR"/>
        </w:rPr>
        <w:t>ε</w:t>
      </w:r>
      <w:r w:rsidR="00AF1F02" w:rsidRPr="00E621EE">
        <w:rPr>
          <w:vertAlign w:val="subscript"/>
        </w:rPr>
        <w:t>3</w:t>
      </w:r>
      <w:r w:rsidR="00AF1F02">
        <w:t>)</w:t>
      </w:r>
      <w:r w:rsidR="003A0DF7" w:rsidRPr="003A0DF7">
        <w:t xml:space="preserve"> </w:t>
      </w:r>
      <w:r w:rsidR="00AF1F02">
        <w:t xml:space="preserve">as a </w:t>
      </w:r>
      <w:r w:rsidR="009764AE">
        <w:t xml:space="preserve">function of </w:t>
      </w:r>
      <w:r w:rsidR="009764AE" w:rsidRPr="00904831">
        <w:t xml:space="preserve">sampling </w:t>
      </w:r>
      <w:r w:rsidR="009764AE">
        <w:t>effort</w:t>
      </w:r>
      <w:r w:rsidR="009764AE" w:rsidRPr="00904831">
        <w:t xml:space="preserve"> </w:t>
      </w:r>
      <w:r w:rsidR="002170DA">
        <w:t>(</w:t>
      </w:r>
      <w:r w:rsidR="002170DA" w:rsidRPr="002170DA">
        <w:rPr>
          <w:i/>
          <w:iCs/>
        </w:rPr>
        <w:t>E</w:t>
      </w:r>
      <w:r w:rsidR="002170DA">
        <w:t xml:space="preserve">) </w:t>
      </w:r>
      <w:r w:rsidR="009764AE" w:rsidRPr="00904831">
        <w:t>and spatial autocorrelation</w:t>
      </w:r>
      <w:r w:rsidR="002170DA">
        <w:t xml:space="preserve"> (</w:t>
      </w:r>
      <w:r w:rsidR="002170DA" w:rsidRPr="002170DA">
        <w:rPr>
          <w:i/>
          <w:iCs/>
          <w:lang w:val="el-GR"/>
        </w:rPr>
        <w:t>ρ</w:t>
      </w:r>
      <w:r w:rsidR="002170DA">
        <w:t xml:space="preserve">) </w:t>
      </w:r>
      <w:r w:rsidR="009764AE">
        <w:t xml:space="preserve">using </w:t>
      </w:r>
      <w:r w:rsidR="003A0DF7" w:rsidRPr="003A0DF7">
        <w:t>Eq. 6</w:t>
      </w:r>
      <w:r w:rsidR="009764AE">
        <w:t xml:space="preserve"> (similarly</w:t>
      </w:r>
      <w:r w:rsidR="003A0DF7" w:rsidRPr="003A0DF7">
        <w:t xml:space="preserve"> to </w:t>
      </w:r>
      <w:r w:rsidR="009764AE">
        <w:t xml:space="preserve">empirical data). </w:t>
      </w:r>
      <w:r w:rsidR="0063455A" w:rsidRPr="0063455A">
        <w:t xml:space="preserve">We then compared the estimated model coefficients </w:t>
      </w:r>
      <w:r w:rsidR="00A43BA2">
        <w:t xml:space="preserve">of prediction accuracy </w:t>
      </w:r>
      <w:r w:rsidR="0063455A" w:rsidRPr="0063455A">
        <w:t xml:space="preserve">between the </w:t>
      </w:r>
      <w:r w:rsidR="00A43BA2">
        <w:t>simulated</w:t>
      </w:r>
      <w:r w:rsidR="0063455A" w:rsidRPr="0063455A">
        <w:t xml:space="preserve"> and </w:t>
      </w:r>
      <w:r w:rsidR="00A43BA2">
        <w:t>empirical</w:t>
      </w:r>
      <w:r w:rsidR="0063455A" w:rsidRPr="0063455A">
        <w:t xml:space="preserve"> to assess whether similar patterns were observed.</w:t>
      </w:r>
    </w:p>
    <w:p w14:paraId="715EC110" w14:textId="77777777" w:rsidR="00286ADA" w:rsidRDefault="00286ADA" w:rsidP="001643E6">
      <w:pPr>
        <w:pStyle w:val="BodyText"/>
        <w:spacing w:line="480" w:lineRule="auto"/>
      </w:pPr>
    </w:p>
    <w:p w14:paraId="539C881D" w14:textId="487261EE" w:rsidR="007C0AAD" w:rsidRDefault="00F869DE" w:rsidP="001643E6">
      <w:pPr>
        <w:pStyle w:val="BodyText"/>
        <w:spacing w:line="480" w:lineRule="auto"/>
      </w:pPr>
      <w:r>
        <w:t xml:space="preserve">All the GP models (equation 1 and 2) were fitted in a Bayesian framework using Stan probabilistic programming language </w:t>
      </w:r>
      <w:r w:rsidR="00937D72">
        <w:fldChar w:fldCharType="begin"/>
      </w:r>
      <w:r w:rsidR="00937D72">
        <w:instrText xml:space="preserve"> ADDIN ZOTERO_ITEM CSL_CITATION {"citationID":"QsKUy06C","properties":{"unsorted":false,"formattedCitation":"(Stan Development Team, 2023)","plainCitation":"(Stan Development Team, 2023)","noteIndex":0},"citationItems":[{"id":37,"uris":["http://zotero.org/users/9456007/items/QYNNBPDS"],"itemData":{"id":37,"type":"software","citation-key":"standevelopmentteam2023","title":"Stan Modeling Language Users Guide and Reference Manual","URL":"https://mc-stan.org/","version":"2.26.1","author":[{"literal":"Stan Development Team"}],"issued":{"date-parts":[["2023"]]}}}],"schema":"https://github.com/citation-style-language/schema/raw/master/csl-citation.json"} </w:instrText>
      </w:r>
      <w:r w:rsidR="00937D72">
        <w:fldChar w:fldCharType="separate"/>
      </w:r>
      <w:r w:rsidR="00937D72">
        <w:rPr>
          <w:noProof/>
        </w:rPr>
        <w:t>(Stan Development Team, 2023)</w:t>
      </w:r>
      <w:r w:rsidR="00937D72">
        <w:fldChar w:fldCharType="end"/>
      </w:r>
      <w:fldSimple w:instr=" PRINTDATE  \* MERGEFORMAT "/>
      <w:r>
        <w:t xml:space="preserve">. We used weakly informative priors (Table </w:t>
      </w:r>
      <w:hyperlink w:anchor="tab:gp_priors">
        <w:r>
          <w:rPr>
            <w:rStyle w:val="Hyperlink"/>
          </w:rPr>
          <w:t>1</w:t>
        </w:r>
      </w:hyperlink>
      <w:r>
        <w:t>) to allow the data to primarily inform the posterior distributions of the parameters.</w:t>
      </w:r>
      <w:r w:rsidR="007C0AAD">
        <w:t xml:space="preserve"> For each GP model in Stan, we ran four parallel chains with 2,000 iterations each, discarding the first 1,000 iterations as burn-in. Convergence was assessed using </w:t>
      </w:r>
      <m:oMath>
        <m:acc>
          <m:accPr>
            <m:ctrlPr>
              <w:rPr>
                <w:rFonts w:ascii="Cambria Math" w:hAnsi="Cambria Math"/>
              </w:rPr>
            </m:ctrlPr>
          </m:accPr>
          <m:e>
            <m:r>
              <w:rPr>
                <w:rFonts w:ascii="Cambria Math" w:hAnsi="Cambria Math"/>
              </w:rPr>
              <m:t>R</m:t>
            </m:r>
          </m:e>
        </m:acc>
      </m:oMath>
      <w:r w:rsidR="007C0AAD">
        <w:t xml:space="preserve"> values, where values below 1.</w:t>
      </w:r>
      <w:r w:rsidR="003C6767">
        <w:t>0</w:t>
      </w:r>
      <w:r w:rsidR="007C0AAD">
        <w:t>1 indicated satisfactory convergence and effective sample size (ESS) above 200.</w:t>
      </w:r>
      <w:r w:rsidR="00994043">
        <w:t xml:space="preserve"> </w:t>
      </w:r>
      <w:r w:rsidR="00994043" w:rsidRPr="00994043">
        <w:t xml:space="preserve">The model in Eq. 6 was fitted using </w:t>
      </w:r>
      <w:r w:rsidR="00D11C02">
        <w:t>linear models using</w:t>
      </w:r>
      <w:r w:rsidR="00994043" w:rsidRPr="00994043">
        <w:t xml:space="preserve"> </w:t>
      </w:r>
      <w:proofErr w:type="spellStart"/>
      <w:r w:rsidR="00994043" w:rsidRPr="00D11C02">
        <w:rPr>
          <w:i/>
          <w:iCs/>
        </w:rPr>
        <w:t>lm</w:t>
      </w:r>
      <w:proofErr w:type="spellEnd"/>
      <w:r w:rsidR="00994043" w:rsidRPr="00D11C02">
        <w:rPr>
          <w:i/>
          <w:iCs/>
        </w:rPr>
        <w:t>()</w:t>
      </w:r>
      <w:r>
        <w:t xml:space="preserve"> function in R (R Core Team, 2024</w:t>
      </w:r>
      <w:r w:rsidR="00CF6917">
        <w:t xml:space="preserve">; </w:t>
      </w:r>
      <w:r w:rsidR="00322184">
        <w:t xml:space="preserve">Appendix S1: </w:t>
      </w:r>
      <w:r w:rsidR="00C412FE">
        <w:t xml:space="preserve">Figure S5 for </w:t>
      </w:r>
      <w:r w:rsidR="00C02218" w:rsidRPr="0065718E">
        <w:t>model fit diagnostics</w:t>
      </w:r>
      <w:r w:rsidR="00C412FE">
        <w:t>)</w:t>
      </w:r>
      <w:r w:rsidR="00994043" w:rsidRPr="00994043">
        <w:t>.</w:t>
      </w:r>
    </w:p>
    <w:p w14:paraId="15C4B441" w14:textId="77777777" w:rsidR="00286ADA" w:rsidRDefault="00286ADA" w:rsidP="001643E6">
      <w:pPr>
        <w:pStyle w:val="BodyText"/>
        <w:spacing w:line="480" w:lineRule="auto"/>
      </w:pPr>
    </w:p>
    <w:p w14:paraId="5516F19A" w14:textId="3CDF4E0B" w:rsidR="0032076E" w:rsidRPr="00286ADA" w:rsidRDefault="00A116CB" w:rsidP="001643E6">
      <w:pPr>
        <w:pStyle w:val="TableCaption"/>
        <w:spacing w:after="0" w:line="480" w:lineRule="auto"/>
        <w:rPr>
          <w:rFonts w:ascii="Times New Roman" w:hAnsi="Times New Roman" w:cs="Times New Roman"/>
        </w:rPr>
      </w:pPr>
      <w:bookmarkStart w:id="11" w:name="tab:gp_priors"/>
      <w:r>
        <w:rPr>
          <w:rFonts w:ascii="Times New Roman" w:hAnsi="Times New Roman" w:cs="Times New Roman"/>
        </w:rPr>
        <w:t xml:space="preserve">Table 1. </w:t>
      </w:r>
      <w:r w:rsidR="00D04708" w:rsidRPr="00286ADA">
        <w:rPr>
          <w:rFonts w:ascii="Times New Roman" w:hAnsi="Times New Roman" w:cs="Times New Roman"/>
        </w:rPr>
        <w:t>Gaussian Process model parameters and their prior distributions used in Bayesian inference.</w:t>
      </w:r>
    </w:p>
    <w:tbl>
      <w:tblPr>
        <w:tblStyle w:val="Table"/>
        <w:tblW w:w="0" w:type="auto"/>
        <w:tblLook w:val="0020" w:firstRow="1" w:lastRow="0" w:firstColumn="0" w:lastColumn="0" w:noHBand="0" w:noVBand="0"/>
        <w:tblCaption w:val="Gaussian Process model parameters and their prior distributions used in Bayesian inference."/>
      </w:tblPr>
      <w:tblGrid>
        <w:gridCol w:w="1189"/>
        <w:gridCol w:w="972"/>
        <w:gridCol w:w="617"/>
        <w:gridCol w:w="656"/>
        <w:gridCol w:w="222"/>
      </w:tblGrid>
      <w:tr w:rsidR="0032076E" w14:paraId="5516F19F" w14:textId="77777777" w:rsidTr="0032076E">
        <w:trPr>
          <w:cnfStyle w:val="100000000000" w:firstRow="1" w:lastRow="0" w:firstColumn="0" w:lastColumn="0" w:oddVBand="0" w:evenVBand="0" w:oddHBand="0" w:evenHBand="0" w:firstRowFirstColumn="0" w:firstRowLastColumn="0" w:lastRowFirstColumn="0" w:lastRowLastColumn="0"/>
          <w:tblHeader/>
        </w:trPr>
        <w:tc>
          <w:tcPr>
            <w:tcW w:w="0" w:type="auto"/>
          </w:tcPr>
          <w:p w14:paraId="5516F19B" w14:textId="77777777" w:rsidR="0032076E" w:rsidRDefault="00D04708" w:rsidP="00CA4C01">
            <w:pPr>
              <w:pStyle w:val="Compact"/>
              <w:spacing w:line="240" w:lineRule="auto"/>
            </w:pPr>
            <w:r>
              <w:t>Parameter</w:t>
            </w:r>
          </w:p>
        </w:tc>
        <w:tc>
          <w:tcPr>
            <w:tcW w:w="0" w:type="auto"/>
          </w:tcPr>
          <w:p w14:paraId="5516F19C" w14:textId="77777777" w:rsidR="0032076E" w:rsidRDefault="00D04708" w:rsidP="00CA4C01">
            <w:pPr>
              <w:pStyle w:val="Compact"/>
              <w:spacing w:line="240" w:lineRule="auto"/>
            </w:pPr>
            <w:r>
              <w:t>Prior</w:t>
            </w:r>
          </w:p>
        </w:tc>
        <w:tc>
          <w:tcPr>
            <w:tcW w:w="0" w:type="auto"/>
            <w:gridSpan w:val="2"/>
          </w:tcPr>
          <w:p w14:paraId="5516F19D" w14:textId="77777777" w:rsidR="0032076E" w:rsidRDefault="00D04708" w:rsidP="00CA4C01">
            <w:pPr>
              <w:pStyle w:val="Compact"/>
              <w:spacing w:line="240" w:lineRule="auto"/>
            </w:pPr>
            <w:r>
              <w:t>Range</w:t>
            </w:r>
          </w:p>
        </w:tc>
        <w:tc>
          <w:tcPr>
            <w:tcW w:w="0" w:type="auto"/>
          </w:tcPr>
          <w:p w14:paraId="5516F19E" w14:textId="77777777" w:rsidR="0032076E" w:rsidRDefault="0032076E" w:rsidP="00CA4C01">
            <w:pPr>
              <w:pStyle w:val="Compact"/>
              <w:spacing w:line="240" w:lineRule="auto"/>
            </w:pPr>
          </w:p>
        </w:tc>
      </w:tr>
      <w:tr w:rsidR="0032076E" w14:paraId="5516F1A5" w14:textId="77777777">
        <w:tc>
          <w:tcPr>
            <w:tcW w:w="0" w:type="auto"/>
          </w:tcPr>
          <w:p w14:paraId="5516F1A0" w14:textId="2BE1F052" w:rsidR="0032076E" w:rsidRDefault="0032076E" w:rsidP="00CA4C01">
            <w:pPr>
              <w:pStyle w:val="Compact"/>
              <w:spacing w:line="240" w:lineRule="auto"/>
            </w:pPr>
          </w:p>
        </w:tc>
        <w:tc>
          <w:tcPr>
            <w:tcW w:w="0" w:type="auto"/>
          </w:tcPr>
          <w:p w14:paraId="5516F1A1" w14:textId="77777777" w:rsidR="0032076E" w:rsidRDefault="0032076E" w:rsidP="00CA4C01">
            <w:pPr>
              <w:pStyle w:val="Compact"/>
              <w:spacing w:line="240" w:lineRule="auto"/>
            </w:pPr>
          </w:p>
        </w:tc>
        <w:tc>
          <w:tcPr>
            <w:tcW w:w="0" w:type="auto"/>
          </w:tcPr>
          <w:p w14:paraId="5516F1A2" w14:textId="77777777" w:rsidR="0032076E" w:rsidRDefault="00D04708" w:rsidP="00CA4C01">
            <w:pPr>
              <w:pStyle w:val="Compact"/>
              <w:spacing w:line="240" w:lineRule="auto"/>
            </w:pPr>
            <w:r>
              <w:t>Min</w:t>
            </w:r>
          </w:p>
        </w:tc>
        <w:tc>
          <w:tcPr>
            <w:tcW w:w="0" w:type="auto"/>
          </w:tcPr>
          <w:p w14:paraId="5516F1A3" w14:textId="77777777" w:rsidR="0032076E" w:rsidRDefault="00D04708" w:rsidP="00CA4C01">
            <w:pPr>
              <w:pStyle w:val="Compact"/>
              <w:spacing w:line="240" w:lineRule="auto"/>
            </w:pPr>
            <w:r>
              <w:t>Max</w:t>
            </w:r>
          </w:p>
        </w:tc>
        <w:tc>
          <w:tcPr>
            <w:tcW w:w="0" w:type="auto"/>
          </w:tcPr>
          <w:p w14:paraId="5516F1A4" w14:textId="77777777" w:rsidR="0032076E" w:rsidRDefault="0032076E" w:rsidP="00CA4C01">
            <w:pPr>
              <w:pStyle w:val="Compact"/>
              <w:spacing w:line="240" w:lineRule="auto"/>
            </w:pPr>
          </w:p>
        </w:tc>
      </w:tr>
      <w:tr w:rsidR="0032076E" w14:paraId="5516F1AB" w14:textId="77777777">
        <w:tc>
          <w:tcPr>
            <w:tcW w:w="0" w:type="auto"/>
          </w:tcPr>
          <w:p w14:paraId="5516F1A6" w14:textId="5B6A0A2C" w:rsidR="0032076E" w:rsidRPr="00C65783" w:rsidRDefault="00C65783" w:rsidP="00CA4C01">
            <w:pPr>
              <w:pStyle w:val="Compact"/>
              <w:spacing w:line="240" w:lineRule="auto"/>
              <w:rPr>
                <w:vertAlign w:val="superscript"/>
              </w:rPr>
            </w:pPr>
            <w:r>
              <w:rPr>
                <w:lang w:val="el-GR"/>
              </w:rPr>
              <w:t>α</w:t>
            </w:r>
            <w:r>
              <w:rPr>
                <w:vertAlign w:val="superscript"/>
              </w:rPr>
              <w:t>2</w:t>
            </w:r>
          </w:p>
        </w:tc>
        <w:tc>
          <w:tcPr>
            <w:tcW w:w="0" w:type="auto"/>
          </w:tcPr>
          <w:p w14:paraId="5516F1A7" w14:textId="57388936" w:rsidR="0032076E" w:rsidRDefault="00D04708" w:rsidP="00CA4C01">
            <w:pPr>
              <w:pStyle w:val="Compact"/>
              <w:spacing w:line="240" w:lineRule="auto"/>
            </w:pPr>
            <m:oMathPara>
              <m:oMath>
                <m:r>
                  <m:rPr>
                    <m:scr m:val="script"/>
                    <m:sty m:val="p"/>
                  </m:rPr>
                  <w:rPr>
                    <w:rFonts w:ascii="Cambria Math" w:hAnsi="Cambria Math"/>
                  </w:rPr>
                  <m:t>N(</m:t>
                </m:r>
                <m:r>
                  <w:rPr>
                    <w:rFonts w:ascii="Cambria Math" w:hAnsi="Cambria Math"/>
                  </w:rPr>
                  <m:t>4</m:t>
                </m:r>
                <m:r>
                  <m:rPr>
                    <m:sty m:val="p"/>
                  </m:rPr>
                  <w:rPr>
                    <w:rFonts w:ascii="Cambria Math" w:hAnsi="Cambria Math"/>
                  </w:rPr>
                  <m:t>,</m:t>
                </m:r>
                <m:r>
                  <w:rPr>
                    <w:rFonts w:ascii="Cambria Math" w:hAnsi="Cambria Math"/>
                  </w:rPr>
                  <m:t>1</m:t>
                </m:r>
                <m:r>
                  <m:rPr>
                    <m:sty m:val="p"/>
                  </m:rPr>
                  <w:rPr>
                    <w:rFonts w:ascii="Cambria Math" w:hAnsi="Cambria Math"/>
                  </w:rPr>
                  <m:t>)</m:t>
                </m:r>
              </m:oMath>
            </m:oMathPara>
          </w:p>
        </w:tc>
        <w:tc>
          <w:tcPr>
            <w:tcW w:w="0" w:type="auto"/>
          </w:tcPr>
          <w:p w14:paraId="5516F1A8" w14:textId="77777777" w:rsidR="0032076E" w:rsidRDefault="00D04708" w:rsidP="00CA4C01">
            <w:pPr>
              <w:pStyle w:val="Compact"/>
              <w:spacing w:line="240" w:lineRule="auto"/>
            </w:pPr>
            <w:r>
              <w:t>0</w:t>
            </w:r>
          </w:p>
        </w:tc>
        <w:tc>
          <w:tcPr>
            <w:tcW w:w="0" w:type="auto"/>
          </w:tcPr>
          <w:p w14:paraId="5516F1A9" w14:textId="77777777" w:rsidR="0032076E" w:rsidRDefault="00D04708" w:rsidP="00CA4C01">
            <w:pPr>
              <w:pStyle w:val="Compact"/>
              <w:spacing w:line="240" w:lineRule="auto"/>
            </w:pPr>
            <w:r>
              <w:t>+</w:t>
            </w:r>
            <m:oMath>
              <m:r>
                <m:rPr>
                  <m:sty m:val="p"/>
                </m:rPr>
                <w:rPr>
                  <w:rFonts w:ascii="Cambria Math" w:hAnsi="Cambria Math"/>
                </w:rPr>
                <m:t>∞</m:t>
              </m:r>
            </m:oMath>
          </w:p>
        </w:tc>
        <w:tc>
          <w:tcPr>
            <w:tcW w:w="0" w:type="auto"/>
          </w:tcPr>
          <w:p w14:paraId="5516F1AA" w14:textId="77777777" w:rsidR="0032076E" w:rsidRDefault="0032076E" w:rsidP="00CA4C01">
            <w:pPr>
              <w:pStyle w:val="Compact"/>
              <w:spacing w:line="240" w:lineRule="auto"/>
            </w:pPr>
          </w:p>
        </w:tc>
      </w:tr>
      <w:tr w:rsidR="0032076E" w14:paraId="5516F1B1" w14:textId="77777777">
        <w:tc>
          <w:tcPr>
            <w:tcW w:w="0" w:type="auto"/>
          </w:tcPr>
          <w:p w14:paraId="5516F1AC" w14:textId="67C51E4B" w:rsidR="0032076E" w:rsidRPr="00107B96" w:rsidRDefault="00107B96" w:rsidP="00CA4C01">
            <w:pPr>
              <w:pStyle w:val="Compact"/>
              <w:spacing w:line="240" w:lineRule="auto"/>
            </w:pPr>
            <w:r>
              <w:rPr>
                <w:lang w:val="el-GR"/>
              </w:rPr>
              <w:t>μ</w:t>
            </w:r>
          </w:p>
        </w:tc>
        <w:tc>
          <w:tcPr>
            <w:tcW w:w="0" w:type="auto"/>
          </w:tcPr>
          <w:p w14:paraId="5516F1AD" w14:textId="5A6E5ED2" w:rsidR="0032076E" w:rsidRDefault="00D04708" w:rsidP="00CA4C01">
            <w:pPr>
              <w:pStyle w:val="Compact"/>
              <w:spacing w:line="240" w:lineRule="auto"/>
            </w:pPr>
            <m:oMathPara>
              <m:oMath>
                <m:r>
                  <m:rPr>
                    <m:scr m:val="script"/>
                    <m:sty m:val="p"/>
                  </m:rPr>
                  <w:rPr>
                    <w:rFonts w:ascii="Cambria Math" w:hAnsi="Cambria Math"/>
                  </w:rPr>
                  <m:t>N(</m:t>
                </m:r>
                <m:r>
                  <w:rPr>
                    <w:rFonts w:ascii="Cambria Math" w:hAnsi="Cambria Math"/>
                  </w:rPr>
                  <m:t>0</m:t>
                </m:r>
                <m:r>
                  <m:rPr>
                    <m:sty m:val="p"/>
                  </m:rPr>
                  <w:rPr>
                    <w:rFonts w:ascii="Cambria Math" w:hAnsi="Cambria Math"/>
                  </w:rPr>
                  <m:t>,</m:t>
                </m:r>
                <m:r>
                  <w:rPr>
                    <w:rFonts w:ascii="Cambria Math" w:hAnsi="Cambria Math"/>
                  </w:rPr>
                  <m:t>5</m:t>
                </m:r>
                <m:r>
                  <m:rPr>
                    <m:sty m:val="p"/>
                  </m:rPr>
                  <w:rPr>
                    <w:rFonts w:ascii="Cambria Math" w:hAnsi="Cambria Math"/>
                  </w:rPr>
                  <m:t>)</m:t>
                </m:r>
              </m:oMath>
            </m:oMathPara>
          </w:p>
        </w:tc>
        <w:tc>
          <w:tcPr>
            <w:tcW w:w="0" w:type="auto"/>
          </w:tcPr>
          <w:p w14:paraId="5516F1AE" w14:textId="77777777" w:rsidR="0032076E" w:rsidRDefault="00D04708" w:rsidP="00CA4C01">
            <w:pPr>
              <w:pStyle w:val="Compact"/>
              <w:spacing w:line="240" w:lineRule="auto"/>
            </w:pPr>
            <w:r>
              <w:t>-5</w:t>
            </w:r>
          </w:p>
        </w:tc>
        <w:tc>
          <w:tcPr>
            <w:tcW w:w="0" w:type="auto"/>
          </w:tcPr>
          <w:p w14:paraId="5516F1AF" w14:textId="77777777" w:rsidR="0032076E" w:rsidRDefault="00D04708" w:rsidP="00CA4C01">
            <w:pPr>
              <w:pStyle w:val="Compact"/>
              <w:spacing w:line="240" w:lineRule="auto"/>
            </w:pPr>
            <w:r>
              <w:t>+</w:t>
            </w:r>
            <m:oMath>
              <m:r>
                <m:rPr>
                  <m:sty m:val="p"/>
                </m:rPr>
                <w:rPr>
                  <w:rFonts w:ascii="Cambria Math" w:hAnsi="Cambria Math"/>
                </w:rPr>
                <m:t>∞</m:t>
              </m:r>
            </m:oMath>
          </w:p>
        </w:tc>
        <w:tc>
          <w:tcPr>
            <w:tcW w:w="0" w:type="auto"/>
          </w:tcPr>
          <w:p w14:paraId="5516F1B0" w14:textId="77777777" w:rsidR="0032076E" w:rsidRDefault="0032076E" w:rsidP="00CA4C01">
            <w:pPr>
              <w:pStyle w:val="Compact"/>
              <w:spacing w:line="240" w:lineRule="auto"/>
            </w:pPr>
          </w:p>
        </w:tc>
      </w:tr>
      <w:tr w:rsidR="0032076E" w14:paraId="5516F1B7" w14:textId="77777777">
        <w:tc>
          <w:tcPr>
            <w:tcW w:w="0" w:type="auto"/>
          </w:tcPr>
          <w:p w14:paraId="5516F1B2" w14:textId="10F46326" w:rsidR="0032076E" w:rsidRPr="002E0A3F" w:rsidRDefault="002E0A3F" w:rsidP="00CA4C01">
            <w:pPr>
              <w:pStyle w:val="Compact"/>
              <w:spacing w:line="240" w:lineRule="auto"/>
            </w:pPr>
            <w:r>
              <w:t>log(</w:t>
            </w:r>
            <w:r w:rsidRPr="002E0A3F">
              <w:rPr>
                <w:i/>
                <w:iCs/>
                <w:lang w:val="el-GR"/>
              </w:rPr>
              <w:t>ρ</w:t>
            </w:r>
            <w:r>
              <w:t>)</w:t>
            </w:r>
          </w:p>
        </w:tc>
        <w:tc>
          <w:tcPr>
            <w:tcW w:w="0" w:type="auto"/>
          </w:tcPr>
          <w:p w14:paraId="5516F1B3" w14:textId="3454FDD4" w:rsidR="0032076E" w:rsidRDefault="00D04708" w:rsidP="00CA4C01">
            <w:pPr>
              <w:pStyle w:val="Compact"/>
              <w:spacing w:line="240" w:lineRule="auto"/>
            </w:pPr>
            <m:oMathPara>
              <m:oMath>
                <m:r>
                  <m:rPr>
                    <m:scr m:val="script"/>
                    <m:sty m:val="p"/>
                  </m:rPr>
                  <w:rPr>
                    <w:rFonts w:ascii="Cambria Math" w:hAnsi="Cambria Math"/>
                  </w:rPr>
                  <m:t>N(</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m:oMathPara>
          </w:p>
        </w:tc>
        <w:tc>
          <w:tcPr>
            <w:tcW w:w="0" w:type="auto"/>
          </w:tcPr>
          <w:p w14:paraId="5516F1B4" w14:textId="77777777" w:rsidR="0032076E" w:rsidRDefault="00D04708" w:rsidP="00CA4C01">
            <w:pPr>
              <w:pStyle w:val="Compact"/>
              <w:spacing w:line="240" w:lineRule="auto"/>
            </w:pPr>
            <w:r>
              <w:t>-5</w:t>
            </w:r>
          </w:p>
        </w:tc>
        <w:tc>
          <w:tcPr>
            <w:tcW w:w="0" w:type="auto"/>
          </w:tcPr>
          <w:p w14:paraId="5516F1B5" w14:textId="77777777" w:rsidR="0032076E" w:rsidRDefault="00D04708" w:rsidP="00CA4C01">
            <w:pPr>
              <w:pStyle w:val="Compact"/>
              <w:spacing w:line="240" w:lineRule="auto"/>
            </w:pPr>
            <w:r>
              <w:t>+</w:t>
            </w:r>
            <m:oMath>
              <m:r>
                <m:rPr>
                  <m:sty m:val="p"/>
                </m:rPr>
                <w:rPr>
                  <w:rFonts w:ascii="Cambria Math" w:hAnsi="Cambria Math"/>
                </w:rPr>
                <m:t>∞</m:t>
              </m:r>
            </m:oMath>
          </w:p>
        </w:tc>
        <w:tc>
          <w:tcPr>
            <w:tcW w:w="0" w:type="auto"/>
          </w:tcPr>
          <w:p w14:paraId="5516F1B6" w14:textId="77777777" w:rsidR="0032076E" w:rsidRDefault="0032076E" w:rsidP="00CA4C01">
            <w:pPr>
              <w:pStyle w:val="Compact"/>
              <w:spacing w:line="240" w:lineRule="auto"/>
            </w:pPr>
          </w:p>
        </w:tc>
      </w:tr>
      <w:tr w:rsidR="0032076E" w14:paraId="5516F1BD" w14:textId="77777777">
        <w:tc>
          <w:tcPr>
            <w:tcW w:w="0" w:type="auto"/>
          </w:tcPr>
          <w:p w14:paraId="5516F1B8" w14:textId="763D7E77" w:rsidR="0032076E" w:rsidRPr="00107B96" w:rsidRDefault="00107B96" w:rsidP="00CA4C01">
            <w:pPr>
              <w:pStyle w:val="Compact"/>
              <w:spacing w:line="240" w:lineRule="auto"/>
            </w:pPr>
            <w:r>
              <w:rPr>
                <w:lang w:val="el-GR"/>
              </w:rPr>
              <w:t>σ</w:t>
            </w:r>
            <w:r w:rsidRPr="00107B96">
              <w:rPr>
                <w:vertAlign w:val="superscript"/>
              </w:rPr>
              <w:t>2</w:t>
            </w:r>
          </w:p>
        </w:tc>
        <w:tc>
          <w:tcPr>
            <w:tcW w:w="0" w:type="auto"/>
          </w:tcPr>
          <w:p w14:paraId="5516F1B9" w14:textId="2EF4BE2D" w:rsidR="0032076E" w:rsidRDefault="00D04708" w:rsidP="00CA4C01">
            <w:pPr>
              <w:pStyle w:val="Compact"/>
              <w:spacing w:line="240" w:lineRule="auto"/>
            </w:pPr>
            <m:oMathPara>
              <m:oMath>
                <m:r>
                  <m:rPr>
                    <m:scr m:val="script"/>
                    <m:sty m:val="p"/>
                  </m:rPr>
                  <w:rPr>
                    <w:rFonts w:ascii="Cambria Math" w:hAnsi="Cambria Math"/>
                  </w:rPr>
                  <m:t>N(</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m:oMathPara>
          </w:p>
        </w:tc>
        <w:tc>
          <w:tcPr>
            <w:tcW w:w="0" w:type="auto"/>
          </w:tcPr>
          <w:p w14:paraId="5516F1BA" w14:textId="77777777" w:rsidR="0032076E" w:rsidRDefault="00D04708" w:rsidP="00CA4C01">
            <w:pPr>
              <w:pStyle w:val="Compact"/>
              <w:spacing w:line="240" w:lineRule="auto"/>
            </w:pPr>
            <w:r>
              <w:t>0</w:t>
            </w:r>
          </w:p>
        </w:tc>
        <w:tc>
          <w:tcPr>
            <w:tcW w:w="0" w:type="auto"/>
          </w:tcPr>
          <w:p w14:paraId="5516F1BB" w14:textId="77777777" w:rsidR="0032076E" w:rsidRDefault="00D04708" w:rsidP="00CA4C01">
            <w:pPr>
              <w:pStyle w:val="Compact"/>
              <w:spacing w:line="240" w:lineRule="auto"/>
            </w:pPr>
            <w:r>
              <w:t>+</w:t>
            </w:r>
            <m:oMath>
              <m:r>
                <m:rPr>
                  <m:sty m:val="p"/>
                </m:rPr>
                <w:rPr>
                  <w:rFonts w:ascii="Cambria Math" w:hAnsi="Cambria Math"/>
                </w:rPr>
                <m:t>∞</m:t>
              </m:r>
            </m:oMath>
          </w:p>
        </w:tc>
        <w:tc>
          <w:tcPr>
            <w:tcW w:w="0" w:type="auto"/>
          </w:tcPr>
          <w:p w14:paraId="5516F1BC" w14:textId="77777777" w:rsidR="0032076E" w:rsidRDefault="0032076E" w:rsidP="00CA4C01">
            <w:pPr>
              <w:pStyle w:val="Compact"/>
              <w:spacing w:line="240" w:lineRule="auto"/>
            </w:pPr>
          </w:p>
        </w:tc>
      </w:tr>
      <w:tr w:rsidR="0006210A" w14:paraId="743C5062" w14:textId="77777777">
        <w:tc>
          <w:tcPr>
            <w:tcW w:w="0" w:type="auto"/>
          </w:tcPr>
          <w:p w14:paraId="0FE11503" w14:textId="77777777" w:rsidR="0006210A" w:rsidRDefault="0006210A" w:rsidP="00CA4C01">
            <w:pPr>
              <w:pStyle w:val="Compact"/>
              <w:spacing w:line="240" w:lineRule="auto"/>
            </w:pPr>
          </w:p>
        </w:tc>
        <w:tc>
          <w:tcPr>
            <w:tcW w:w="0" w:type="auto"/>
          </w:tcPr>
          <w:p w14:paraId="48EFC1DF" w14:textId="77777777" w:rsidR="0006210A" w:rsidRDefault="0006210A" w:rsidP="00CA4C01">
            <w:pPr>
              <w:pStyle w:val="Compact"/>
              <w:spacing w:line="240" w:lineRule="auto"/>
            </w:pPr>
          </w:p>
        </w:tc>
        <w:tc>
          <w:tcPr>
            <w:tcW w:w="0" w:type="auto"/>
          </w:tcPr>
          <w:p w14:paraId="30ED6F8C" w14:textId="77777777" w:rsidR="0006210A" w:rsidRDefault="0006210A" w:rsidP="00CA4C01">
            <w:pPr>
              <w:pStyle w:val="Compact"/>
              <w:spacing w:line="240" w:lineRule="auto"/>
            </w:pPr>
          </w:p>
        </w:tc>
        <w:tc>
          <w:tcPr>
            <w:tcW w:w="0" w:type="auto"/>
          </w:tcPr>
          <w:p w14:paraId="1FDD0A41" w14:textId="77777777" w:rsidR="0006210A" w:rsidRDefault="0006210A" w:rsidP="00CA4C01">
            <w:pPr>
              <w:pStyle w:val="Compact"/>
              <w:spacing w:line="240" w:lineRule="auto"/>
            </w:pPr>
          </w:p>
        </w:tc>
        <w:tc>
          <w:tcPr>
            <w:tcW w:w="0" w:type="auto"/>
          </w:tcPr>
          <w:p w14:paraId="7DDF2285" w14:textId="77777777" w:rsidR="0006210A" w:rsidRDefault="0006210A" w:rsidP="00CA4C01">
            <w:pPr>
              <w:pStyle w:val="Compact"/>
              <w:spacing w:line="240" w:lineRule="auto"/>
            </w:pPr>
          </w:p>
        </w:tc>
      </w:tr>
    </w:tbl>
    <w:p w14:paraId="5516F1BE" w14:textId="169042CF" w:rsidR="0032076E" w:rsidRDefault="009D7BDF" w:rsidP="001643E6">
      <w:pPr>
        <w:pStyle w:val="CaptionedFigure"/>
        <w:spacing w:after="0" w:line="480" w:lineRule="auto"/>
      </w:pPr>
      <w:bookmarkStart w:id="12" w:name="fig:dag"/>
      <w:bookmarkEnd w:id="11"/>
      <w:r>
        <w:rPr>
          <w:noProof/>
        </w:rPr>
        <w:lastRenderedPageBreak/>
        <w:drawing>
          <wp:inline distT="0" distB="0" distL="0" distR="0" wp14:anchorId="375FAA5C" wp14:editId="2FADA0E5">
            <wp:extent cx="5943600" cy="3115945"/>
            <wp:effectExtent l="0" t="0" r="0" b="0"/>
            <wp:docPr id="1732059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059815" name="Picture 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115945"/>
                    </a:xfrm>
                    <a:prstGeom prst="rect">
                      <a:avLst/>
                    </a:prstGeom>
                  </pic:spPr>
                </pic:pic>
              </a:graphicData>
            </a:graphic>
          </wp:inline>
        </w:drawing>
      </w:r>
    </w:p>
    <w:p w14:paraId="5516F1BF" w14:textId="46A1C45D" w:rsidR="0032076E" w:rsidRDefault="00D04708" w:rsidP="001643E6">
      <w:pPr>
        <w:pStyle w:val="ImageCaption"/>
        <w:spacing w:after="0" w:line="480" w:lineRule="auto"/>
      </w:pPr>
      <w:r>
        <w:t xml:space="preserve">Figure </w:t>
      </w:r>
      <w:r w:rsidR="0097253A">
        <w:t>2.</w:t>
      </w:r>
      <w:r>
        <w:t xml:space="preserve"> </w:t>
      </w:r>
      <w:r w:rsidR="0097253A">
        <w:t xml:space="preserve">Workflow for evaluating sampling‐density effects on spatial field reconstruction in simulated (in-silico) and </w:t>
      </w:r>
      <w:r w:rsidR="00B02A6B">
        <w:t>empirical</w:t>
      </w:r>
      <w:r w:rsidR="0097253A">
        <w:t xml:space="preserve"> (in-situ) data. A spatial field is generated</w:t>
      </w:r>
      <w:r w:rsidR="0000574A">
        <w:t xml:space="preserve"> (</w:t>
      </w:r>
      <w:r w:rsidR="00E112A7">
        <w:t xml:space="preserve">panel </w:t>
      </w:r>
      <w:r w:rsidR="009D7BDF">
        <w:t>A;</w:t>
      </w:r>
      <w:r w:rsidR="0000574A">
        <w:t xml:space="preserve"> in-silico data)</w:t>
      </w:r>
      <w:r w:rsidR="0097253A">
        <w:t xml:space="preserve"> from known parameters (</w:t>
      </w:r>
      <w:r w:rsidR="006B15E7">
        <w:rPr>
          <w:lang w:val="el-GR"/>
        </w:rPr>
        <w:t>μ, ρ, σ)</w:t>
      </w:r>
      <w:r w:rsidR="0097253A">
        <w:t xml:space="preserve"> and represented on a discrete grid (Q, </w:t>
      </w:r>
      <w:r w:rsidR="00791B0C">
        <w:t>N</w:t>
      </w:r>
      <w:r w:rsidR="0097253A">
        <w:t xml:space="preserve">=18,916). </w:t>
      </w:r>
      <w:r w:rsidR="00BA1382" w:rsidRPr="00BA1382">
        <w:t xml:space="preserve">A reference sampling set (Y, </w:t>
      </w:r>
      <w:r w:rsidR="00791B0C">
        <w:t>N</w:t>
      </w:r>
      <w:r w:rsidR="00BA1382" w:rsidRPr="00BA1382">
        <w:t>=4000) is used to fit a GP model and generate a predicted field (Z), which serves as the reference reconstruction.</w:t>
      </w:r>
      <w:r w:rsidR="00707857" w:rsidRPr="00707857">
        <w:t xml:space="preserve"> The prediction error (ε</w:t>
      </w:r>
      <w:r w:rsidR="00295D54">
        <w:rPr>
          <w:vertAlign w:val="subscript"/>
        </w:rPr>
        <w:t>2</w:t>
      </w:r>
      <w:r w:rsidR="00707857" w:rsidRPr="00707857">
        <w:t xml:space="preserve">) is defined as the difference between </w:t>
      </w:r>
      <w:r w:rsidR="00E72873">
        <w:t xml:space="preserve">Z </w:t>
      </w:r>
      <w:r w:rsidR="00707857" w:rsidRPr="00707857">
        <w:t>field and the</w:t>
      </w:r>
      <w:r w:rsidR="00E72873" w:rsidRPr="00E72873">
        <w:t xml:space="preserve"> progressively reduced using thinning designs (</w:t>
      </w:r>
      <w:r w:rsidR="00412E7B">
        <w:t>Y</w:t>
      </w:r>
      <w:r w:rsidR="00412E7B" w:rsidRPr="00412E7B">
        <w:rPr>
          <w:vertAlign w:val="subscript"/>
        </w:rPr>
        <w:t>E</w:t>
      </w:r>
      <w:r w:rsidR="00E72873" w:rsidRPr="00E72873">
        <w:t>)</w:t>
      </w:r>
      <w:r w:rsidR="00707857" w:rsidRPr="00707857">
        <w:t xml:space="preserve"> reconstructed field. </w:t>
      </w:r>
      <w:r w:rsidR="000607B1" w:rsidRPr="000607B1">
        <w:t xml:space="preserve">To enable a like-for-like comparison with the in-situ data, a secondary baseline using </w:t>
      </w:r>
      <w:r w:rsidR="00412E7B">
        <w:t>N</w:t>
      </w:r>
      <w:r w:rsidR="000607B1" w:rsidRPr="000607B1">
        <w:t>=358 samples is defined to produce a reference prediction S</w:t>
      </w:r>
      <w:r w:rsidR="00412E7B">
        <w:rPr>
          <w:vertAlign w:val="subscript"/>
        </w:rPr>
        <w:t>E</w:t>
      </w:r>
      <w:r w:rsidR="000607B1" w:rsidRPr="000607B1">
        <w:rPr>
          <w:vertAlign w:val="subscript"/>
        </w:rPr>
        <w:t>=358</w:t>
      </w:r>
      <w:r w:rsidR="000607B1" w:rsidRPr="000607B1">
        <w:t>, and prediction error (</w:t>
      </w:r>
      <w:r w:rsidR="000607B1">
        <w:rPr>
          <w:lang w:val="el-GR"/>
        </w:rPr>
        <w:t>ε</w:t>
      </w:r>
      <w:r w:rsidR="00295D54">
        <w:rPr>
          <w:vertAlign w:val="subscript"/>
        </w:rPr>
        <w:t>3</w:t>
      </w:r>
      <w:r w:rsidR="000607B1" w:rsidRPr="000607B1">
        <w:t>) is calculated as the difference between S</w:t>
      </w:r>
      <w:r w:rsidR="00412E7B">
        <w:rPr>
          <w:vertAlign w:val="subscript"/>
        </w:rPr>
        <w:t>E</w:t>
      </w:r>
      <w:r w:rsidR="000607B1" w:rsidRPr="000607B1">
        <w:rPr>
          <w:vertAlign w:val="subscript"/>
        </w:rPr>
        <w:t>=358</w:t>
      </w:r>
      <w:r w:rsidR="000607B1" w:rsidRPr="000607B1">
        <w:t xml:space="preserve"> and reconstructions obtained from further thinned datasets (</w:t>
      </w:r>
      <w:r w:rsidR="00412E7B">
        <w:t>Y</w:t>
      </w:r>
      <w:r w:rsidR="00412E7B">
        <w:rPr>
          <w:vertAlign w:val="subscript"/>
        </w:rPr>
        <w:t>E</w:t>
      </w:r>
      <w:r w:rsidR="000607B1" w:rsidRPr="000607B1">
        <w:t>).</w:t>
      </w:r>
      <w:r w:rsidR="0097253A">
        <w:t xml:space="preserve"> </w:t>
      </w:r>
      <w:r>
        <w:t>Panel B (in-situ data) applies the same thinning and refitting to the observed dataset (Y, N=358); deviations of the thinned predictions from that baseline quantify ε</w:t>
      </w:r>
      <w:r>
        <w:rPr>
          <w:vertAlign w:val="subscript"/>
        </w:rPr>
        <w:t>1</w:t>
      </w:r>
      <w:r>
        <w:t>.</w:t>
      </w:r>
    </w:p>
    <w:p w14:paraId="0F9697C5" w14:textId="77777777" w:rsidR="00286ADA" w:rsidRDefault="00286ADA" w:rsidP="001643E6">
      <w:pPr>
        <w:pStyle w:val="ImageCaption"/>
        <w:spacing w:after="0" w:line="480" w:lineRule="auto"/>
      </w:pPr>
    </w:p>
    <w:p w14:paraId="5516F1C0" w14:textId="77777777" w:rsidR="0032076E" w:rsidRDefault="00D04708" w:rsidP="001643E6">
      <w:pPr>
        <w:pStyle w:val="Heading1"/>
        <w:spacing w:before="0" w:after="0" w:line="480" w:lineRule="auto"/>
      </w:pPr>
      <w:bookmarkStart w:id="13" w:name="results"/>
      <w:bookmarkEnd w:id="4"/>
      <w:bookmarkEnd w:id="8"/>
      <w:bookmarkEnd w:id="12"/>
      <w:r>
        <w:t>Results</w:t>
      </w:r>
    </w:p>
    <w:p w14:paraId="4C1EC43C" w14:textId="77777777" w:rsidR="00823035" w:rsidRDefault="00823035" w:rsidP="001643E6">
      <w:pPr>
        <w:pStyle w:val="BodyText"/>
        <w:spacing w:line="480" w:lineRule="auto"/>
      </w:pPr>
    </w:p>
    <w:p w14:paraId="7DA3AAF6" w14:textId="35350FB0" w:rsidR="00823035" w:rsidRPr="00450784" w:rsidRDefault="00823035" w:rsidP="001643E6">
      <w:pPr>
        <w:pStyle w:val="BodyText"/>
        <w:spacing w:line="480" w:lineRule="auto"/>
      </w:pPr>
      <w:bookmarkStart w:id="14" w:name="fig:epsilon"/>
      <w:r w:rsidRPr="00762C7D">
        <w:rPr>
          <w:b/>
          <w:bCs w:val="0"/>
        </w:rPr>
        <w:t>Empirical data</w:t>
      </w:r>
    </w:p>
    <w:p w14:paraId="57347855" w14:textId="39A5009A" w:rsidR="00D31C68" w:rsidRDefault="000443C6" w:rsidP="001643E6">
      <w:pPr>
        <w:pStyle w:val="BodyText"/>
        <w:spacing w:line="480" w:lineRule="auto"/>
      </w:pPr>
      <w:r w:rsidRPr="000443C6">
        <w:lastRenderedPageBreak/>
        <w:t xml:space="preserve">Across species, depth-specific global mean eDNA concentrations generally declined with increasing sampling depth (Figure </w:t>
      </w:r>
      <w:r w:rsidR="00F74473">
        <w:t>3</w:t>
      </w:r>
      <w:r w:rsidRPr="000443C6">
        <w:t xml:space="preserve">). Species-specific length-scale estimates varied considerably across species (Figure </w:t>
      </w:r>
      <w:r w:rsidR="00F74473">
        <w:t>3</w:t>
      </w:r>
      <w:r w:rsidRPr="000443C6">
        <w:t xml:space="preserve">A), </w:t>
      </w:r>
      <w:r w:rsidR="00474904">
        <w:t>likely reflecting differences in habitat use and movement behavior</w:t>
      </w:r>
      <w:r w:rsidRPr="000443C6">
        <w:t>. Surface-dwelling species tended toward shorter spatial autocorrelation lengths and showed more pronounced differences between surface and deep mean eDNA concentrations (</w:t>
      </w:r>
      <w:r w:rsidRPr="008345FD">
        <w:rPr>
          <w:i/>
          <w:iCs/>
        </w:rPr>
        <w:t>μ</w:t>
      </w:r>
      <w:r w:rsidRPr="000443C6">
        <w:t xml:space="preserve">; Figure </w:t>
      </w:r>
      <w:r w:rsidR="00F74473">
        <w:t>3</w:t>
      </w:r>
      <w:r w:rsidRPr="000443C6">
        <w:t xml:space="preserve">B), though exceptions were evident. Deep-dwelling species broadly exhibited longer spatial autocorrelations (Figure </w:t>
      </w:r>
      <w:r w:rsidR="00F74473">
        <w:t>3</w:t>
      </w:r>
      <w:r w:rsidRPr="000443C6">
        <w:t>A) and relatively stable mean eDNA concentrations across depth strata, although this pattern was not universal</w:t>
      </w:r>
      <w:r w:rsidR="00054D59">
        <w:t>,</w:t>
      </w:r>
      <w:r w:rsidRPr="000443C6">
        <w:t xml:space="preserve"> </w:t>
      </w:r>
      <w:proofErr w:type="spellStart"/>
      <w:r w:rsidRPr="00054D59">
        <w:rPr>
          <w:i/>
          <w:iCs/>
        </w:rPr>
        <w:t>Tactostoma</w:t>
      </w:r>
      <w:proofErr w:type="spellEnd"/>
      <w:r w:rsidRPr="00054D59">
        <w:rPr>
          <w:i/>
          <w:iCs/>
        </w:rPr>
        <w:t xml:space="preserve"> </w:t>
      </w:r>
      <w:proofErr w:type="spellStart"/>
      <w:r w:rsidRPr="00054D59">
        <w:rPr>
          <w:i/>
          <w:iCs/>
        </w:rPr>
        <w:t>macropus</w:t>
      </w:r>
      <w:proofErr w:type="spellEnd"/>
      <w:r w:rsidRPr="000443C6">
        <w:t>, for instance, showed a comparatively short length-scale despite its deep-water affinity.</w:t>
      </w:r>
      <w:r w:rsidR="00D31C68" w:rsidRPr="00D31C68">
        <w:t xml:space="preserve"> </w:t>
      </w:r>
      <w:r>
        <w:t>Together, these patterns suggest that surface-associated species may be more spatially heterogeneous, whereas deeper-dwelling species may display increasingly homogeneous distributions.</w:t>
      </w:r>
    </w:p>
    <w:p w14:paraId="79D539FF" w14:textId="12F9449A" w:rsidR="000443C6" w:rsidRDefault="000443C6" w:rsidP="001643E6">
      <w:pPr>
        <w:pStyle w:val="BodyText"/>
        <w:spacing w:line="480" w:lineRule="auto"/>
      </w:pPr>
    </w:p>
    <w:p w14:paraId="50B643E0" w14:textId="53D5F2AE" w:rsidR="00823035" w:rsidRPr="00994C26" w:rsidRDefault="00823035" w:rsidP="001643E6">
      <w:pPr>
        <w:pStyle w:val="BodyText"/>
        <w:spacing w:line="480" w:lineRule="auto"/>
      </w:pPr>
      <w:r w:rsidRPr="00EC0F93">
        <w:t xml:space="preserve">Across species, </w:t>
      </w:r>
      <w:r w:rsidR="00B82ACF">
        <w:t xml:space="preserve">estimated </w:t>
      </w:r>
      <w:r w:rsidRPr="00F01C7C">
        <w:rPr>
          <w:i/>
          <w:iCs/>
        </w:rPr>
        <w:t>α</w:t>
      </w:r>
      <w:r w:rsidR="00EB0491" w:rsidRPr="00F01C7C">
        <w:rPr>
          <w:i/>
          <w:iCs/>
          <w:vertAlign w:val="superscript"/>
        </w:rPr>
        <w:t>2</w:t>
      </w:r>
      <w:r w:rsidRPr="00EC0F93">
        <w:t xml:space="preserve"> </w:t>
      </w:r>
      <w:r>
        <w:t xml:space="preserve">ranged from </w:t>
      </w:r>
      <w:r w:rsidRPr="00EC0F93">
        <w:t>2.3</w:t>
      </w:r>
      <w:r>
        <w:t xml:space="preserve"> to </w:t>
      </w:r>
      <w:r w:rsidRPr="00EC0F93">
        <w:t xml:space="preserve">4.2, whereas the GP </w:t>
      </w:r>
      <w:r w:rsidR="0038376D">
        <w:t>non-spatial variance</w:t>
      </w:r>
      <w:r w:rsidRPr="00EC0F93">
        <w:t xml:space="preserve"> </w:t>
      </w:r>
      <w:r w:rsidRPr="00F01C7C">
        <w:rPr>
          <w:i/>
          <w:iCs/>
        </w:rPr>
        <w:t>σ</w:t>
      </w:r>
      <w:r w:rsidR="00D736BC" w:rsidRPr="00F01C7C">
        <w:rPr>
          <w:i/>
          <w:iCs/>
          <w:vertAlign w:val="superscript"/>
        </w:rPr>
        <w:t>2</w:t>
      </w:r>
      <w:r w:rsidRPr="00EC0F93">
        <w:t xml:space="preserve"> </w:t>
      </w:r>
      <w:r>
        <w:t xml:space="preserve">spanned from </w:t>
      </w:r>
      <w:r w:rsidRPr="00EC0F93">
        <w:t>1.5</w:t>
      </w:r>
      <w:r>
        <w:t xml:space="preserve"> to </w:t>
      </w:r>
      <w:r w:rsidRPr="00EC0F93">
        <w:t xml:space="preserve">4.5. </w:t>
      </w:r>
      <w:r w:rsidRPr="00BC550E">
        <w:t>Surface-associated taxa generally exhibited</w:t>
      </w:r>
      <w:r w:rsidR="001E6470">
        <w:t xml:space="preserve"> slightly</w:t>
      </w:r>
      <w:r w:rsidRPr="00BC550E">
        <w:t xml:space="preserve"> higher </w:t>
      </w:r>
      <w:r w:rsidRPr="00F01C7C">
        <w:rPr>
          <w:i/>
          <w:iCs/>
        </w:rPr>
        <w:t>σ</w:t>
      </w:r>
      <w:r w:rsidR="001E6470" w:rsidRPr="00F01C7C">
        <w:rPr>
          <w:i/>
          <w:iCs/>
          <w:vertAlign w:val="superscript"/>
        </w:rPr>
        <w:t>2</w:t>
      </w:r>
      <w:r w:rsidRPr="00BC550E">
        <w:t xml:space="preserve"> than bottom-associated taxa, indicating greater </w:t>
      </w:r>
      <w:r>
        <w:t>process</w:t>
      </w:r>
      <w:r w:rsidRPr="00EC0F93">
        <w:t xml:space="preserve"> variance </w:t>
      </w:r>
      <w:r>
        <w:t xml:space="preserve">of the inferred </w:t>
      </w:r>
      <w:r w:rsidRPr="00BC550E">
        <w:t>eDNA fields.</w:t>
      </w:r>
      <w:r>
        <w:t xml:space="preserve"> </w:t>
      </w:r>
      <w:r>
        <w:t>This pattern may partly reflect a mean–variance relationship, as surface taxa showed higher mean eDNA concentrations or alternatively, differences in σ</w:t>
      </w:r>
      <w:r>
        <w:rPr>
          <w:vertAlign w:val="superscript"/>
        </w:rPr>
        <w:t>2</w:t>
      </w:r>
      <w:r>
        <w:t xml:space="preserve"> are linked to the spatial autocorrelation parameter ρ.</w:t>
      </w:r>
    </w:p>
    <w:p w14:paraId="7B56CCDA" w14:textId="429ABBE6" w:rsidR="00823035" w:rsidRPr="001455E0" w:rsidRDefault="00F32AE0" w:rsidP="001643E6">
      <w:pPr>
        <w:pStyle w:val="BodyText"/>
        <w:spacing w:line="480" w:lineRule="auto"/>
      </w:pPr>
      <w:r>
        <w:rPr>
          <w:noProof/>
        </w:rPr>
        <w:lastRenderedPageBreak/>
        <w:drawing>
          <wp:inline distT="0" distB="0" distL="0" distR="0" wp14:anchorId="452730F5" wp14:editId="166FAF08">
            <wp:extent cx="5943600" cy="4245610"/>
            <wp:effectExtent l="0" t="0" r="0" b="0"/>
            <wp:docPr id="9048996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89968" name="Picture 9048996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4245610"/>
                    </a:xfrm>
                    <a:prstGeom prst="rect">
                      <a:avLst/>
                    </a:prstGeom>
                  </pic:spPr>
                </pic:pic>
              </a:graphicData>
            </a:graphic>
          </wp:inline>
        </w:drawing>
      </w:r>
    </w:p>
    <w:bookmarkEnd w:id="14"/>
    <w:p w14:paraId="4BFDB74A" w14:textId="0B7F7918" w:rsidR="00823035" w:rsidRDefault="00823035" w:rsidP="001643E6">
      <w:pPr>
        <w:pStyle w:val="ImageCaption"/>
        <w:spacing w:after="0" w:line="480" w:lineRule="auto"/>
      </w:pPr>
      <w:r>
        <w:t xml:space="preserve">Figure </w:t>
      </w:r>
      <w:r w:rsidR="009A5D04">
        <w:t>3</w:t>
      </w:r>
      <w:r w:rsidR="00DC0E83">
        <w:t>.</w:t>
      </w:r>
      <w:r w:rsidR="009D3544">
        <w:t xml:space="preserve"> </w:t>
      </w:r>
      <w:r w:rsidR="00225CCC" w:rsidRPr="00225CCC">
        <w:t xml:space="preserve">Species-specific Gaussian </w:t>
      </w:r>
      <w:r w:rsidR="001B65DC">
        <w:t>P</w:t>
      </w:r>
      <w:r w:rsidR="00225CCC" w:rsidRPr="00225CCC">
        <w:t>rocess parameter estimates</w:t>
      </w:r>
      <w:r w:rsidR="00AB1E1B">
        <w:t xml:space="preserve"> of empirical data</w:t>
      </w:r>
      <w:r w:rsidR="00225CCC">
        <w:t xml:space="preserve">. </w:t>
      </w:r>
      <w:r w:rsidR="00A24C23">
        <w:t>(A) E</w:t>
      </w:r>
      <w:r w:rsidR="009D3544" w:rsidRPr="009D3544">
        <w:t>stimated spatial autocorrelation parameter (</w:t>
      </w:r>
      <w:r w:rsidR="00225CCC">
        <w:rPr>
          <w:lang w:val="el-GR"/>
        </w:rPr>
        <w:t>ρ</w:t>
      </w:r>
      <w:r w:rsidR="00225CCC">
        <w:t xml:space="preserve"> in</w:t>
      </w:r>
      <w:r w:rsidR="009D3544" w:rsidRPr="009D3544">
        <w:t xml:space="preserve"> km) for each species</w:t>
      </w:r>
      <w:r w:rsidR="00F325A5">
        <w:t xml:space="preserve"> (indicated in colors)</w:t>
      </w:r>
      <w:r w:rsidR="009D3544" w:rsidRPr="009D3544">
        <w:t xml:space="preserve"> across the three major depth strata</w:t>
      </w:r>
      <w:r w:rsidR="00F325A5">
        <w:t xml:space="preserve"> </w:t>
      </w:r>
      <w:r w:rsidR="00F325A5" w:rsidRPr="00F325A5">
        <w:t>defined from the literature</w:t>
      </w:r>
      <w:r w:rsidR="009D3544" w:rsidRPr="009D3544">
        <w:t xml:space="preserve"> (surface, midwater, and deepwater). Points indicate posterior mean estimates and</w:t>
      </w:r>
      <w:r w:rsidR="00190EF5">
        <w:t xml:space="preserve"> bars denote</w:t>
      </w:r>
      <w:r w:rsidR="009D3544" w:rsidRPr="009D3544">
        <w:t xml:space="preserve"> </w:t>
      </w:r>
      <w:r w:rsidR="00225CCC">
        <w:t xml:space="preserve">95% </w:t>
      </w:r>
      <w:r w:rsidR="00D9465F">
        <w:t>credible</w:t>
      </w:r>
      <w:r w:rsidR="00225CCC">
        <w:t xml:space="preserve"> intervals</w:t>
      </w:r>
      <w:r w:rsidR="009D3544" w:rsidRPr="009D3544">
        <w:t xml:space="preserve">. </w:t>
      </w:r>
      <w:r w:rsidRPr="0009447E">
        <w:t xml:space="preserve">Depth-specific (0, </w:t>
      </w:r>
      <w:r>
        <w:t>50</w:t>
      </w:r>
      <w:r w:rsidRPr="0009447E">
        <w:t>, 1</w:t>
      </w:r>
      <w:r>
        <w:t>0</w:t>
      </w:r>
      <w:r w:rsidRPr="0009447E">
        <w:t>0, 300, and 500 m)</w:t>
      </w:r>
      <w:r>
        <w:t xml:space="preserve"> </w:t>
      </w:r>
      <w:r w:rsidRPr="0009447E">
        <w:t xml:space="preserve">relationship between </w:t>
      </w:r>
      <w:r>
        <w:t xml:space="preserve">species </w:t>
      </w:r>
      <w:r w:rsidRPr="0009447E">
        <w:t xml:space="preserve">spatial autocorrelation </w:t>
      </w:r>
      <w:r>
        <w:t>(</w:t>
      </w:r>
      <w:r>
        <w:rPr>
          <w:lang w:val="el-GR"/>
        </w:rPr>
        <w:t>ρ</w:t>
      </w:r>
      <w:r w:rsidRPr="0009447E">
        <w:t xml:space="preserve"> in </w:t>
      </w:r>
      <w:r>
        <w:t xml:space="preserve">km shown as the size of the points) </w:t>
      </w:r>
      <w:r w:rsidRPr="0009447E">
        <w:t xml:space="preserve">and mean eDNA </w:t>
      </w:r>
      <w:r>
        <w:t>concentrations</w:t>
      </w:r>
      <w:r w:rsidRPr="0009447E">
        <w:t xml:space="preserve"> </w:t>
      </w:r>
      <w:r>
        <w:t xml:space="preserve">(in log </w:t>
      </w:r>
      <w:r w:rsidR="002342B6">
        <w:t>copies</w:t>
      </w:r>
      <w:r>
        <w:t xml:space="preserve">/L) </w:t>
      </w:r>
      <w:r w:rsidRPr="0009447E">
        <w:t>across species</w:t>
      </w:r>
      <w:r>
        <w:t xml:space="preserve"> (colors) in panel </w:t>
      </w:r>
      <w:r w:rsidR="006B6E65">
        <w:t>B</w:t>
      </w:r>
      <w:r w:rsidRPr="0009447E">
        <w:t>.</w:t>
      </w:r>
      <w:r>
        <w:t xml:space="preserve"> Panel </w:t>
      </w:r>
      <w:r w:rsidR="006B6E65">
        <w:t>C</w:t>
      </w:r>
      <w:r>
        <w:t xml:space="preserve"> indicating </w:t>
      </w:r>
      <w:r w:rsidRPr="00826938">
        <w:t>the signal amplitude (α</w:t>
      </w:r>
      <w:r w:rsidR="00242A24" w:rsidRPr="00242A24">
        <w:rPr>
          <w:vertAlign w:val="superscript"/>
        </w:rPr>
        <w:t>2</w:t>
      </w:r>
      <w:r w:rsidRPr="00826938">
        <w:t xml:space="preserve">) </w:t>
      </w:r>
      <w:r>
        <w:t xml:space="preserve">relation between </w:t>
      </w:r>
      <w:r w:rsidR="006425A2">
        <w:t>non-spatial variance</w:t>
      </w:r>
      <w:r w:rsidRPr="00826938">
        <w:t xml:space="preserve"> (σ</w:t>
      </w:r>
      <w:r w:rsidR="006B6E65">
        <w:rPr>
          <w:vertAlign w:val="superscript"/>
        </w:rPr>
        <w:t>2</w:t>
      </w:r>
      <w:r w:rsidRPr="00826938">
        <w:t>)</w:t>
      </w:r>
      <w:r>
        <w:t xml:space="preserve"> and species </w:t>
      </w:r>
      <w:r w:rsidRPr="0009447E">
        <w:t xml:space="preserve">spatial autocorrelation </w:t>
      </w:r>
      <w:r>
        <w:t>(</w:t>
      </w:r>
      <w:r>
        <w:rPr>
          <w:lang w:val="el-GR"/>
        </w:rPr>
        <w:t>ρ</w:t>
      </w:r>
      <w:r w:rsidRPr="0009447E">
        <w:t xml:space="preserve"> in </w:t>
      </w:r>
      <w:r>
        <w:t>km shown as the size of the points).</w:t>
      </w:r>
    </w:p>
    <w:p w14:paraId="3B504FD1" w14:textId="35FDC47F" w:rsidR="00823035" w:rsidRDefault="00823035" w:rsidP="001643E6">
      <w:pPr>
        <w:pStyle w:val="BodyText"/>
        <w:spacing w:line="480" w:lineRule="auto"/>
      </w:pPr>
    </w:p>
    <w:p w14:paraId="30DEF277" w14:textId="38EB50D4" w:rsidR="00A34072" w:rsidRPr="00450784" w:rsidRDefault="00A34072" w:rsidP="001643E6">
      <w:pPr>
        <w:pStyle w:val="BodyText"/>
        <w:spacing w:line="480" w:lineRule="auto"/>
      </w:pPr>
      <w:r w:rsidRPr="003D6E81">
        <w:rPr>
          <w:b/>
          <w:bCs w:val="0"/>
        </w:rPr>
        <w:t>Prediction accuracy</w:t>
      </w:r>
      <w:r w:rsidR="00140E57" w:rsidRPr="003D6E81">
        <w:rPr>
          <w:b/>
          <w:bCs w:val="0"/>
        </w:rPr>
        <w:t xml:space="preserve"> on empirical data</w:t>
      </w:r>
    </w:p>
    <w:p w14:paraId="4157289A" w14:textId="0E67A79B" w:rsidR="0037779D" w:rsidRDefault="0037779D" w:rsidP="001643E6">
      <w:pPr>
        <w:pStyle w:val="BodyText"/>
        <w:spacing w:line="480" w:lineRule="auto"/>
      </w:pPr>
      <w:r w:rsidRPr="00DE3973">
        <w:t xml:space="preserve">Prediction error in empirical data </w:t>
      </w:r>
      <w:r w:rsidRPr="0037779D">
        <w:t>decreased with increasing sampling density across all species</w:t>
      </w:r>
      <w:r>
        <w:t xml:space="preserve"> (</w:t>
      </w:r>
      <w:r w:rsidR="00322184">
        <w:t xml:space="preserve">Appendix S1: </w:t>
      </w:r>
      <w:r>
        <w:t>Figure S</w:t>
      </w:r>
      <w:r w:rsidR="00087896">
        <w:t>1 and S2</w:t>
      </w:r>
      <w:r>
        <w:t>).</w:t>
      </w:r>
      <w:r w:rsidRPr="0037779D">
        <w:t xml:space="preserve"> </w:t>
      </w:r>
      <w:r>
        <w:t>H</w:t>
      </w:r>
      <w:r w:rsidRPr="0037779D">
        <w:t xml:space="preserve">owever, this reduction was strongly modulated by the degree </w:t>
      </w:r>
      <w:r w:rsidRPr="0037779D">
        <w:lastRenderedPageBreak/>
        <w:t>of spatial autocorrelation</w:t>
      </w:r>
      <w:r>
        <w:t xml:space="preserve"> (</w:t>
      </w:r>
      <w:r w:rsidR="00982787">
        <w:t xml:space="preserve">Appendix S1: </w:t>
      </w:r>
      <w:r>
        <w:t>Figure S</w:t>
      </w:r>
      <w:r w:rsidR="00087896">
        <w:t>2</w:t>
      </w:r>
      <w:r>
        <w:t>)</w:t>
      </w:r>
      <w:r w:rsidRPr="0037779D">
        <w:t xml:space="preserve">. Species characterized by </w:t>
      </w:r>
      <w:r>
        <w:t>short</w:t>
      </w:r>
      <w:r w:rsidRPr="0037779D">
        <w:t xml:space="preserve"> spatial autocorrelation (small </w:t>
      </w:r>
      <w:r w:rsidRPr="00F01C7C">
        <w:rPr>
          <w:i/>
          <w:iCs/>
        </w:rPr>
        <w:t>ρ</w:t>
      </w:r>
      <w:r w:rsidRPr="0037779D">
        <w:t xml:space="preserve"> values) consistently exhibited higher prediction error </w:t>
      </w:r>
      <w:r>
        <w:t>(</w:t>
      </w:r>
      <w:r w:rsidRPr="00F01C7C">
        <w:rPr>
          <w:i/>
          <w:iCs/>
          <w:lang w:val="el-GR"/>
        </w:rPr>
        <w:t>ε</w:t>
      </w:r>
      <w:r w:rsidRPr="00F01C7C">
        <w:rPr>
          <w:i/>
          <w:iCs/>
          <w:vertAlign w:val="subscript"/>
        </w:rPr>
        <w:t>1</w:t>
      </w:r>
      <w:r>
        <w:t>)</w:t>
      </w:r>
      <w:r w:rsidRPr="0037779D">
        <w:t xml:space="preserve"> across all sampling densities, whereas species with </w:t>
      </w:r>
      <w:r>
        <w:t xml:space="preserve">wider </w:t>
      </w:r>
      <w:r w:rsidRPr="0037779D">
        <w:t xml:space="preserve">spatial autocorrelation structures (e.g., ρ </w:t>
      </w:r>
      <w:r>
        <w:t>&gt;</w:t>
      </w:r>
      <w:r w:rsidRPr="0037779D">
        <w:t xml:space="preserve"> 500 km) showed substantially lower </w:t>
      </w:r>
      <w:r>
        <w:t xml:space="preserve">prediction </w:t>
      </w:r>
      <w:r w:rsidRPr="0037779D">
        <w:t>errors</w:t>
      </w:r>
      <w:r>
        <w:t xml:space="preserve"> (</w:t>
      </w:r>
      <w:r w:rsidRPr="00F01C7C">
        <w:rPr>
          <w:i/>
          <w:iCs/>
          <w:lang w:val="el-GR"/>
        </w:rPr>
        <w:t>ε</w:t>
      </w:r>
      <w:r w:rsidRPr="00F01C7C">
        <w:rPr>
          <w:i/>
          <w:iCs/>
          <w:vertAlign w:val="subscript"/>
        </w:rPr>
        <w:t>1</w:t>
      </w:r>
      <w:r>
        <w:t>)</w:t>
      </w:r>
      <w:r w:rsidRPr="0037779D">
        <w:t xml:space="preserve"> even under comparatively sparse sampling regimes. Although increased sampling effort reduced error for all species</w:t>
      </w:r>
      <w:r>
        <w:t xml:space="preserve"> (with varying degrees of spatial autocorrelation)</w:t>
      </w:r>
      <w:r w:rsidRPr="0037779D">
        <w:t xml:space="preserve">, patchily distributed taxa retained a persistently higher </w:t>
      </w:r>
      <w:r>
        <w:t xml:space="preserve">prediction </w:t>
      </w:r>
      <w:r w:rsidRPr="0037779D">
        <w:t>error</w:t>
      </w:r>
      <w:r>
        <w:t xml:space="preserve"> (</w:t>
      </w:r>
      <w:r w:rsidRPr="00F01C7C">
        <w:rPr>
          <w:i/>
          <w:iCs/>
          <w:lang w:val="el-GR"/>
        </w:rPr>
        <w:t>ε</w:t>
      </w:r>
      <w:r w:rsidRPr="00F01C7C">
        <w:rPr>
          <w:i/>
          <w:iCs/>
          <w:vertAlign w:val="subscript"/>
        </w:rPr>
        <w:t>1</w:t>
      </w:r>
      <w:r>
        <w:t>)</w:t>
      </w:r>
      <w:r w:rsidR="00E2699F">
        <w:t>.</w:t>
      </w:r>
    </w:p>
    <w:p w14:paraId="7CE0B8A1" w14:textId="77777777" w:rsidR="0037779D" w:rsidRDefault="0037779D" w:rsidP="001643E6">
      <w:pPr>
        <w:pStyle w:val="BodyText"/>
        <w:spacing w:line="480" w:lineRule="auto"/>
      </w:pPr>
    </w:p>
    <w:p w14:paraId="048035D4" w14:textId="02C2AFC5" w:rsidR="00CA5D0F" w:rsidRPr="003D6E81" w:rsidRDefault="00CA5D0F" w:rsidP="001643E6">
      <w:pPr>
        <w:pStyle w:val="BodyText"/>
        <w:spacing w:line="480" w:lineRule="auto"/>
        <w:rPr>
          <w:b/>
          <w:bCs w:val="0"/>
        </w:rPr>
      </w:pPr>
      <w:bookmarkStart w:id="15" w:name="OLE_LINK8"/>
      <w:r w:rsidRPr="003D6E81">
        <w:rPr>
          <w:b/>
          <w:bCs w:val="0"/>
        </w:rPr>
        <w:t>Simulations</w:t>
      </w:r>
    </w:p>
    <w:p w14:paraId="4D52A2D2" w14:textId="2DA3BBCC" w:rsidR="0070789F" w:rsidRPr="00120DF0" w:rsidRDefault="00D51BF3" w:rsidP="001643E6">
      <w:pPr>
        <w:pStyle w:val="BodyText"/>
        <w:spacing w:line="480" w:lineRule="auto"/>
      </w:pPr>
      <w:r>
        <w:t xml:space="preserve">Prediction error </w:t>
      </w:r>
      <w:r w:rsidR="003D32D9">
        <w:t xml:space="preserve">in simulation data </w:t>
      </w:r>
      <w:r>
        <w:t>(</w:t>
      </w:r>
      <w:r w:rsidRPr="00246E74">
        <w:rPr>
          <w:i/>
          <w:iCs/>
          <w:lang w:val="el-GR"/>
        </w:rPr>
        <w:t>ε</w:t>
      </w:r>
      <w:r w:rsidR="003D32D9" w:rsidRPr="003D32D9">
        <w:rPr>
          <w:i/>
          <w:iCs/>
          <w:vertAlign w:val="subscript"/>
        </w:rPr>
        <w:t>2</w:t>
      </w:r>
      <w:r>
        <w:t>)</w:t>
      </w:r>
      <w:r w:rsidR="00D04708">
        <w:t xml:space="preserve"> </w:t>
      </w:r>
      <w:r w:rsidR="0073265F">
        <w:t>decreased</w:t>
      </w:r>
      <w:r w:rsidR="00870E33">
        <w:t xml:space="preserve"> non-linearly</w:t>
      </w:r>
      <w:r w:rsidR="00D04708">
        <w:t xml:space="preserve"> with </w:t>
      </w:r>
      <w:r w:rsidR="00A81B3C">
        <w:t>increasing</w:t>
      </w:r>
      <w:r w:rsidR="00D04708">
        <w:t xml:space="preserve"> sampling effort and with higher spatial autocorrelation</w:t>
      </w:r>
      <w:r w:rsidR="004F5128">
        <w:t xml:space="preserve"> (Figure</w:t>
      </w:r>
      <w:r w:rsidR="00BD04AF">
        <w:t xml:space="preserve"> 4A</w:t>
      </w:r>
      <w:r w:rsidR="004F5128">
        <w:t>)</w:t>
      </w:r>
      <w:r w:rsidR="002B096B">
        <w:t>.</w:t>
      </w:r>
      <w:r w:rsidR="00672D69">
        <w:t xml:space="preserve"> </w:t>
      </w:r>
      <w:r w:rsidR="00FF27F4" w:rsidRPr="00FF27F4">
        <w:t xml:space="preserve">These patterns were supported by a log–log linear model </w:t>
      </w:r>
      <w:r w:rsidR="004F5128">
        <w:t>where the prediction error (</w:t>
      </w:r>
      <w:r w:rsidR="004F5128" w:rsidRPr="00246E74">
        <w:rPr>
          <w:i/>
          <w:iCs/>
          <w:lang w:val="el-GR"/>
        </w:rPr>
        <w:t>ε</w:t>
      </w:r>
      <w:r w:rsidR="004F5128">
        <w:t>) de</w:t>
      </w:r>
      <w:r w:rsidR="007620D2">
        <w:t xml:space="preserve">creased exponentially for every exponential increase in sampling density </w:t>
      </w:r>
      <w:r w:rsidR="00BA4360" w:rsidRPr="00BA4360">
        <w:t>(</w:t>
      </w:r>
      <w:r w:rsidR="00BE214C" w:rsidRPr="009B6E03">
        <w:rPr>
          <w:i/>
          <w:iCs/>
          <w:lang w:val="el-GR"/>
        </w:rPr>
        <w:t>β</w:t>
      </w:r>
      <w:r w:rsidR="00BE214C">
        <w:rPr>
          <w:lang w:val="el-GR"/>
        </w:rPr>
        <w:t xml:space="preserve"> =</w:t>
      </w:r>
      <w:r w:rsidR="00BA4360">
        <w:t xml:space="preserve"> </w:t>
      </w:r>
      <w:r w:rsidR="00BA4360" w:rsidRPr="00BA4360">
        <w:t>-0.176) and spatial autocorrelation (</w:t>
      </w:r>
      <w:r w:rsidR="00BA4360" w:rsidRPr="009B6E03">
        <w:rPr>
          <w:i/>
          <w:iCs/>
          <w:lang w:val="el-GR"/>
        </w:rPr>
        <w:t>θ</w:t>
      </w:r>
      <w:r w:rsidR="00BA4360">
        <w:rPr>
          <w:lang w:val="el-GR"/>
        </w:rPr>
        <w:t xml:space="preserve"> </w:t>
      </w:r>
      <w:r w:rsidR="00BA4360" w:rsidRPr="00BA4360">
        <w:t>=</w:t>
      </w:r>
      <w:r w:rsidR="00BA4360">
        <w:rPr>
          <w:lang w:val="el-GR"/>
        </w:rPr>
        <w:t xml:space="preserve"> </w:t>
      </w:r>
      <w:r w:rsidR="00BA4360" w:rsidRPr="00BA4360">
        <w:t>-0.228), with an additional negative interaction (</w:t>
      </w:r>
      <w:r w:rsidR="00BA4360">
        <w:rPr>
          <w:lang w:val="el-GR"/>
        </w:rPr>
        <w:t xml:space="preserve">γ </w:t>
      </w:r>
      <w:r w:rsidR="00BA4360" w:rsidRPr="00BA4360">
        <w:t>=</w:t>
      </w:r>
      <w:r w:rsidR="00BA4360">
        <w:rPr>
          <w:lang w:val="el-GR"/>
        </w:rPr>
        <w:t xml:space="preserve"> </w:t>
      </w:r>
      <w:r w:rsidR="00BA4360" w:rsidRPr="00BA4360">
        <w:t>-0.0684)</w:t>
      </w:r>
      <w:r w:rsidR="00BA4360">
        <w:t xml:space="preserve"> and </w:t>
      </w:r>
      <w:r w:rsidR="00BC7C75" w:rsidRPr="00BC7C75">
        <w:t xml:space="preserve">with an intercept of </w:t>
      </w:r>
      <w:r w:rsidR="00445021">
        <w:rPr>
          <w:i/>
          <w:iCs/>
          <w:lang w:val="el-GR"/>
        </w:rPr>
        <w:t>ω</w:t>
      </w:r>
      <w:r w:rsidR="00BC7C75" w:rsidRPr="00BC7C75">
        <w:t xml:space="preserve"> = 1.65 (i.e., </w:t>
      </w:r>
      <w:r w:rsidR="00BC7C75" w:rsidRPr="009B6E03">
        <w:rPr>
          <w:i/>
          <w:iCs/>
        </w:rPr>
        <w:t>ε</w:t>
      </w:r>
      <w:r w:rsidR="00BC7C75" w:rsidRPr="00BC7C75">
        <w:t xml:space="preserve"> = 5.2 when </w:t>
      </w:r>
      <w:r w:rsidR="009B6E03" w:rsidRPr="009B6E03">
        <w:rPr>
          <w:i/>
          <w:iCs/>
        </w:rPr>
        <w:t>E</w:t>
      </w:r>
      <w:r w:rsidR="00BC7C75" w:rsidRPr="00BC7C75">
        <w:t xml:space="preserve"> and </w:t>
      </w:r>
      <w:r w:rsidR="009B6E03" w:rsidRPr="009B6E03">
        <w:rPr>
          <w:i/>
          <w:iCs/>
          <w:lang w:val="el-GR"/>
        </w:rPr>
        <w:t>ρ</w:t>
      </w:r>
      <w:r w:rsidR="00BC7C75" w:rsidRPr="00BC7C75">
        <w:t xml:space="preserve"> = 1)</w:t>
      </w:r>
      <w:r w:rsidR="00BC7C75">
        <w:rPr>
          <w:lang w:val="el-GR"/>
        </w:rPr>
        <w:t xml:space="preserve">. </w:t>
      </w:r>
      <w:r w:rsidR="00D04708">
        <w:t xml:space="preserve">For instance, at a sampling </w:t>
      </w:r>
      <w:r w:rsidR="007E69B6">
        <w:t>intensity</w:t>
      </w:r>
      <w:r w:rsidR="00D04708">
        <w:t xml:space="preserve"> of </w:t>
      </w:r>
      <w:r w:rsidR="000B354D">
        <w:t>6</w:t>
      </w:r>
      <w:r w:rsidR="00D04708">
        <w:t xml:space="preserve"> </w:t>
      </w:r>
      <w:r w:rsidR="000B354D">
        <w:t xml:space="preserve">samples per </w:t>
      </w:r>
      <w:r w:rsidR="000409FF">
        <w:t>10,000 km</w:t>
      </w:r>
      <w:r w:rsidR="000409FF" w:rsidRPr="000409FF">
        <w:rPr>
          <w:vertAlign w:val="superscript"/>
        </w:rPr>
        <w:t>2</w:t>
      </w:r>
      <w:r w:rsidR="00D04708">
        <w:t xml:space="preserve">, species with spatial autocorrelation values of </w:t>
      </w:r>
      <w:r w:rsidR="00627E69">
        <w:t>50</w:t>
      </w:r>
      <w:r w:rsidR="00310F24">
        <w:t xml:space="preserve"> </w:t>
      </w:r>
      <w:r w:rsidR="00D04708">
        <w:t xml:space="preserve">km had mean prediction errors of 1 </w:t>
      </w:r>
      <w:r w:rsidR="009A229D">
        <w:t xml:space="preserve">(Figure </w:t>
      </w:r>
      <w:r w:rsidR="00BD04AF">
        <w:t>4</w:t>
      </w:r>
      <w:r w:rsidR="009A229D">
        <w:t xml:space="preserve">A) </w:t>
      </w:r>
      <w:r w:rsidR="00D04708">
        <w:t xml:space="preserve">indicating that on average every point predicted the eDNA concentration will </w:t>
      </w:r>
      <w:r w:rsidR="00B47A6E">
        <w:t>d</w:t>
      </w:r>
      <w:r w:rsidR="00B47A6E" w:rsidRPr="00B47A6E">
        <w:t xml:space="preserve">iffer from the </w:t>
      </w:r>
      <w:r w:rsidR="00B47A6E">
        <w:t xml:space="preserve">predicted </w:t>
      </w:r>
      <w:r w:rsidR="00B47A6E" w:rsidRPr="00B47A6E">
        <w:t>true concentration</w:t>
      </w:r>
      <w:r w:rsidR="00B47A6E">
        <w:rPr>
          <w:lang w:val="el-GR"/>
        </w:rPr>
        <w:t xml:space="preserve"> </w:t>
      </w:r>
      <w:r w:rsidR="00B47A6E">
        <w:t>(</w:t>
      </w:r>
      <w:r w:rsidR="00B47A6E" w:rsidRPr="00B47A6E">
        <w:rPr>
          <w:i/>
          <w:iCs/>
        </w:rPr>
        <w:t>Z</w:t>
      </w:r>
      <w:r w:rsidR="00B47A6E">
        <w:t xml:space="preserve">) </w:t>
      </w:r>
      <w:r w:rsidR="00D04708">
        <w:t>by a factor of 2.72 (for perspective a concentration of 100 copies/L will be predicted between 37-270 copies/L</w:t>
      </w:r>
      <w:r w:rsidR="003546AC">
        <w:t xml:space="preserve">; </w:t>
      </w:r>
      <w:r w:rsidR="00982787">
        <w:t xml:space="preserve">Appendix S1: </w:t>
      </w:r>
      <w:r w:rsidR="003546AC">
        <w:t>Figure S3</w:t>
      </w:r>
      <w:r w:rsidR="00D04708">
        <w:t xml:space="preserve">). In contrast, for the same sampling effort (i.e., </w:t>
      </w:r>
      <w:r w:rsidR="006E4E43">
        <w:t>6 samples per 10,000 km</w:t>
      </w:r>
      <w:r w:rsidR="006E4E43" w:rsidRPr="000409FF">
        <w:rPr>
          <w:vertAlign w:val="superscript"/>
        </w:rPr>
        <w:t>2</w:t>
      </w:r>
      <w:r w:rsidR="00D04708">
        <w:t xml:space="preserve">) but species with spatial autocorrelation </w:t>
      </w:r>
      <w:r w:rsidR="00310F24" w:rsidRPr="009A5D04">
        <w:rPr>
          <w:i/>
          <w:iCs/>
          <w:lang w:val="el-GR"/>
        </w:rPr>
        <w:t>ρ</w:t>
      </w:r>
      <w:r w:rsidR="00D04708">
        <w:t xml:space="preserve"> </w:t>
      </w:r>
      <w:r w:rsidR="00310F24">
        <w:t xml:space="preserve">&gt; </w:t>
      </w:r>
      <w:r w:rsidR="00D04708">
        <w:t>500 km had errors below 0.</w:t>
      </w:r>
      <w:r w:rsidR="00746B91">
        <w:t>4</w:t>
      </w:r>
      <w:r w:rsidR="00D04708">
        <w:t xml:space="preserve"> indicating an average of over- and underestimation by a factor of 1.</w:t>
      </w:r>
      <w:r w:rsidR="00160297">
        <w:t>5</w:t>
      </w:r>
      <w:r w:rsidR="006C1A9C">
        <w:t xml:space="preserve"> </w:t>
      </w:r>
      <w:r w:rsidR="00D04708">
        <w:t xml:space="preserve">(for perspective a concentration of 100 copies/L will be predicted between </w:t>
      </w:r>
      <w:r w:rsidR="009E4EA7">
        <w:t>67</w:t>
      </w:r>
      <w:r w:rsidR="00D04708">
        <w:t>-1</w:t>
      </w:r>
      <w:r w:rsidR="00B677ED">
        <w:t>50</w:t>
      </w:r>
      <w:r w:rsidR="00D04708">
        <w:t xml:space="preserve"> copies/L</w:t>
      </w:r>
      <w:r w:rsidR="00102D80">
        <w:t xml:space="preserve">; </w:t>
      </w:r>
      <w:r w:rsidR="00982787">
        <w:t xml:space="preserve">Appendix S1: </w:t>
      </w:r>
      <w:r w:rsidR="00102D80">
        <w:t>Figure S3</w:t>
      </w:r>
      <w:r w:rsidR="00D04708">
        <w:t>).</w:t>
      </w:r>
      <w:r w:rsidR="00CA06F2" w:rsidRPr="00CA06F2">
        <w:t xml:space="preserve"> </w:t>
      </w:r>
      <w:r w:rsidR="005D2998" w:rsidRPr="005D2998">
        <w:t>When quantifying the marginal reduction in prediction error (Δ</w:t>
      </w:r>
      <w:r w:rsidR="00E026B7" w:rsidRPr="00424C45">
        <w:rPr>
          <w:i/>
          <w:iCs/>
          <w:lang w:val="el-GR"/>
        </w:rPr>
        <w:t>ε</w:t>
      </w:r>
      <w:r w:rsidR="00EA5440" w:rsidRPr="00424C45">
        <w:rPr>
          <w:i/>
          <w:iCs/>
          <w:vertAlign w:val="subscript"/>
        </w:rPr>
        <w:t>2</w:t>
      </w:r>
      <w:r w:rsidR="005D2998" w:rsidRPr="005D2998">
        <w:t>) across successive increases in sampling density (Δ</w:t>
      </w:r>
      <w:r w:rsidR="008C779D" w:rsidRPr="00B07B64">
        <w:rPr>
          <w:i/>
          <w:iCs/>
        </w:rPr>
        <w:t>E</w:t>
      </w:r>
      <w:r w:rsidR="005D2998" w:rsidRPr="005D2998">
        <w:t xml:space="preserve">), improvements were greatest at low sampling effort and declined rapidly with additional </w:t>
      </w:r>
      <w:r w:rsidR="005D2998" w:rsidRPr="005D2998">
        <w:lastRenderedPageBreak/>
        <w:t>sampling, with Δ</w:t>
      </w:r>
      <w:r w:rsidR="00EA5440" w:rsidRPr="00424C45">
        <w:rPr>
          <w:i/>
          <w:iCs/>
          <w:lang w:val="el-GR"/>
        </w:rPr>
        <w:t>ε</w:t>
      </w:r>
      <w:r w:rsidR="00EA5440" w:rsidRPr="00424C45">
        <w:rPr>
          <w:i/>
          <w:iCs/>
          <w:vertAlign w:val="subscript"/>
        </w:rPr>
        <w:t>2</w:t>
      </w:r>
      <w:r w:rsidR="005D2998" w:rsidRPr="005D2998">
        <w:t xml:space="preserve"> approaching zero at higher sampling densities (Figure </w:t>
      </w:r>
      <w:r w:rsidR="00BD04AF">
        <w:t>4</w:t>
      </w:r>
      <w:r w:rsidR="005D2998" w:rsidRPr="005D2998">
        <w:t xml:space="preserve">B). Marginal gains effectively plateaued when sampling </w:t>
      </w:r>
      <w:r w:rsidR="00DF0185">
        <w:t>effort</w:t>
      </w:r>
      <w:r w:rsidR="005D2998" w:rsidRPr="005D2998">
        <w:t xml:space="preserve"> increased </w:t>
      </w:r>
      <w:r w:rsidR="00823944">
        <w:t>above</w:t>
      </w:r>
      <w:r w:rsidR="005D2998" w:rsidRPr="005D2998">
        <w:t xml:space="preserve"> </w:t>
      </w:r>
      <w:r w:rsidR="00823944">
        <w:t>10</w:t>
      </w:r>
      <w:r w:rsidR="005D2998" w:rsidRPr="005D2998">
        <w:t xml:space="preserve"> samples per 10,000 km</w:t>
      </w:r>
      <w:r w:rsidR="00CE0B77" w:rsidRPr="00CE0B77">
        <w:rPr>
          <w:vertAlign w:val="superscript"/>
        </w:rPr>
        <w:t>2</w:t>
      </w:r>
      <w:r w:rsidR="00141D37">
        <w:t xml:space="preserve">, depending on the </w:t>
      </w:r>
      <w:r w:rsidR="00141D37" w:rsidRPr="00141D37">
        <w:rPr>
          <w:i/>
          <w:iCs/>
          <w:lang w:val="el-GR"/>
        </w:rPr>
        <w:t>ρ</w:t>
      </w:r>
      <w:r w:rsidR="00141D37">
        <w:t xml:space="preserve"> </w:t>
      </w:r>
      <w:r w:rsidR="005D2998" w:rsidRPr="005D2998">
        <w:t xml:space="preserve">(Figure </w:t>
      </w:r>
      <w:r w:rsidR="00BD04AF">
        <w:t>4</w:t>
      </w:r>
      <w:r>
        <w:t xml:space="preserve">B). </w:t>
      </w:r>
      <w:r w:rsidR="00B60B57" w:rsidRPr="00B60B57">
        <w:t>Importantly, diagnostic checks revealed no systematic bias in the predictions</w:t>
      </w:r>
      <w:r w:rsidR="00B60B57">
        <w:t xml:space="preserve">, </w:t>
      </w:r>
      <w:r w:rsidR="00B60B57" w:rsidRPr="00B60B57">
        <w:t xml:space="preserve">so the observed variation reflects pure precision, </w:t>
      </w:r>
      <w:r w:rsidR="00B60B57">
        <w:t>(</w:t>
      </w:r>
      <w:r w:rsidR="00322184">
        <w:t xml:space="preserve">Appendix S1: </w:t>
      </w:r>
      <w:r w:rsidR="00B60B57" w:rsidRPr="00B60B57">
        <w:t>Figure S</w:t>
      </w:r>
      <w:r w:rsidR="00326E80">
        <w:t>4</w:t>
      </w:r>
      <w:r w:rsidR="00B60B57">
        <w:t>).</w:t>
      </w:r>
      <w:r w:rsidR="004907A7">
        <w:t xml:space="preserve"> </w:t>
      </w:r>
      <w:r w:rsidR="0070789F" w:rsidRPr="0070789F">
        <w:t>For interpretative purposes,</w:t>
      </w:r>
      <w:r w:rsidR="00120DF0" w:rsidRPr="00120DF0">
        <w:t xml:space="preserve"> we adopt an arbitrary threshold of </w:t>
      </w:r>
      <w:r w:rsidR="00120DF0">
        <w:rPr>
          <w:lang w:val="el-GR"/>
        </w:rPr>
        <w:t>Δ</w:t>
      </w:r>
      <w:r w:rsidR="00120DF0" w:rsidRPr="00CE4515">
        <w:rPr>
          <w:i/>
          <w:iCs/>
          <w:lang w:val="el-GR"/>
        </w:rPr>
        <w:t>ε</w:t>
      </w:r>
      <w:r w:rsidR="00120DF0" w:rsidRPr="00120DF0">
        <w:rPr>
          <w:vertAlign w:val="subscript"/>
        </w:rPr>
        <w:t>2</w:t>
      </w:r>
      <w:r w:rsidR="00CE4515">
        <w:t>/</w:t>
      </w:r>
      <w:r w:rsidR="00CE4515">
        <w:rPr>
          <w:lang w:val="el-GR"/>
        </w:rPr>
        <w:t>Δ</w:t>
      </w:r>
      <w:r w:rsidR="00CE4515" w:rsidRPr="00CE4515">
        <w:rPr>
          <w:i/>
          <w:iCs/>
        </w:rPr>
        <w:t>E</w:t>
      </w:r>
      <w:r w:rsidR="00120DF0">
        <w:rPr>
          <w:vertAlign w:val="subscript"/>
        </w:rPr>
        <w:t xml:space="preserve"> </w:t>
      </w:r>
      <w:r w:rsidR="00120DF0">
        <w:t xml:space="preserve">= </w:t>
      </w:r>
      <w:r w:rsidR="008B2811">
        <w:t>-</w:t>
      </w:r>
      <w:r w:rsidR="00120DF0">
        <w:t>0.05</w:t>
      </w:r>
      <w:r w:rsidR="006B3B7F" w:rsidRPr="006B3B7F">
        <w:t xml:space="preserve"> to denote negligible marginal gains</w:t>
      </w:r>
      <w:r w:rsidR="006B3B7F">
        <w:t xml:space="preserve">. However, </w:t>
      </w:r>
      <w:r w:rsidR="006B3B7F" w:rsidRPr="006B3B7F">
        <w:t>this value is arbitrary and may be redefined according to study-specific accuracy requirements.</w:t>
      </w:r>
    </w:p>
    <w:bookmarkEnd w:id="15"/>
    <w:p w14:paraId="6563C49B" w14:textId="156EA541" w:rsidR="00AA1EA2" w:rsidRPr="00627C7B" w:rsidRDefault="00D57033" w:rsidP="001643E6">
      <w:pPr>
        <w:pStyle w:val="BodyText"/>
        <w:spacing w:line="480" w:lineRule="auto"/>
      </w:pPr>
      <w:r>
        <w:rPr>
          <w:noProof/>
        </w:rPr>
        <w:drawing>
          <wp:inline distT="0" distB="0" distL="0" distR="0" wp14:anchorId="50C67066" wp14:editId="559EAD52">
            <wp:extent cx="5943600" cy="3566160"/>
            <wp:effectExtent l="0" t="0" r="0" b="2540"/>
            <wp:docPr id="64082724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827247" name="Picture 64082724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3566160"/>
                    </a:xfrm>
                    <a:prstGeom prst="rect">
                      <a:avLst/>
                    </a:prstGeom>
                  </pic:spPr>
                </pic:pic>
              </a:graphicData>
            </a:graphic>
          </wp:inline>
        </w:drawing>
      </w:r>
    </w:p>
    <w:p w14:paraId="3F7A61B3" w14:textId="5A916D59" w:rsidR="00AA1EA2" w:rsidRPr="00693712" w:rsidRDefault="00AA1EA2" w:rsidP="001643E6">
      <w:pPr>
        <w:pStyle w:val="ImageCaption"/>
        <w:spacing w:after="0" w:line="480" w:lineRule="auto"/>
      </w:pPr>
      <w:r w:rsidRPr="00693712">
        <w:t xml:space="preserve">Figure </w:t>
      </w:r>
      <w:r w:rsidR="00641A2C">
        <w:t>4</w:t>
      </w:r>
      <w:r w:rsidR="00DC0E83">
        <w:t>.</w:t>
      </w:r>
      <w:r w:rsidRPr="00693712">
        <w:t xml:space="preserve"> </w:t>
      </w:r>
      <w:r w:rsidR="00EA6850">
        <w:t xml:space="preserve">Estimated </w:t>
      </w:r>
      <w:r w:rsidRPr="00693712">
        <w:t>prediction error (</w:t>
      </w:r>
      <w:r w:rsidR="006C4969" w:rsidRPr="00693712">
        <w:rPr>
          <w:lang w:val="el-GR"/>
        </w:rPr>
        <w:t>ε</w:t>
      </w:r>
      <w:r w:rsidR="00F11138" w:rsidRPr="00F11138">
        <w:rPr>
          <w:vertAlign w:val="subscript"/>
        </w:rPr>
        <w:t>2</w:t>
      </w:r>
      <w:r w:rsidRPr="00693712">
        <w:t>) across sampling-effort scenarios (</w:t>
      </w:r>
      <w:r w:rsidR="004850D9">
        <w:t xml:space="preserve">E; </w:t>
      </w:r>
      <w:r w:rsidRPr="00693712">
        <w:t xml:space="preserve">indicated by </w:t>
      </w:r>
      <w:r w:rsidR="004850D9">
        <w:t>sampling density in 100x100 km grid</w:t>
      </w:r>
      <w:r w:rsidRPr="00693712">
        <w:t>) for simulated datasets</w:t>
      </w:r>
      <w:r w:rsidR="009C7DED" w:rsidRPr="009C7DED">
        <w:t xml:space="preserve"> </w:t>
      </w:r>
      <w:r w:rsidR="00380BDE">
        <w:t>(A)</w:t>
      </w:r>
      <w:r w:rsidR="00427EAF">
        <w:t xml:space="preserve"> across various spatial autocorrelation</w:t>
      </w:r>
      <w:r w:rsidR="00C50719">
        <w:t xml:space="preserve"> values (indicated in colors)</w:t>
      </w:r>
      <w:r w:rsidR="00380BDE">
        <w:t>.</w:t>
      </w:r>
      <w:r w:rsidR="00380BDE" w:rsidRPr="00380BDE">
        <w:t xml:space="preserve"> Points represent individual simulation outcomes, while solid lines denote the corresponding mean trends across replicates</w:t>
      </w:r>
      <w:r w:rsidR="00380BDE">
        <w:t xml:space="preserve">. </w:t>
      </w:r>
      <w:r w:rsidR="00761B11" w:rsidRPr="00693712">
        <w:t xml:space="preserve">Marginal improvement </w:t>
      </w:r>
      <w:r w:rsidR="00A40769" w:rsidRPr="00693712">
        <w:t xml:space="preserve">(B) </w:t>
      </w:r>
      <w:r w:rsidR="00761B11" w:rsidRPr="00693712">
        <w:t>in prediction performance (</w:t>
      </w:r>
      <w:r w:rsidR="00300B06">
        <w:t xml:space="preserve">quantified as the change in error - </w:t>
      </w:r>
      <w:r w:rsidR="00761B11" w:rsidRPr="00693712">
        <w:rPr>
          <w:lang w:val="el-GR"/>
        </w:rPr>
        <w:t>Δ</w:t>
      </w:r>
      <w:r w:rsidR="009D2805" w:rsidRPr="00693712">
        <w:rPr>
          <w:lang w:val="el-GR"/>
        </w:rPr>
        <w:t>ε</w:t>
      </w:r>
      <w:r w:rsidR="00A93D6C" w:rsidRPr="00A93D6C">
        <w:rPr>
          <w:vertAlign w:val="subscript"/>
        </w:rPr>
        <w:t>2</w:t>
      </w:r>
      <w:r w:rsidR="00761B11" w:rsidRPr="00693712">
        <w:t>) across successive increases in sampling densit</w:t>
      </w:r>
      <w:r w:rsidR="003261F1" w:rsidRPr="00693712">
        <w:t>ies</w:t>
      </w:r>
      <w:r w:rsidR="00E422D2" w:rsidRPr="00693712">
        <w:t xml:space="preserve"> (</w:t>
      </w:r>
      <w:r w:rsidR="00E422D2" w:rsidRPr="00693712">
        <w:rPr>
          <w:lang w:val="el-GR"/>
        </w:rPr>
        <w:t>Δ</w:t>
      </w:r>
      <w:r w:rsidR="00F11138">
        <w:t>E</w:t>
      </w:r>
      <w:r w:rsidR="00E422D2" w:rsidRPr="00693712">
        <w:t xml:space="preserve"> = 1)</w:t>
      </w:r>
      <w:r w:rsidR="00B44DC5">
        <w:t xml:space="preserve"> where </w:t>
      </w:r>
      <w:r w:rsidR="007227C3">
        <w:t>e</w:t>
      </w:r>
      <w:r w:rsidR="007227C3" w:rsidRPr="007227C3">
        <w:t xml:space="preserve">ach point represents the marginal change at the midpoint of a unit interval (e.g., E = 1.5 reflects the </w:t>
      </w:r>
      <w:r w:rsidR="007227C3" w:rsidRPr="007227C3">
        <w:lastRenderedPageBreak/>
        <w:t>change from E = 1 to E = 2), with lines connecting successive points</w:t>
      </w:r>
      <w:r w:rsidR="00A93D6C">
        <w:t xml:space="preserve">. Due to </w:t>
      </w:r>
      <w:r w:rsidR="006841C3">
        <w:t xml:space="preserve">the </w:t>
      </w:r>
      <w:r w:rsidR="00C816CB">
        <w:t>discrete</w:t>
      </w:r>
      <w:r w:rsidR="006841C3">
        <w:t xml:space="preserve"> intervals </w:t>
      </w:r>
      <w:r w:rsidR="00C816CB">
        <w:t>of</w:t>
      </w:r>
      <w:r w:rsidR="00A93D6C">
        <w:t xml:space="preserve"> sampling effort </w:t>
      </w:r>
      <w:r w:rsidR="00C816CB">
        <w:t xml:space="preserve">in simulations, </w:t>
      </w:r>
      <w:r w:rsidR="00E36023">
        <w:t>the lines in panel B are predicted</w:t>
      </w:r>
      <w:r w:rsidR="00F82B88">
        <w:t xml:space="preserve"> form the </w:t>
      </w:r>
      <w:r w:rsidR="00E36023">
        <w:t>fitted</w:t>
      </w:r>
      <w:r w:rsidR="00F82B88">
        <w:t xml:space="preserve"> model</w:t>
      </w:r>
      <w:r w:rsidR="00E36023">
        <w:t xml:space="preserve"> in</w:t>
      </w:r>
      <w:r w:rsidR="00F82B88">
        <w:t xml:space="preserve"> Eq</w:t>
      </w:r>
      <w:r w:rsidR="0065718E">
        <w:t>.</w:t>
      </w:r>
      <w:r w:rsidR="00F82B88">
        <w:t xml:space="preserve"> 6</w:t>
      </w:r>
      <w:r w:rsidR="00E36023">
        <w:t xml:space="preserve"> (</w:t>
      </w:r>
      <w:r w:rsidR="0065718E" w:rsidRPr="0065718E">
        <w:t xml:space="preserve">see </w:t>
      </w:r>
      <w:r w:rsidR="00322184">
        <w:t xml:space="preserve">Appendix S1: </w:t>
      </w:r>
      <w:r w:rsidR="0065718E" w:rsidRPr="0065718E">
        <w:t>Figure</w:t>
      </w:r>
      <w:r w:rsidR="00851ACE">
        <w:t xml:space="preserve"> S5</w:t>
      </w:r>
      <w:r w:rsidR="0065718E" w:rsidRPr="0065718E">
        <w:t xml:space="preserve"> for model fit diagnostics</w:t>
      </w:r>
      <w:r w:rsidR="00B7618B">
        <w:t>)</w:t>
      </w:r>
      <w:r w:rsidR="0065718E">
        <w:t>.</w:t>
      </w:r>
      <w:r w:rsidR="00B95FFB">
        <w:t xml:space="preserve">The dashed </w:t>
      </w:r>
      <w:r w:rsidR="004E507D">
        <w:t xml:space="preserve">grey horizontal </w:t>
      </w:r>
      <w:r w:rsidR="00B95FFB">
        <w:t xml:space="preserve">line </w:t>
      </w:r>
      <w:r w:rsidR="009753F2">
        <w:t>indicates the arbitrary threshold (</w:t>
      </w:r>
      <w:r w:rsidR="009753F2">
        <w:rPr>
          <w:lang w:val="el-GR"/>
        </w:rPr>
        <w:t>Δε</w:t>
      </w:r>
      <w:r w:rsidR="009753F2" w:rsidRPr="00120DF0">
        <w:rPr>
          <w:vertAlign w:val="subscript"/>
        </w:rPr>
        <w:t>2</w:t>
      </w:r>
      <w:r w:rsidR="009753F2">
        <w:rPr>
          <w:vertAlign w:val="subscript"/>
        </w:rPr>
        <w:t xml:space="preserve"> </w:t>
      </w:r>
      <w:r w:rsidR="00CE4515">
        <w:t>/</w:t>
      </w:r>
      <w:r w:rsidR="00CE4515">
        <w:rPr>
          <w:lang w:val="el-GR"/>
        </w:rPr>
        <w:t>Δ</w:t>
      </w:r>
      <w:r w:rsidR="00CE4515">
        <w:t xml:space="preserve">E </w:t>
      </w:r>
      <w:r w:rsidR="009753F2">
        <w:t xml:space="preserve">= </w:t>
      </w:r>
      <w:r w:rsidR="008B2811">
        <w:t>-</w:t>
      </w:r>
      <w:r w:rsidR="009753F2">
        <w:t>0.05)</w:t>
      </w:r>
      <w:r w:rsidR="00CE4515">
        <w:t xml:space="preserve"> </w:t>
      </w:r>
      <w:r w:rsidR="00AC566A" w:rsidRPr="00AC566A">
        <w:t>at which additional sampling effort yields negligible improvements in prediction accuracy.</w:t>
      </w:r>
    </w:p>
    <w:p w14:paraId="0785055D" w14:textId="77777777" w:rsidR="00286ADA" w:rsidRDefault="00286ADA" w:rsidP="001643E6">
      <w:pPr>
        <w:pStyle w:val="ImageCaption"/>
        <w:spacing w:after="0" w:line="480" w:lineRule="auto"/>
        <w:rPr>
          <w:i w:val="0"/>
          <w:iCs/>
        </w:rPr>
      </w:pPr>
    </w:p>
    <w:p w14:paraId="478F4CC8" w14:textId="65EF8B8A" w:rsidR="007B0B48" w:rsidRPr="00450784" w:rsidRDefault="007B0B48" w:rsidP="001643E6">
      <w:pPr>
        <w:pStyle w:val="BodyText"/>
        <w:spacing w:line="480" w:lineRule="auto"/>
      </w:pPr>
      <w:r w:rsidRPr="000E028F">
        <w:rPr>
          <w:b/>
          <w:bCs w:val="0"/>
        </w:rPr>
        <w:t>GP parameter</w:t>
      </w:r>
      <w:r w:rsidRPr="00450784">
        <w:t xml:space="preserve"> </w:t>
      </w:r>
      <w:r w:rsidRPr="000E028F">
        <w:rPr>
          <w:b/>
          <w:bCs w:val="0"/>
        </w:rPr>
        <w:t>recovery</w:t>
      </w:r>
    </w:p>
    <w:p w14:paraId="6FEA0002" w14:textId="5A662FB4" w:rsidR="003F2203" w:rsidRDefault="00D366A8" w:rsidP="001643E6">
      <w:pPr>
        <w:pStyle w:val="p1"/>
        <w:spacing w:before="0" w:beforeAutospacing="0" w:after="0" w:afterAutospacing="0" w:line="480" w:lineRule="auto"/>
        <w:jc w:val="both"/>
      </w:pPr>
      <w:r>
        <w:t xml:space="preserve">Sampling effort </w:t>
      </w:r>
      <w:r w:rsidR="005F24BA">
        <w:t xml:space="preserve">and spatial autocorrelation </w:t>
      </w:r>
      <w:r>
        <w:t>strongly influenced the ability of the GP model to recover the parameters used to generate the simulated spatial fields (Figure 6). Estimation error for the depth-specific mean (</w:t>
      </w:r>
      <w:proofErr w:type="spellStart"/>
      <w:r w:rsidRPr="00127DFE">
        <w:rPr>
          <w:i/>
          <w:iCs/>
        </w:rPr>
        <w:t>μ</w:t>
      </w:r>
      <w:r w:rsidR="00127DFE" w:rsidRPr="00127DFE">
        <w:rPr>
          <w:i/>
          <w:iCs/>
          <w:vertAlign w:val="subscript"/>
        </w:rPr>
        <w:t>d</w:t>
      </w:r>
      <w:proofErr w:type="spellEnd"/>
      <w:r>
        <w:t xml:space="preserve">) decreased with increasing sampling density for </w:t>
      </w:r>
      <w:r w:rsidR="00023FE6">
        <w:t xml:space="preserve">simulated </w:t>
      </w:r>
      <w:r>
        <w:t xml:space="preserve">fields with </w:t>
      </w:r>
      <w:r w:rsidR="00023FE6">
        <w:t>small</w:t>
      </w:r>
      <w:r>
        <w:t xml:space="preserve"> spatial autocorrelation but showed the opposite pattern for fields with large spatial ranges (Figure </w:t>
      </w:r>
      <w:r w:rsidR="009B5D62">
        <w:t>5</w:t>
      </w:r>
      <w:r>
        <w:t xml:space="preserve">A). Specifically, </w:t>
      </w:r>
      <w:r w:rsidR="008A2B55" w:rsidRPr="001F3AA3">
        <w:rPr>
          <w:i/>
          <w:iCs/>
          <w:lang w:val="el-GR"/>
        </w:rPr>
        <w:t>τ</w:t>
      </w:r>
      <w:r>
        <w:t xml:space="preserve"> </w:t>
      </w:r>
      <w:r w:rsidR="000603A4">
        <w:t>(</w:t>
      </w:r>
      <w:r w:rsidR="00E428C6" w:rsidRPr="009F5EDA">
        <w:t>root mean squared error</w:t>
      </w:r>
      <w:r w:rsidR="00E428C6">
        <w:t xml:space="preserve"> between estimated and simulated</w:t>
      </w:r>
      <w:r w:rsidR="000603A4">
        <w:t xml:space="preserve">) </w:t>
      </w:r>
      <w:r>
        <w:t xml:space="preserve">for </w:t>
      </w:r>
      <w:proofErr w:type="spellStart"/>
      <w:r w:rsidRPr="004B70A0">
        <w:rPr>
          <w:i/>
          <w:iCs/>
        </w:rPr>
        <w:t>μ</w:t>
      </w:r>
      <w:r w:rsidR="00E428C6" w:rsidRPr="004B70A0">
        <w:rPr>
          <w:i/>
          <w:iCs/>
          <w:vertAlign w:val="subscript"/>
        </w:rPr>
        <w:t>d</w:t>
      </w:r>
      <w:proofErr w:type="spellEnd"/>
      <w:r>
        <w:t xml:space="preserve"> increased with sampling effort when spatial autocorrelation exceeded 400 km, indicating that mean estimates became increasingly biased in highly spatially structured fields.</w:t>
      </w:r>
      <w:r w:rsidR="002A75F7">
        <w:t xml:space="preserve"> Additionally, the r</w:t>
      </w:r>
      <w:r w:rsidR="007C0D45" w:rsidRPr="007C0D45">
        <w:t>ecovery of the spatial autocorrelation length-scale (</w:t>
      </w:r>
      <w:r w:rsidR="007C0D45" w:rsidRPr="00C73729">
        <w:rPr>
          <w:i/>
          <w:iCs/>
        </w:rPr>
        <w:t>ρ</w:t>
      </w:r>
      <w:r w:rsidR="007C0D45" w:rsidRPr="007C0D45">
        <w:t xml:space="preserve">) was highly sensitive to sampling density (Figure </w:t>
      </w:r>
      <w:r w:rsidR="009B5D62">
        <w:t>5</w:t>
      </w:r>
      <w:r w:rsidR="007C0D45" w:rsidRPr="007C0D45">
        <w:t xml:space="preserve">B). At low sampling </w:t>
      </w:r>
      <w:r w:rsidR="00C73729">
        <w:t>effort</w:t>
      </w:r>
      <w:r w:rsidR="007C0D45" w:rsidRPr="007C0D45">
        <w:t xml:space="preserve"> (</w:t>
      </w:r>
      <w:r w:rsidR="009B5D62">
        <w:rPr>
          <w:i/>
          <w:iCs/>
        </w:rPr>
        <w:t>E</w:t>
      </w:r>
      <w:r w:rsidR="00C73729">
        <w:t xml:space="preserve"> </w:t>
      </w:r>
      <w:r w:rsidR="007C0D45" w:rsidRPr="007C0D45">
        <w:t>&lt;</w:t>
      </w:r>
      <w:r w:rsidR="00C73729">
        <w:t xml:space="preserve"> </w:t>
      </w:r>
      <w:r w:rsidR="007C0D45" w:rsidRPr="007C0D45">
        <w:t xml:space="preserve">4), estimates of </w:t>
      </w:r>
      <w:r w:rsidR="007C0D45" w:rsidRPr="00C73729">
        <w:rPr>
          <w:i/>
          <w:iCs/>
        </w:rPr>
        <w:t>ρ</w:t>
      </w:r>
      <w:r w:rsidR="007C0D45" w:rsidRPr="007C0D45">
        <w:t xml:space="preserve"> showed substantial error, particularly for simulations with large spatial ranges. However, estimation accuracy improved rapidly as sampling </w:t>
      </w:r>
      <w:r w:rsidR="00C73729">
        <w:t>effort</w:t>
      </w:r>
      <w:r w:rsidR="007C0D45" w:rsidRPr="007C0D45">
        <w:t xml:space="preserve"> increased, with </w:t>
      </w:r>
      <w:r w:rsidR="008A2B55" w:rsidRPr="008C7A16">
        <w:rPr>
          <w:i/>
          <w:iCs/>
          <w:lang w:val="el-GR"/>
        </w:rPr>
        <w:t>τ</w:t>
      </w:r>
      <w:r w:rsidR="007C0D45" w:rsidRPr="007C0D45">
        <w:t xml:space="preserve"> declining sharply and stabilizing once sampling densities </w:t>
      </w:r>
      <w:r w:rsidR="005E0EE9">
        <w:t>were</w:t>
      </w:r>
      <w:r w:rsidR="003F2203">
        <w:t xml:space="preserve"> higher than</w:t>
      </w:r>
      <w:r w:rsidR="007C0D45" w:rsidRPr="007C0D45">
        <w:t xml:space="preserve"> 6 samples per 10,000 km</w:t>
      </w:r>
      <w:r w:rsidR="007C0D45" w:rsidRPr="007C0D45">
        <w:rPr>
          <w:vertAlign w:val="superscript"/>
        </w:rPr>
        <w:t>2</w:t>
      </w:r>
      <w:r w:rsidR="007C0D45" w:rsidRPr="007C0D45">
        <w:t>, beyond which additional sampling produced only marginal improvements in ρ estimation.</w:t>
      </w:r>
    </w:p>
    <w:p w14:paraId="31BC18D9" w14:textId="77777777" w:rsidR="00BE06C5" w:rsidRDefault="00BE06C5" w:rsidP="001643E6">
      <w:pPr>
        <w:pStyle w:val="p1"/>
        <w:spacing w:before="0" w:beforeAutospacing="0" w:after="0" w:afterAutospacing="0" w:line="480" w:lineRule="auto"/>
        <w:jc w:val="both"/>
      </w:pPr>
    </w:p>
    <w:p w14:paraId="772B6108" w14:textId="71F2DCAF" w:rsidR="00EF7D10" w:rsidRDefault="00F70DB9" w:rsidP="001643E6">
      <w:pPr>
        <w:pStyle w:val="p1"/>
        <w:spacing w:before="0" w:beforeAutospacing="0" w:after="0" w:afterAutospacing="0" w:line="480" w:lineRule="auto"/>
        <w:jc w:val="both"/>
      </w:pPr>
      <w:r w:rsidRPr="00F70DB9">
        <w:t>Estimation error for the amplitude parameter (</w:t>
      </w:r>
      <w:r w:rsidRPr="00F70DB9">
        <w:rPr>
          <w:i/>
          <w:iCs/>
        </w:rPr>
        <w:t>α</w:t>
      </w:r>
      <w:r w:rsidR="00CB41BF">
        <w:rPr>
          <w:i/>
          <w:iCs/>
          <w:vertAlign w:val="superscript"/>
        </w:rPr>
        <w:t>2</w:t>
      </w:r>
      <w:r w:rsidRPr="00F70DB9">
        <w:t xml:space="preserve">) declined with increasing sampling density for simulations with </w:t>
      </w:r>
      <w:r>
        <w:t>small</w:t>
      </w:r>
      <w:r w:rsidRPr="00F70DB9">
        <w:t xml:space="preserve"> spatial autocorrelation, while remaining relatively stable across sampling densities for simulations with larger spatial ranges (Figure </w:t>
      </w:r>
      <w:r w:rsidR="009B5D62">
        <w:t>5</w:t>
      </w:r>
      <w:r w:rsidRPr="00F70DB9">
        <w:t xml:space="preserve">C). Overall improvements in </w:t>
      </w:r>
      <w:r w:rsidRPr="00BC0A0E">
        <w:rPr>
          <w:i/>
          <w:iCs/>
        </w:rPr>
        <w:t>α</w:t>
      </w:r>
      <w:r w:rsidR="00F92B57" w:rsidRPr="00BC0A0E">
        <w:rPr>
          <w:i/>
          <w:iCs/>
          <w:vertAlign w:val="superscript"/>
        </w:rPr>
        <w:t>2</w:t>
      </w:r>
      <w:r w:rsidRPr="00F70DB9">
        <w:t xml:space="preserve"> </w:t>
      </w:r>
      <w:r w:rsidRPr="00F70DB9">
        <w:lastRenderedPageBreak/>
        <w:t>estimation were therefore limited once sampling</w:t>
      </w:r>
      <w:r w:rsidR="00726274">
        <w:t xml:space="preserve"> effort </w:t>
      </w:r>
      <w:r w:rsidR="0062165E">
        <w:t xml:space="preserve">increased </w:t>
      </w:r>
      <w:r w:rsidR="005E0EE9">
        <w:t>above</w:t>
      </w:r>
      <w:r w:rsidR="0062165E">
        <w:t xml:space="preserve"> 6</w:t>
      </w:r>
      <w:r w:rsidRPr="00F70DB9">
        <w:t xml:space="preserve"> </w:t>
      </w:r>
      <w:r w:rsidR="0062165E" w:rsidRPr="007C0D45">
        <w:t>samples per 10,000 km</w:t>
      </w:r>
      <w:r w:rsidR="0062165E" w:rsidRPr="007C0D45">
        <w:rPr>
          <w:vertAlign w:val="superscript"/>
        </w:rPr>
        <w:t>2</w:t>
      </w:r>
      <w:r w:rsidRPr="00F70DB9">
        <w:t>.</w:t>
      </w:r>
      <w:r w:rsidR="002A75F7">
        <w:t xml:space="preserve"> </w:t>
      </w:r>
      <w:r w:rsidR="00EF7D10">
        <w:t xml:space="preserve">The </w:t>
      </w:r>
      <w:r w:rsidR="00016814">
        <w:t>non-spatial variance</w:t>
      </w:r>
      <w:r w:rsidR="00EF7D10">
        <w:t xml:space="preserve"> parameter (</w:t>
      </w:r>
      <w:r w:rsidR="00EF7D10" w:rsidRPr="00BC0A0E">
        <w:rPr>
          <w:i/>
          <w:iCs/>
        </w:rPr>
        <w:t>σ</w:t>
      </w:r>
      <w:r w:rsidR="00CB41BF" w:rsidRPr="00BC0A0E">
        <w:rPr>
          <w:i/>
          <w:iCs/>
          <w:vertAlign w:val="superscript"/>
        </w:rPr>
        <w:t>2</w:t>
      </w:r>
      <w:r w:rsidR="00EF7D10">
        <w:t xml:space="preserve">) was consistently well recovered across sampling densities (Figure </w:t>
      </w:r>
      <w:r w:rsidR="009B5D62">
        <w:t>5</w:t>
      </w:r>
      <w:r w:rsidR="00EF7D10">
        <w:t xml:space="preserve">D). </w:t>
      </w:r>
      <w:r w:rsidR="008A2B55">
        <w:rPr>
          <w:lang w:val="el-GR"/>
        </w:rPr>
        <w:t>τ</w:t>
      </w:r>
      <w:r w:rsidR="00EF7D10">
        <w:t xml:space="preserve"> declined sharply with increasing sampling density and approached near-zero values once sampling densities exceeded 6 </w:t>
      </w:r>
      <w:r w:rsidR="002E5FD7" w:rsidRPr="007C0D45">
        <w:t>samples per 10,000 km</w:t>
      </w:r>
      <w:r w:rsidR="002E5FD7" w:rsidRPr="007C0D45">
        <w:rPr>
          <w:vertAlign w:val="superscript"/>
        </w:rPr>
        <w:t>2</w:t>
      </w:r>
      <w:r w:rsidR="00EF7D10">
        <w:t>.</w:t>
      </w:r>
    </w:p>
    <w:p w14:paraId="5BB44617" w14:textId="70781EF5" w:rsidR="00CB4E48" w:rsidRDefault="00262B24" w:rsidP="001643E6">
      <w:pPr>
        <w:pStyle w:val="ImageCaption"/>
        <w:spacing w:after="0" w:line="480" w:lineRule="auto"/>
        <w:rPr>
          <w:i w:val="0"/>
          <w:iCs/>
        </w:rPr>
      </w:pPr>
      <w:r>
        <w:rPr>
          <w:i w:val="0"/>
          <w:iCs/>
          <w:noProof/>
        </w:rPr>
        <w:drawing>
          <wp:inline distT="0" distB="0" distL="0" distR="0" wp14:anchorId="4B48963D" wp14:editId="092095C4">
            <wp:extent cx="5943600" cy="4245610"/>
            <wp:effectExtent l="0" t="0" r="0" b="0"/>
            <wp:docPr id="107809788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097882" name="Picture 107809788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4245610"/>
                    </a:xfrm>
                    <a:prstGeom prst="rect">
                      <a:avLst/>
                    </a:prstGeom>
                  </pic:spPr>
                </pic:pic>
              </a:graphicData>
            </a:graphic>
          </wp:inline>
        </w:drawing>
      </w:r>
    </w:p>
    <w:p w14:paraId="08D61A5A" w14:textId="550C6F48" w:rsidR="00C00263" w:rsidRPr="002975EB" w:rsidRDefault="002975EB" w:rsidP="001643E6">
      <w:pPr>
        <w:pStyle w:val="ImageCaption"/>
        <w:spacing w:after="0" w:line="480" w:lineRule="auto"/>
      </w:pPr>
      <w:r w:rsidRPr="002975EB">
        <w:t xml:space="preserve">Figure </w:t>
      </w:r>
      <w:r w:rsidR="00CB41BF">
        <w:t>5</w:t>
      </w:r>
      <w:r w:rsidRPr="002975EB">
        <w:t xml:space="preserve">. Accuracy of Gaussian Process (GP) parameter estimation across sampling </w:t>
      </w:r>
      <w:r w:rsidR="00D8522F">
        <w:t>effort (E; expressed in sampling density)</w:t>
      </w:r>
      <w:r w:rsidRPr="002975EB">
        <w:t xml:space="preserve"> and spatial autocorrelation </w:t>
      </w:r>
      <w:r>
        <w:t>values</w:t>
      </w:r>
      <w:r w:rsidR="00D8522F">
        <w:t xml:space="preserve"> (</w:t>
      </w:r>
      <w:r w:rsidR="00D8522F">
        <w:rPr>
          <w:lang w:val="el-GR"/>
        </w:rPr>
        <w:t>ρ</w:t>
      </w:r>
      <w:r w:rsidR="00D8522F">
        <w:t>)</w:t>
      </w:r>
      <w:r w:rsidRPr="002975EB">
        <w:t xml:space="preserve"> </w:t>
      </w:r>
      <w:r>
        <w:t>from</w:t>
      </w:r>
      <w:r w:rsidRPr="002975EB">
        <w:t xml:space="preserve"> </w:t>
      </w:r>
      <w:r w:rsidR="006717D8">
        <w:t>simulation</w:t>
      </w:r>
      <w:r w:rsidRPr="002975EB">
        <w:t xml:space="preserve"> data. </w:t>
      </w:r>
      <w:r w:rsidR="00964075" w:rsidRPr="00964075">
        <w:t>Each dot represents the mean</w:t>
      </w:r>
      <w:r w:rsidR="00964075">
        <w:t xml:space="preserve"> of</w:t>
      </w:r>
      <w:r w:rsidR="00964075" w:rsidRPr="00964075">
        <w:t xml:space="preserve"> </w:t>
      </w:r>
      <w:r w:rsidR="00D8522F">
        <w:t>r</w:t>
      </w:r>
      <w:r w:rsidR="00964075" w:rsidRPr="00964075">
        <w:t xml:space="preserve">oot </w:t>
      </w:r>
      <w:r w:rsidR="00D8522F">
        <w:t>m</w:t>
      </w:r>
      <w:r w:rsidR="00964075" w:rsidRPr="00964075">
        <w:t xml:space="preserve">ean </w:t>
      </w:r>
      <w:r w:rsidR="00D8522F">
        <w:t>s</w:t>
      </w:r>
      <w:r w:rsidR="00964075" w:rsidRPr="00964075">
        <w:t xml:space="preserve">quared </w:t>
      </w:r>
      <w:r w:rsidR="00D8522F">
        <w:t>e</w:t>
      </w:r>
      <w:r w:rsidR="00964075" w:rsidRPr="00964075">
        <w:t>rror (</w:t>
      </w:r>
      <w:r w:rsidR="00D8522F">
        <w:rPr>
          <w:lang w:val="el-GR"/>
        </w:rPr>
        <w:t>τ</w:t>
      </w:r>
      <w:r w:rsidR="00964075" w:rsidRPr="00964075">
        <w:t xml:space="preserve">) </w:t>
      </w:r>
      <w:r w:rsidR="00964075" w:rsidRPr="006717D8">
        <w:t xml:space="preserve">across 20 simulation iterations </w:t>
      </w:r>
      <w:r w:rsidR="00D8522F">
        <w:t xml:space="preserve">of the difference </w:t>
      </w:r>
      <w:r w:rsidR="00964075" w:rsidRPr="006717D8">
        <w:t xml:space="preserve">between estimated and true parameter values for </w:t>
      </w:r>
      <w:r w:rsidRPr="006717D8">
        <w:t xml:space="preserve">(A) </w:t>
      </w:r>
      <w:r w:rsidR="00FD39CA" w:rsidRPr="006717D8">
        <w:t xml:space="preserve">spatial autocorrelation </w:t>
      </w:r>
      <w:r w:rsidRPr="006717D8">
        <w:t>(</w:t>
      </w:r>
      <w:r w:rsidR="004714FD" w:rsidRPr="006717D8">
        <w:t>ρ</w:t>
      </w:r>
      <w:r w:rsidRPr="006717D8">
        <w:t xml:space="preserve">), (B) </w:t>
      </w:r>
      <w:r w:rsidR="003504FB" w:rsidRPr="006717D8">
        <w:t>non-spatial variance</w:t>
      </w:r>
      <w:r w:rsidRPr="006717D8">
        <w:t xml:space="preserve"> (</w:t>
      </w:r>
      <w:r w:rsidR="004714FD" w:rsidRPr="006717D8">
        <w:t>σ</w:t>
      </w:r>
      <w:r w:rsidR="004714FD" w:rsidRPr="001C2382">
        <w:rPr>
          <w:vertAlign w:val="superscript"/>
        </w:rPr>
        <w:t>2</w:t>
      </w:r>
      <w:r w:rsidRPr="006717D8">
        <w:t xml:space="preserve">), (C) </w:t>
      </w:r>
      <w:r w:rsidR="003504FB" w:rsidRPr="006717D8">
        <w:t xml:space="preserve">depth-specific mean </w:t>
      </w:r>
      <w:r w:rsidRPr="006717D8">
        <w:t>(</w:t>
      </w:r>
      <w:proofErr w:type="spellStart"/>
      <w:r w:rsidR="004714FD" w:rsidRPr="006717D8">
        <w:t>μ</w:t>
      </w:r>
      <w:r w:rsidR="004714FD" w:rsidRPr="006717D8">
        <w:rPr>
          <w:vertAlign w:val="subscript"/>
        </w:rPr>
        <w:t>d</w:t>
      </w:r>
      <w:proofErr w:type="spellEnd"/>
      <w:r w:rsidRPr="006717D8">
        <w:t xml:space="preserve">), and (D) </w:t>
      </w:r>
      <w:r w:rsidR="003504FB" w:rsidRPr="006717D8">
        <w:t xml:space="preserve">amplitude </w:t>
      </w:r>
      <w:r w:rsidRPr="006717D8">
        <w:t>(</w:t>
      </w:r>
      <w:r w:rsidR="004714FD" w:rsidRPr="006717D8">
        <w:t>α</w:t>
      </w:r>
      <w:r w:rsidR="004714FD" w:rsidRPr="001C2382">
        <w:rPr>
          <w:vertAlign w:val="superscript"/>
        </w:rPr>
        <w:t>2</w:t>
      </w:r>
      <w:r w:rsidRPr="006717D8">
        <w:t xml:space="preserve">). </w:t>
      </w:r>
      <w:r w:rsidR="009F110C" w:rsidRPr="006717D8">
        <w:t>Lines represent the regression</w:t>
      </w:r>
      <w:r w:rsidR="009F110C" w:rsidRPr="009F110C">
        <w:t xml:space="preserve"> of mean </w:t>
      </w:r>
      <w:r w:rsidR="0094323E">
        <w:rPr>
          <w:lang w:val="el-GR"/>
        </w:rPr>
        <w:t>τ</w:t>
      </w:r>
      <w:r w:rsidR="009F110C" w:rsidRPr="009F110C">
        <w:t xml:space="preserve"> across sampling effort for each spatial autocorrelation level.</w:t>
      </w:r>
      <w:r w:rsidR="009F110C">
        <w:t xml:space="preserve"> </w:t>
      </w:r>
    </w:p>
    <w:p w14:paraId="321C7E67" w14:textId="77777777" w:rsidR="00286ADA" w:rsidRDefault="00286ADA" w:rsidP="001643E6">
      <w:pPr>
        <w:pStyle w:val="ImageCaption"/>
        <w:spacing w:after="0" w:line="480" w:lineRule="auto"/>
      </w:pPr>
    </w:p>
    <w:p w14:paraId="488FF02D" w14:textId="2BDACED2" w:rsidR="00A62458" w:rsidRDefault="00A62458" w:rsidP="001643E6">
      <w:pPr>
        <w:pStyle w:val="BodyText"/>
        <w:spacing w:line="480" w:lineRule="auto"/>
      </w:pPr>
      <w:r w:rsidRPr="00A12658">
        <w:rPr>
          <w:b/>
          <w:bCs w:val="0"/>
        </w:rPr>
        <w:lastRenderedPageBreak/>
        <w:t xml:space="preserve">Comparison of prediction accuracy between </w:t>
      </w:r>
      <w:r w:rsidR="003B7D9D" w:rsidRPr="00A12658">
        <w:rPr>
          <w:b/>
          <w:bCs w:val="0"/>
        </w:rPr>
        <w:t>empirical</w:t>
      </w:r>
      <w:r w:rsidRPr="00A12658">
        <w:rPr>
          <w:b/>
          <w:bCs w:val="0"/>
        </w:rPr>
        <w:t xml:space="preserve"> and </w:t>
      </w:r>
      <w:r w:rsidR="003B7D9D" w:rsidRPr="00A12658">
        <w:rPr>
          <w:b/>
          <w:bCs w:val="0"/>
        </w:rPr>
        <w:t>simulation</w:t>
      </w:r>
      <w:r w:rsidRPr="00A12658">
        <w:rPr>
          <w:b/>
          <w:bCs w:val="0"/>
        </w:rPr>
        <w:t xml:space="preserve"> data</w:t>
      </w:r>
      <w:r>
        <w:t xml:space="preserve"> </w:t>
      </w:r>
    </w:p>
    <w:p w14:paraId="15C4413C" w14:textId="36036AFB" w:rsidR="00D974B6" w:rsidRPr="00101BFB" w:rsidRDefault="00D974B6" w:rsidP="001643E6">
      <w:pPr>
        <w:pStyle w:val="BodyText"/>
        <w:spacing w:line="480" w:lineRule="auto"/>
      </w:pPr>
      <w:r w:rsidRPr="00101BFB">
        <w:t>Prediction error (</w:t>
      </w:r>
      <w:r w:rsidRPr="008F4FF2">
        <w:rPr>
          <w:i/>
          <w:iCs/>
        </w:rPr>
        <w:t>ε</w:t>
      </w:r>
      <w:r w:rsidRPr="00101BFB">
        <w:t xml:space="preserve">) </w:t>
      </w:r>
      <w:r w:rsidR="00CD480C" w:rsidRPr="00101BFB">
        <w:t>followed similar patterns using both empirical and simulation datasets</w:t>
      </w:r>
      <w:r w:rsidR="00D912F0" w:rsidRPr="00101BFB">
        <w:t xml:space="preserve">. </w:t>
      </w:r>
      <w:r w:rsidR="00E1401A" w:rsidRPr="00101BFB">
        <w:t>Specifically, the estimated intercept (</w:t>
      </w:r>
      <w:r w:rsidR="00E1401A" w:rsidRPr="008F4FF2">
        <w:rPr>
          <w:i/>
          <w:iCs/>
        </w:rPr>
        <w:t>ω</w:t>
      </w:r>
      <w:r w:rsidR="00E1401A" w:rsidRPr="00101BFB">
        <w:t>), the influence of sampling effort (</w:t>
      </w:r>
      <w:r w:rsidR="00236C3C" w:rsidRPr="008F4FF2">
        <w:rPr>
          <w:i/>
          <w:iCs/>
          <w:lang w:val="el-GR"/>
        </w:rPr>
        <w:t>β</w:t>
      </w:r>
      <w:r w:rsidR="00E1401A" w:rsidRPr="00101BFB">
        <w:t>), the effect of spatial autocorrelation (</w:t>
      </w:r>
      <w:r w:rsidR="00E1401A" w:rsidRPr="008F4FF2">
        <w:rPr>
          <w:i/>
          <w:iCs/>
        </w:rPr>
        <w:t>θ</w:t>
      </w:r>
      <w:r w:rsidR="00E1401A" w:rsidRPr="00101BFB">
        <w:t>), and their interaction term (</w:t>
      </w:r>
      <w:r w:rsidR="00E1401A" w:rsidRPr="008F4FF2">
        <w:rPr>
          <w:i/>
          <w:iCs/>
        </w:rPr>
        <w:t>γ</w:t>
      </w:r>
      <w:r w:rsidR="00E1401A" w:rsidRPr="00101BFB">
        <w:t>) all showed consistent directional effects and aligned closely with the 1:1 line, demonstrating a high degree of structural agreement between the empirical and simulated error models</w:t>
      </w:r>
      <w:r w:rsidR="00C446E8" w:rsidRPr="00101BFB">
        <w:t xml:space="preserve"> (</w:t>
      </w:r>
      <w:r w:rsidR="00322184">
        <w:t xml:space="preserve">Appendix S1: </w:t>
      </w:r>
      <w:r w:rsidR="00C446E8" w:rsidRPr="00101BFB">
        <w:t>Figure S</w:t>
      </w:r>
      <w:r w:rsidR="00C55B9C" w:rsidRPr="00101BFB">
        <w:t>1</w:t>
      </w:r>
      <w:r w:rsidR="00C446E8" w:rsidRPr="00101BFB">
        <w:t>)</w:t>
      </w:r>
      <w:r w:rsidR="00E1401A" w:rsidRPr="00101BFB">
        <w:t>.</w:t>
      </w:r>
      <w:r w:rsidR="00236C3C" w:rsidRPr="00101BFB">
        <w:t xml:space="preserve"> </w:t>
      </w:r>
      <w:r w:rsidR="0041396A" w:rsidRPr="00101BFB">
        <w:t xml:space="preserve"> </w:t>
      </w:r>
    </w:p>
    <w:p w14:paraId="1B978111" w14:textId="77777777" w:rsidR="00286ADA" w:rsidRPr="00666D36" w:rsidRDefault="00286ADA" w:rsidP="001643E6">
      <w:pPr>
        <w:pStyle w:val="p1"/>
        <w:spacing w:before="0" w:beforeAutospacing="0" w:after="0" w:afterAutospacing="0" w:line="480" w:lineRule="auto"/>
        <w:jc w:val="both"/>
        <w:rPr>
          <w:i/>
          <w:iCs/>
        </w:rPr>
      </w:pPr>
      <w:bookmarkStart w:id="16" w:name="fig:epsilon_sp"/>
    </w:p>
    <w:p w14:paraId="5516F1CD" w14:textId="77777777" w:rsidR="0032076E" w:rsidRDefault="00D04708" w:rsidP="001643E6">
      <w:pPr>
        <w:pStyle w:val="Heading1"/>
        <w:spacing w:before="0" w:after="0" w:line="480" w:lineRule="auto"/>
      </w:pPr>
      <w:bookmarkStart w:id="17" w:name="discussion"/>
      <w:bookmarkEnd w:id="13"/>
      <w:bookmarkEnd w:id="16"/>
      <w:r>
        <w:t>Discussion</w:t>
      </w:r>
    </w:p>
    <w:p w14:paraId="5351486F" w14:textId="16269BED" w:rsidR="00390A6F" w:rsidRDefault="00101BFB" w:rsidP="001643E6">
      <w:pPr>
        <w:pStyle w:val="p2"/>
        <w:spacing w:before="0" w:beforeAutospacing="0" w:after="0" w:afterAutospacing="0" w:line="480" w:lineRule="auto"/>
        <w:jc w:val="both"/>
      </w:pPr>
      <w:bookmarkStart w:id="18" w:name="sampling-optimisaion"/>
      <w:r>
        <w:t>We</w:t>
      </w:r>
      <w:r w:rsidR="0007052E" w:rsidRPr="0007052E">
        <w:t xml:space="preserve"> provide quantitative evidence </w:t>
      </w:r>
      <w:r w:rsidR="006502A4">
        <w:t xml:space="preserve">for </w:t>
      </w:r>
      <w:r w:rsidR="00FD3FB2">
        <w:t xml:space="preserve">how </w:t>
      </w:r>
      <w:r w:rsidR="00FD3FB2" w:rsidRPr="0007052E">
        <w:t xml:space="preserve">species-specific spatial </w:t>
      </w:r>
      <w:r w:rsidR="00FD3FB2">
        <w:t xml:space="preserve">autocorrelation governs </w:t>
      </w:r>
      <w:r w:rsidR="0007052E" w:rsidRPr="0007052E">
        <w:t>the efficiency of eDNA spatial surveys</w:t>
      </w:r>
      <w:r w:rsidR="00986D08">
        <w:t xml:space="preserve"> for spatial distribution </w:t>
      </w:r>
      <w:r w:rsidR="000C6147">
        <w:t>predictions</w:t>
      </w:r>
      <w:r w:rsidR="00FD3FB2">
        <w:t>.</w:t>
      </w:r>
      <w:r>
        <w:t xml:space="preserve"> </w:t>
      </w:r>
      <w:r>
        <w:t>We show that</w:t>
      </w:r>
      <w:r>
        <w:t xml:space="preserve"> optimal sampling effort is not universal but depends critically on both the spatial autocorrelation of target species and the specific inferential objectives of the survey</w:t>
      </w:r>
      <w:r w:rsidR="00B23300">
        <w:t xml:space="preserve">. </w:t>
      </w:r>
    </w:p>
    <w:p w14:paraId="3F2D72A7" w14:textId="77777777" w:rsidR="007E7F39" w:rsidRDefault="007E7F39" w:rsidP="001643E6">
      <w:pPr>
        <w:pStyle w:val="BodyText"/>
        <w:spacing w:line="480" w:lineRule="auto"/>
      </w:pPr>
      <w:bookmarkStart w:id="19" w:name="OLE_LINK2"/>
    </w:p>
    <w:p w14:paraId="6C9745F9" w14:textId="231ECC15" w:rsidR="005A387E" w:rsidRPr="00E812EC" w:rsidRDefault="005A387E" w:rsidP="001643E6">
      <w:pPr>
        <w:pStyle w:val="BodyText"/>
        <w:spacing w:line="480" w:lineRule="auto"/>
      </w:pPr>
      <w:r w:rsidRPr="004A324F">
        <w:rPr>
          <w:b/>
          <w:bCs w:val="0"/>
        </w:rPr>
        <w:t xml:space="preserve">Diminishing </w:t>
      </w:r>
      <w:r w:rsidR="00866250" w:rsidRPr="004A324F">
        <w:rPr>
          <w:b/>
          <w:bCs w:val="0"/>
        </w:rPr>
        <w:t>r</w:t>
      </w:r>
      <w:r w:rsidRPr="004A324F">
        <w:rPr>
          <w:b/>
          <w:bCs w:val="0"/>
        </w:rPr>
        <w:t xml:space="preserve">eturns of </w:t>
      </w:r>
      <w:r w:rsidR="00866250" w:rsidRPr="004A324F">
        <w:rPr>
          <w:b/>
          <w:bCs w:val="0"/>
        </w:rPr>
        <w:t>s</w:t>
      </w:r>
      <w:r w:rsidRPr="004A324F">
        <w:rPr>
          <w:b/>
          <w:bCs w:val="0"/>
        </w:rPr>
        <w:t xml:space="preserve">ampling </w:t>
      </w:r>
      <w:r w:rsidR="00866250" w:rsidRPr="004A324F">
        <w:rPr>
          <w:b/>
          <w:bCs w:val="0"/>
        </w:rPr>
        <w:t>e</w:t>
      </w:r>
      <w:r w:rsidRPr="004A324F">
        <w:rPr>
          <w:b/>
          <w:bCs w:val="0"/>
        </w:rPr>
        <w:t>ffort</w:t>
      </w:r>
      <w:r w:rsidR="00C65663" w:rsidRPr="004A324F">
        <w:rPr>
          <w:b/>
          <w:bCs w:val="0"/>
        </w:rPr>
        <w:t xml:space="preserve"> on prediction accuracy</w:t>
      </w:r>
    </w:p>
    <w:p w14:paraId="60D8B607" w14:textId="4DD9A29D" w:rsidR="0064556D" w:rsidRDefault="002D4B65" w:rsidP="001643E6">
      <w:pPr>
        <w:pStyle w:val="p3"/>
        <w:spacing w:before="0" w:beforeAutospacing="0" w:after="0" w:afterAutospacing="0" w:line="480" w:lineRule="auto"/>
        <w:jc w:val="both"/>
      </w:pPr>
      <w:r w:rsidRPr="002D4B65">
        <w:t>The value of additional sampling effort is not fixed but depends on the spatial structure of the target species</w:t>
      </w:r>
      <w:r>
        <w:t xml:space="preserve"> </w:t>
      </w:r>
      <w:r w:rsidR="00BC4F42">
        <w:fldChar w:fldCharType="begin"/>
      </w:r>
      <w:r w:rsidR="00AA6C90">
        <w:instrText xml:space="preserve"> ADDIN ZOTERO_ITEM CSL_CITATION {"citationID":"o39pWFUC","properties":{"unsorted":false,"formattedCitation":"(Xu et al., 2015; Zhao et al., 2022)","plainCitation":"(Xu et al., 2015; Zhao et al., 2022)","noteIndex":0},"citationItems":[{"id":4250,"uris":["http://zotero.org/users/9456007/items/DKL9ISHA"],"itemData":{"id":4250,"type":"article-journal","citation-key":"xu2015","container-title":"Environmental Monitoring and Assessment","DOI":"10.1007/s10661-015-4483-9","ISSN":"0167-6369, 1573-2959","issue":"5","journalAbbreviation":"Environ Monit Assess","language":"en","license":"http://www.springer.com/tdm","note":"59 citations (Crossref/DOI) [2026-01-20]\n58 citations (Crossref/DOI) [2025-11-07]\n57 citations (Crossref/DOI) [2025-10-27]","publisher":"Springer Science and Business Media LLC","source":"Crossref","title":"Optimization of sampling effort for a fishery-independent survey with multiple goals","URL":"http://link.springer.com/10.1007/s10661-015-4483-9","volume":"187","author":[{"family":"Xu","given":"Binduo"},{"family":"Zhang","given":"Chongliang"},{"family":"Xue","given":"Ying"},{"family":"Ren","given":"Yiping"},{"family":"Chen","given":"Yong"}],"accessed":{"date-parts":[["2025",7,7]]},"issued":{"date-parts":[["2015",5]]}}},{"id":4255,"uris":["http://zotero.org/users/9456007/items/3S288ECW"],"itemData":{"id":4255,"type":"article-journal","abstract":"Abstract               The Yangtze River Estuary (YRE) plays an important role in the conservation of fishery resources in the Yangtze River basin, and the Chinese government has established a special fishing ban management area at the YRE. To assess effects of the fishing ban, survey design and appropriate effort need to be determined and implemented. This study used long-term trawl survey data of the YRE (2004–2017) to explore the effects of survey effort (8–30 continuous survey stations selected by systematic and stratified sampling) on precision and accuracy of estimates of abundance of different fishery groups in the YRE. Estimated precision for a given number of survey stations varied by season and fishery group. Precision of systematic sampling fluctuated with the number of stations. Precision of stratified sampling with a proportional allocation scheme gradually increased with the number of survey stations. We suggest including 15–20 survey stations for all fishery groups sampled using the examined sampling methods.This study provides a research reference for selecting the survey effort (number of survey stations) for a fishery-independent survey in the YRE under the backgroud of conservation.","citation-key":"zhao2022","container-title":"Marine and Coastal Fisheries","DOI":"10.1002/mcf2.10214","ISSN":"1942-5120","issue":"4","language":"en","license":"https://creativecommons.org/licenses/by/4.0/","note":"1 citations (Crossref/DOI) [2026-01-20]\n1 citations (Crossref/DOI) [2025-11-07]\n1 citations (Crossref/DOI) [2025-10-27]","publisher":"Oxford University Press (OUP)","source":"Crossref","title":"Optimization of Sampling Effort for Different Fishery Groups in the Yangtze River Estuary, China","URL":"https://academic.oup.com/mcf/article/doi/10.1002/mcf2.10214/7819907","volume":"14","author":[{"family":"Zhao","given":"Jing"},{"family":"Yang","given":"Keer"},{"family":"Ma","given":"Jin"}],"accessed":{"date-parts":[["2025",7,7]]},"issued":{"date-parts":[["2022",8,1]]}}}],"schema":"https://github.com/citation-style-language/schema/raw/master/csl-citation.json"} </w:instrText>
      </w:r>
      <w:r w:rsidR="00BC4F42">
        <w:fldChar w:fldCharType="separate"/>
      </w:r>
      <w:r w:rsidR="00BC31E5">
        <w:rPr>
          <w:noProof/>
        </w:rPr>
        <w:t>(Xu et al., 2015; Zhao et al., 2022)</w:t>
      </w:r>
      <w:r w:rsidR="00BC4F42">
        <w:fldChar w:fldCharType="end"/>
      </w:r>
      <w:r>
        <w:t>.</w:t>
      </w:r>
      <w:r w:rsidR="004961BF" w:rsidRPr="00693C81">
        <w:t xml:space="preserve"> </w:t>
      </w:r>
      <w:r w:rsidRPr="002D4B65">
        <w:t>Prediction error decreased non-linearly with sampling effort and with increasing spatial autocorrelation, confirming that homogeneously distributed species are inherently easier to reconstruct than patchier ones at equivalent effort</w:t>
      </w:r>
      <w:r w:rsidR="00593FCD">
        <w:t xml:space="preserve"> </w:t>
      </w:r>
      <w:r w:rsidR="00BC31E5">
        <w:fldChar w:fldCharType="begin"/>
      </w:r>
      <w:r w:rsidR="00BC31E5">
        <w:instrText xml:space="preserve"> ADDIN ZOTERO_ITEM CSL_CITATION {"citationID":"mDItTGtJ","properties":{"unsorted":false,"formattedCitation":"(Wagner &amp; Fortin, 2005)","plainCitation":"(Wagner &amp; Fortin, 2005)","noteIndex":0},"citationItems":[{"id":4716,"uris":["http://zotero.org/users/9456007/items/9VYSIYDP"],"itemData":{"id":4716,"type":"article-journal","citation-key":"wagner2005","container-title":"Ecology","DOI":"10.1890/04-0914","ISSN":"0012-9658","issue":"8","journalAbbreviation":"Ecology","language":"en","license":"http://doi.wiley.com/10.1002/tdm_license_1.1","page":"1975-1987","source":"DOI.org (Crossref)","title":"Spatial analysis of landscapes: concepts and statistics","title-short":"SPATIAL ANALYSIS OF LANDSCAPES","volume":"86","author":[{"family":"Wagner","given":"Helene H."},{"family":"Fortin","given":"Marie-Josée"}],"issued":{"date-parts":[["2005",8]]}}}],"schema":"https://github.com/citation-style-language/schema/raw/master/csl-citation.json"} </w:instrText>
      </w:r>
      <w:r w:rsidR="00BC31E5">
        <w:fldChar w:fldCharType="separate"/>
      </w:r>
      <w:r w:rsidR="00BC31E5">
        <w:rPr>
          <w:noProof/>
        </w:rPr>
        <w:t>(Wagner &amp; Fortin, 2005)</w:t>
      </w:r>
      <w:r w:rsidR="00BC31E5">
        <w:fldChar w:fldCharType="end"/>
      </w:r>
      <w:r w:rsidR="006143E9">
        <w:t xml:space="preserve">. </w:t>
      </w:r>
      <w:r w:rsidRPr="002D4B65">
        <w:t xml:space="preserve">This interaction matters because it shows the value of additional samples is not universal, </w:t>
      </w:r>
      <w:r w:rsidR="006143E9">
        <w:t xml:space="preserve">where the same increase in effort can produce substantial gains for one species and only marginal gains for another </w:t>
      </w:r>
      <w:r w:rsidR="00BC31E5">
        <w:fldChar w:fldCharType="begin"/>
      </w:r>
      <w:r w:rsidR="00BC31E5">
        <w:instrText xml:space="preserve"> ADDIN ZOTERO_ITEM CSL_CITATION {"citationID":"n9RAlYyt","properties":{"unsorted":false,"formattedCitation":"(Garc\\uc0\\u237{}a\\uc0\\u8208{}Machado et al., 2024)","plainCitation":"(García‐Machado et al., 2024)","noteIndex":0},"citationItems":[{"id":4732,"uris":["http://zotero.org/users/9456007/items/6Z23BB7T"],"itemData":{"id":4732,"type":"article-journal","abstract":"ABSTRACT\n            Long‐term biological monitoring and management depend on efficient protocols and methodology to characterize and precisely describe species distributions and diversity. In recent years, environmental DNA has progressively become a tool of choice in survey programs. However, the effect of variables such as sampling effort and sampling design still requires consideration. Simple random, grid, and transect‐based sampling methods are widely used in ecological surveys to obtain an unbiased estimation of species richness and community structure. However, under certain conditions where spatial information is available, sampling design and sequencing depth can be optimized to reduce effort and cost. Here, we evaluate different subsampling approaches to identify sampling strategies that are both easily implemented in the field and provide optimal recovery of species diversity for a given sampling effort. With a homogeneous grid‐based sampling (25–50 samples by lake) of 12 freshwater lakes in southeastern Québec, and using the 12S MiFish metabarcoding primer set, we demonstrate that random and stratified designs perform similarly to detect 90% and 95% of species. However, we found that, under certain circumstances, stratified sampling outperformed random sampling, requiring lower numbers of samples to detect the same species diversity. We also demonstrate that for the minimum sequence threshold and sample replication used in our study, a sequencing depth of 50K reads per sample is adequate to obtain a reliable portrayal of species richness. In this study, we contribute to the effort of eDNA sampling standardization by providing data for selecting the best sampling design, sequence depth, and sample size to detect 90%–95% of fish species found in temperate lakes.","citation-key":"garcia-machado2024","container-title":"Environmental DNA","DOI":"10.1002/edn3.70015","ISSN":"2637-4943, 2637-4943","issue":"6","journalAbbreviation":"Environmental DNA","language":"en","page":"e70015","source":"DOI.org (Crossref)","title":"Evaluating Sampling Designs to Survey Fish Diversity in Lakes From Northern Temperate Zones","volume":"6","author":[{"family":"García‐Machado","given":"Erik"},{"family":"Normandeau","given":"Eric"},{"family":"Côté","given":"Guillaume"},{"family":"Caza‐Allard","given":"Isabeau"},{"family":"Babin","given":"Charles"},{"family":"Bernatchez","given":"Louis"}],"issued":{"date-parts":[["2024",11]]}}}],"schema":"https://github.com/citation-style-language/schema/raw/master/csl-citation.json"} </w:instrText>
      </w:r>
      <w:r w:rsidR="00BC31E5">
        <w:fldChar w:fldCharType="separate"/>
      </w:r>
      <w:r w:rsidR="006143E9">
        <w:t>(García‐Machado et al., 2024)</w:t>
      </w:r>
      <w:r w:rsidR="00BC31E5">
        <w:fldChar w:fldCharType="end"/>
      </w:r>
      <w:r w:rsidR="006143E9">
        <w:t xml:space="preserve">. </w:t>
      </w:r>
      <w:r>
        <w:t>O</w:t>
      </w:r>
      <w:r w:rsidR="006143E9">
        <w:t>ur results move beyond a general statement of sampling efficiency</w:t>
      </w:r>
      <w:r>
        <w:t xml:space="preserve">, </w:t>
      </w:r>
      <w:r w:rsidR="006143E9">
        <w:t>provid</w:t>
      </w:r>
      <w:r w:rsidR="000B644D">
        <w:t>ing</w:t>
      </w:r>
      <w:r w:rsidR="006143E9">
        <w:t xml:space="preserve"> a quantitative framework for understanding when additional effort is informative and when it yields diminishing returns.</w:t>
      </w:r>
    </w:p>
    <w:p w14:paraId="53A9D7F3" w14:textId="77777777" w:rsidR="002D4B65" w:rsidRDefault="002D4B65" w:rsidP="001643E6">
      <w:pPr>
        <w:pStyle w:val="p3"/>
        <w:spacing w:before="0" w:beforeAutospacing="0" w:after="0" w:afterAutospacing="0" w:line="480" w:lineRule="auto"/>
        <w:jc w:val="both"/>
      </w:pPr>
    </w:p>
    <w:p w14:paraId="08932BE5" w14:textId="7F9080EE" w:rsidR="00F44773" w:rsidRDefault="0064556D" w:rsidP="001643E6">
      <w:pPr>
        <w:pStyle w:val="p3"/>
        <w:spacing w:before="0" w:beforeAutospacing="0" w:after="0" w:afterAutospacing="0" w:line="480" w:lineRule="auto"/>
        <w:jc w:val="both"/>
      </w:pPr>
      <w:r>
        <w:t>Crucially, the decision of the sampling effort</w:t>
      </w:r>
      <w:r w:rsidR="008323BE">
        <w:t xml:space="preserve"> based on prediction accuracy (</w:t>
      </w:r>
      <w:r w:rsidR="008323BE" w:rsidRPr="00EF344D">
        <w:rPr>
          <w:i/>
          <w:iCs/>
          <w:lang w:val="el-GR"/>
        </w:rPr>
        <w:t>ε</w:t>
      </w:r>
      <w:r w:rsidR="008323BE" w:rsidRPr="00EF344D">
        <w:rPr>
          <w:i/>
          <w:iCs/>
          <w:vertAlign w:val="subscript"/>
        </w:rPr>
        <w:t>2</w:t>
      </w:r>
      <w:r w:rsidR="008323BE">
        <w:t>)</w:t>
      </w:r>
      <w:r>
        <w:t xml:space="preserve"> cannot be reduced to a single universal number, as it depends heavily on both the acceptable margin of error and the spatial autocorrelation of the target organism. Our adopted threshold for negligible marginal gains (</w:t>
      </w:r>
      <w:r w:rsidRPr="00EF344D">
        <w:rPr>
          <w:i/>
          <w:iCs/>
        </w:rPr>
        <w:t>Δ</w:t>
      </w:r>
      <w:r w:rsidRPr="00EF344D">
        <w:rPr>
          <w:i/>
          <w:iCs/>
          <w:lang w:val="el-GR"/>
        </w:rPr>
        <w:t>ε</w:t>
      </w:r>
      <w:r w:rsidRPr="00EF344D">
        <w:rPr>
          <w:i/>
          <w:iCs/>
          <w:vertAlign w:val="subscript"/>
        </w:rPr>
        <w:t>2</w:t>
      </w:r>
      <w:r w:rsidR="004D13A1" w:rsidRPr="004D13A1">
        <w:t xml:space="preserve"> </w:t>
      </w:r>
      <w:r>
        <w:t>=</w:t>
      </w:r>
      <w:r w:rsidR="004D13A1">
        <w:t xml:space="preserve"> </w:t>
      </w:r>
      <w:r w:rsidR="00A3319D">
        <w:t>-</w:t>
      </w:r>
      <w:r w:rsidR="004D13A1">
        <w:t>0.05)</w:t>
      </w:r>
      <w:r w:rsidR="004D13A1" w:rsidRPr="004D13A1">
        <w:t xml:space="preserve"> serves as a practical heuristic, but acceptable error is inherently </w:t>
      </w:r>
      <w:r w:rsidR="00775A43" w:rsidRPr="004D13A1">
        <w:t>context dependent</w:t>
      </w:r>
      <w:r>
        <w:t xml:space="preserve">. </w:t>
      </w:r>
      <w:r>
        <w:t xml:space="preserve">For instance, studies requiring high-resolution quantitative estimates might justify high sampling effort to achieve stricter precision, while, broad-scale biodiversity screenings might tolerate looser precision, allowing for even sparser sampling </w:t>
      </w:r>
      <w:r w:rsidR="00BC31E5">
        <w:fldChar w:fldCharType="begin"/>
      </w:r>
      <w:r w:rsidR="00A817FC">
        <w:instrText xml:space="preserve"> ADDIN ZOTERO_ITEM CSL_CITATION {"citationID":"XEsqcL1C","properties":{"unsorted":false,"formattedCitation":"(Perkins et al., 2021; Radinger et al., 2019)","plainCitation":"(Perkins et al., 2021; Radinger et al., 2019)","noteIndex":0},"citationItems":[{"id":4746,"uris":["http://zotero.org/users/9456007/items/UF9JLPLR"],"itemData":{"id":4746,"type":"article-journal","abstract":"Abstract\n            Marine Protected Areas (MPAs) are increasingly established globally as a spatial management tool to aid in conservation and fisheries management objectives. Assessing whether MPAs are having the desired effects on populations requires effective monitoring programs. A cornerstone of an effective monitoring program is an assessment of the statistical power of sampling designs to detect changes when they occur. We present a novel approach to power assessment that combines spatial point process models, integral projection models (IPMs) and sampling simulations to assess the power of different sample designs across a network of MPAs. We focus on the use of remotely operated vehicle (ROV) video cameras as the sampling method, though the results could be extended to other sampling methods. We use empirical data from baseline surveys of an example indicator fish species across three MPAs in California, USA as a case study. Spatial models simulated time series of spatial distributions across sites that accounted for the effects of environmental covariates, while IPMs simulated expected trends over time in abundances and sizes of fish. We tested the power of different levels of sampling effort (i.e., the number of 500‐m ROV transects) and temporal replication (every 1–3 yr) to detect expected post‐MPA changes in fish abundance and biomass. We found that changes in biomass are detectable earlier than changes in abundance. We also found that detectability of MPA effects was higher in sites with higher initial densities. Increasing the sampling effort had a greater effect than increasing sampling frequency on the time taken to achieve high power. High power was best achieved by combining data from multiple sites. Our approach provides a powerful tool to explore the interaction between sampling effort, spatial distributions, population dynamics, and metrics for detecting change in previously fished populations.","citation-key":"perkins2021","container-title":"Ecological Applications","DOI":"10.1002/eap.2215","ISSN":"1051-0761, 1939-5582","issue":"1","journalAbbreviation":"Ecological Applications","language":"en","page":"e2215","source":"DOI.org (Crossref)","title":"Quantifying the statistical power of monitoring programs for marine protected areas","volume":"31","author":[{"family":"Perkins","given":"Nicholas R."},{"family":"Prall","given":"Michael"},{"family":"Chakraborty","given":"Avishek"},{"family":"White","given":"J. Wilson"},{"family":"Baskett","given":"Marissa L."},{"family":"Morgan","given":"Steven G."}],"issued":{"date-parts":[["2021",1]]}}},{"id":4743,"uris":["http://zotero.org/users/9456007/items/3YVMICB5"],"itemData":{"id":4743,"type":"article-journal","abstract":"Abstract\n            Freshwater ecosystems constitute only a small fraction of the planet's water resources, yet support much of its diversity, with freshwater fish accounting for more species than birds, mammals, amphibians or reptiles. Fresh waters are, however, particularly vulnerable to anthropogenic impacts, including habitat loss, climate and land use change, pollution and biological invasions. This environmental degradation, combined with unprecedented rates of biodiversity change, highlights the importance of robust and replicable programmes to monitor freshwater fish. Such monitoring programmes can have diverse aims, including confirming the presence of a single species (e.g., early detection of alien species), tracking changes in the abundance of threatened species, or documenting long‐term temporal changes in entire communities. Irrespective of their motivation, monitoring programmes are only fit for purpose if they have clearly articulated aims and collect data that can meet those aims. This review, therefore, highlights the importance of identifying the key aims in monitoring programmes and outlines the different methods of sampling freshwater fish that can be used to meet these aims. We emphasize that investigators must address issues around sampling design, statistical power, species’ detectability, taxonomy and ethics in their monitoring programmes. Additionally, programmes must ensure that high‐quality monitoring data are properly curated and deposited in repositories that will endure. Through fostering improved practice in freshwater fish monitoring, this review aims to help programmes improve understanding of the processes that shape the Earth's freshwater ecosystems and help protect these systems in face of rapid environmental change.","citation-key":"radinger2019","container-title":"Fish and Fisheries","DOI":"10.1111/faf.12373","ISSN":"1467-2960, 1467-2979","issue":"4","journalAbbreviation":"Fish and Fisheries","language":"en","page":"729-747","source":"DOI.org (Crossref)","title":"Effective monitoring of freshwater fish","volume":"20","author":[{"family":"Radinger","given":"Johannes"},{"family":"Britton","given":"J. Robert"},{"family":"Carlson","given":"Stephanie M."},{"family":"Magurran","given":"Anne E."},{"family":"Alcaraz‐Hernández","given":"Juan Diego"},{"family":"Almodóvar","given":"Ana"},{"family":"Benejam","given":"Lluís"},{"family":"Fernández‐Delgado","given":"Carlos"},{"family":"Nicola","given":"Graciela G."},{"family":"Oliva‐Paterna","given":"Francisco J."},{"family":"Torralva","given":"Mar"},{"family":"García‐Berthou","given":"Emili"}],"issued":{"date-parts":[["2019",7]]}}}],"schema":"https://github.com/citation-style-language/schema/raw/master/csl-citation.json"} </w:instrText>
      </w:r>
      <w:r w:rsidR="00BC31E5">
        <w:fldChar w:fldCharType="separate"/>
      </w:r>
      <w:r>
        <w:rPr>
          <w:noProof/>
        </w:rPr>
        <w:t>(Perkins et al., 2021; Radinger et al., 2019)</w:t>
      </w:r>
      <w:r w:rsidR="00BC31E5">
        <w:fldChar w:fldCharType="end"/>
      </w:r>
      <w:r>
        <w:t xml:space="preserve">  </w:t>
      </w:r>
      <w:r w:rsidR="0076494A">
        <w:t>Moreover</w:t>
      </w:r>
      <w:r w:rsidR="00636E60">
        <w:t xml:space="preserve">, </w:t>
      </w:r>
      <w:r w:rsidR="00777676">
        <w:t>the species spatial autocorrelation</w:t>
      </w:r>
      <w:r w:rsidR="00636E60">
        <w:t xml:space="preserve"> parameter </w:t>
      </w:r>
      <w:r w:rsidR="00B532B4" w:rsidRPr="00B532B4">
        <w:t>plays a</w:t>
      </w:r>
      <w:r w:rsidR="00B532B4">
        <w:t>n additional</w:t>
      </w:r>
      <w:r w:rsidR="00B532B4" w:rsidRPr="00B532B4">
        <w:t xml:space="preserve"> role</w:t>
      </w:r>
      <w:r w:rsidR="00B532B4">
        <w:t xml:space="preserve"> </w:t>
      </w:r>
      <w:r w:rsidR="006502A4">
        <w:t>in</w:t>
      </w:r>
      <w:r w:rsidR="00636E60">
        <w:t xml:space="preserve"> </w:t>
      </w:r>
      <w:r w:rsidR="00777676">
        <w:t xml:space="preserve">defining the decision on sampling effort. </w:t>
      </w:r>
      <w:r w:rsidR="006D0F2D" w:rsidRPr="006D0F2D">
        <w:t xml:space="preserve">Highly autocorrelated species (e.g., </w:t>
      </w:r>
      <w:r w:rsidR="006D0F2D" w:rsidRPr="00EF344D">
        <w:rPr>
          <w:i/>
          <w:iCs/>
        </w:rPr>
        <w:t>ρ</w:t>
      </w:r>
      <w:r w:rsidR="00D12D23">
        <w:t xml:space="preserve"> &gt; </w:t>
      </w:r>
      <w:r w:rsidR="006D0F2D" w:rsidRPr="006D0F2D">
        <w:t xml:space="preserve">500 km) reach </w:t>
      </w:r>
      <w:r w:rsidR="00E034D3">
        <w:t xml:space="preserve">the precision </w:t>
      </w:r>
      <w:r w:rsidR="006D0F2D" w:rsidRPr="006D0F2D">
        <w:t>threshold of negligible improvement at much lower sampling densities (roughly 4 to 5 samples per 10,000 km²)</w:t>
      </w:r>
      <w:r w:rsidR="00A40B74">
        <w:t>, conversely</w:t>
      </w:r>
      <w:r w:rsidR="006D0F2D" w:rsidRPr="006D0F2D">
        <w:t>, patchily distributed species (</w:t>
      </w:r>
      <w:r w:rsidR="006D0F2D" w:rsidRPr="00D12D23">
        <w:rPr>
          <w:i/>
          <w:iCs/>
        </w:rPr>
        <w:t>ρ</w:t>
      </w:r>
      <w:r w:rsidR="00D12D23">
        <w:t xml:space="preserve"> &lt; </w:t>
      </w:r>
      <w:r w:rsidR="006D0F2D" w:rsidRPr="006D0F2D">
        <w:t>50 km) require a denser sampling network (roughly 8 to 11 samples per 10,000 km²) before the marginal gains drop below the threshold</w:t>
      </w:r>
      <w:r w:rsidR="00F44773">
        <w:t xml:space="preserve">. </w:t>
      </w:r>
      <w:r w:rsidR="00BC3F86">
        <w:t xml:space="preserve"> </w:t>
      </w:r>
      <w:r>
        <w:t xml:space="preserve">Once the required precision and ρ are known </w:t>
      </w:r>
      <w:r w:rsidR="000B644D">
        <w:t>(</w:t>
      </w:r>
      <w:r>
        <w:t>from prior literature, pilot sampling or expert judgement</w:t>
      </w:r>
      <w:r w:rsidR="000B644D">
        <w:t>),</w:t>
      </w:r>
      <w:r>
        <w:t xml:space="preserve"> the</w:t>
      </w:r>
      <w:r>
        <w:t xml:space="preserve"> log</w:t>
      </w:r>
      <w:r w:rsidR="005275B2">
        <w:t>-</w:t>
      </w:r>
      <w:r w:rsidR="007E1D5D" w:rsidRPr="007E1D5D">
        <w:t>log model </w:t>
      </w:r>
      <w:r w:rsidR="007E1D5D">
        <w:rPr>
          <w:lang w:val="el-GR"/>
        </w:rPr>
        <w:t xml:space="preserve">ε = </w:t>
      </w:r>
      <w:r w:rsidR="00A51671">
        <w:t>e</w:t>
      </w:r>
      <w:r w:rsidR="007E1D5D" w:rsidRPr="00A51671">
        <w:rPr>
          <w:vertAlign w:val="superscript"/>
          <w:lang w:val="el-GR"/>
        </w:rPr>
        <w:t>ω</w:t>
      </w:r>
      <w:r w:rsidR="007E1D5D">
        <w:t>E</w:t>
      </w:r>
      <w:proofErr w:type="spellStart"/>
      <w:r w:rsidR="006D5877" w:rsidRPr="006D5877">
        <w:rPr>
          <w:vertAlign w:val="superscript"/>
          <w:lang w:val="el-GR"/>
        </w:rPr>
        <w:t>β</w:t>
      </w:r>
      <w:r w:rsidR="006D5877">
        <w:rPr>
          <w:lang w:val="el-GR"/>
        </w:rPr>
        <w:t>ρ</w:t>
      </w:r>
      <w:r w:rsidR="006D5877" w:rsidRPr="006D5877">
        <w:rPr>
          <w:vertAlign w:val="superscript"/>
          <w:lang w:val="el-GR"/>
        </w:rPr>
        <w:t>θ</w:t>
      </w:r>
      <w:proofErr w:type="spellEnd"/>
      <w:r w:rsidR="006D5877">
        <w:rPr>
          <w:lang w:val="el-GR"/>
        </w:rPr>
        <w:t>(</w:t>
      </w:r>
      <w:r w:rsidR="006D5877">
        <w:t>E</w:t>
      </w:r>
      <w:r w:rsidR="006D5877">
        <w:rPr>
          <w:lang w:val="el-GR"/>
        </w:rPr>
        <w:t>ρ)</w:t>
      </w:r>
      <w:r w:rsidR="006D5877" w:rsidRPr="006D5877">
        <w:rPr>
          <w:vertAlign w:val="superscript"/>
          <w:lang w:val="el-GR"/>
        </w:rPr>
        <w:t>γ</w:t>
      </w:r>
      <w:r w:rsidR="007E1D5D" w:rsidRPr="007E1D5D">
        <w:t xml:space="preserve"> </w:t>
      </w:r>
      <w:r w:rsidR="0081327D">
        <w:t>(from Eq. 6</w:t>
      </w:r>
      <w:r w:rsidR="00317C6C">
        <w:t xml:space="preserve">; </w:t>
      </w:r>
      <w:r w:rsidR="005532E2">
        <w:t xml:space="preserve">Figure </w:t>
      </w:r>
      <w:r w:rsidR="00003D9A">
        <w:t>4</w:t>
      </w:r>
      <w:r w:rsidR="001A0205">
        <w:t>B</w:t>
      </w:r>
      <w:r w:rsidR="00406B42">
        <w:t xml:space="preserve">, </w:t>
      </w:r>
      <w:r w:rsidR="00322184">
        <w:t xml:space="preserve">Appendix S1: </w:t>
      </w:r>
      <w:r w:rsidR="005532E2">
        <w:t>Figure</w:t>
      </w:r>
      <w:r w:rsidR="00317C6C">
        <w:t xml:space="preserve"> S1</w:t>
      </w:r>
      <w:r w:rsidR="00C412FE">
        <w:t xml:space="preserve"> and S6</w:t>
      </w:r>
      <w:r w:rsidR="005532E2">
        <w:t>)</w:t>
      </w:r>
      <w:r w:rsidR="003665D2">
        <w:t xml:space="preserve"> </w:t>
      </w:r>
      <w:r w:rsidR="007E1D5D" w:rsidRPr="007E1D5D">
        <w:t>can be inverted to solve for the minimum sampling density </w:t>
      </w:r>
      <w:r w:rsidR="00A51671" w:rsidRPr="00BC3F86">
        <w:rPr>
          <w:i/>
          <w:iCs/>
        </w:rPr>
        <w:t>E</w:t>
      </w:r>
      <w:r w:rsidR="007E1D5D" w:rsidRPr="007E1D5D">
        <w:t xml:space="preserve"> required to keep </w:t>
      </w:r>
      <w:r w:rsidR="0039370D">
        <w:rPr>
          <w:lang w:val="el-GR"/>
        </w:rPr>
        <w:t>Δε</w:t>
      </w:r>
      <w:r w:rsidR="007E1D5D" w:rsidRPr="007E1D5D">
        <w:t xml:space="preserve"> below the chosen threshold.</w:t>
      </w:r>
    </w:p>
    <w:p w14:paraId="229281D3" w14:textId="77777777" w:rsidR="00BA4DE0" w:rsidRDefault="00BA4DE0" w:rsidP="001643E6">
      <w:pPr>
        <w:pStyle w:val="p3"/>
        <w:spacing w:before="0" w:beforeAutospacing="0" w:after="0" w:afterAutospacing="0" w:line="480" w:lineRule="auto"/>
        <w:jc w:val="both"/>
      </w:pPr>
    </w:p>
    <w:p w14:paraId="6A7B2F03" w14:textId="41CBD479" w:rsidR="00B9718F" w:rsidRDefault="00BA4DE0" w:rsidP="001643E6">
      <w:pPr>
        <w:pStyle w:val="p3"/>
        <w:spacing w:before="0" w:beforeAutospacing="0" w:after="0" w:afterAutospacing="0" w:line="480" w:lineRule="auto"/>
        <w:jc w:val="both"/>
      </w:pPr>
      <w:bookmarkStart w:id="20" w:name="OLE_LINK13"/>
      <w:r w:rsidRPr="00BA4DE0">
        <w:t xml:space="preserve">Applying </w:t>
      </w:r>
      <w:r>
        <w:t>our</w:t>
      </w:r>
      <w:r w:rsidRPr="00BA4DE0">
        <w:t xml:space="preserve"> simulation-derived thresholds to our empirical data </w:t>
      </w:r>
      <w:r>
        <w:t>further</w:t>
      </w:r>
      <w:r w:rsidRPr="00BA4DE0">
        <w:t xml:space="preserve"> illustrates this context dependency. Extrapolating the findings from the simulations, species such as </w:t>
      </w:r>
      <w:proofErr w:type="spellStart"/>
      <w:r w:rsidRPr="00C83611">
        <w:rPr>
          <w:i/>
          <w:iCs/>
        </w:rPr>
        <w:t>Leuroglossus</w:t>
      </w:r>
      <w:proofErr w:type="spellEnd"/>
      <w:r w:rsidRPr="00C83611">
        <w:rPr>
          <w:i/>
          <w:iCs/>
        </w:rPr>
        <w:t xml:space="preserve"> </w:t>
      </w:r>
      <w:proofErr w:type="spellStart"/>
      <w:r w:rsidRPr="00C83611">
        <w:rPr>
          <w:i/>
          <w:iCs/>
        </w:rPr>
        <w:t>stilbius</w:t>
      </w:r>
      <w:proofErr w:type="spellEnd"/>
      <w:r w:rsidRPr="00BA4DE0">
        <w:t xml:space="preserve"> and </w:t>
      </w:r>
      <w:proofErr w:type="spellStart"/>
      <w:r w:rsidRPr="00C83611">
        <w:rPr>
          <w:i/>
          <w:iCs/>
        </w:rPr>
        <w:t>Microstomus</w:t>
      </w:r>
      <w:proofErr w:type="spellEnd"/>
      <w:r w:rsidRPr="00C83611">
        <w:rPr>
          <w:i/>
          <w:iCs/>
        </w:rPr>
        <w:t xml:space="preserve"> pacificus</w:t>
      </w:r>
      <w:r w:rsidR="00C83611">
        <w:t xml:space="preserve"> (</w:t>
      </w:r>
      <w:r w:rsidR="00474DF4">
        <w:t xml:space="preserve">species with </w:t>
      </w:r>
      <w:r w:rsidR="00C83611">
        <w:t>high</w:t>
      </w:r>
      <w:r w:rsidR="00C83611" w:rsidRPr="00BA4DE0">
        <w:t xml:space="preserve"> spatial</w:t>
      </w:r>
      <w:r w:rsidR="00C83611">
        <w:t xml:space="preserve"> autocorrelations) </w:t>
      </w:r>
      <w:r w:rsidRPr="00BA4DE0">
        <w:t>would require only 4 samples per 10,000 km</w:t>
      </w:r>
      <w:r w:rsidR="00C83611" w:rsidRPr="00C83611">
        <w:rPr>
          <w:vertAlign w:val="superscript"/>
        </w:rPr>
        <w:t>2</w:t>
      </w:r>
      <w:r w:rsidRPr="00BA4DE0">
        <w:t xml:space="preserve"> to achieve a negligible marginal gain in precision</w:t>
      </w:r>
      <w:r w:rsidR="00C83611">
        <w:t xml:space="preserve"> (defined here arbitrary as </w:t>
      </w:r>
      <w:r w:rsidR="00C83611" w:rsidRPr="00EF344D">
        <w:rPr>
          <w:i/>
          <w:iCs/>
          <w:lang w:val="el-GR"/>
        </w:rPr>
        <w:t>Δε</w:t>
      </w:r>
      <w:r w:rsidR="00C83611">
        <w:t xml:space="preserve"> = </w:t>
      </w:r>
      <w:r w:rsidR="00A3319D">
        <w:t>-</w:t>
      </w:r>
      <w:r w:rsidR="00C83611">
        <w:t>0.05)</w:t>
      </w:r>
      <w:r w:rsidRPr="00BA4DE0">
        <w:t>. In contrast</w:t>
      </w:r>
      <w:r w:rsidR="00C83611">
        <w:t xml:space="preserve"> </w:t>
      </w:r>
      <w:r w:rsidRPr="00BA4DE0">
        <w:t xml:space="preserve">such as </w:t>
      </w:r>
      <w:r w:rsidRPr="00C83611">
        <w:rPr>
          <w:i/>
          <w:iCs/>
        </w:rPr>
        <w:t xml:space="preserve">Trachurus </w:t>
      </w:r>
      <w:proofErr w:type="spellStart"/>
      <w:r w:rsidRPr="00C83611">
        <w:rPr>
          <w:i/>
          <w:iCs/>
        </w:rPr>
        <w:t>symmetricus</w:t>
      </w:r>
      <w:proofErr w:type="spellEnd"/>
      <w:r w:rsidRPr="00BA4DE0">
        <w:t xml:space="preserve">, </w:t>
      </w:r>
      <w:proofErr w:type="spellStart"/>
      <w:r w:rsidRPr="00C83611">
        <w:rPr>
          <w:i/>
          <w:iCs/>
        </w:rPr>
        <w:t>Thaleichthys</w:t>
      </w:r>
      <w:proofErr w:type="spellEnd"/>
      <w:r w:rsidRPr="00C83611">
        <w:rPr>
          <w:i/>
          <w:iCs/>
        </w:rPr>
        <w:t xml:space="preserve"> pacificus</w:t>
      </w:r>
      <w:r w:rsidRPr="00BA4DE0">
        <w:t xml:space="preserve">, </w:t>
      </w:r>
      <w:proofErr w:type="spellStart"/>
      <w:r w:rsidRPr="00C83611">
        <w:rPr>
          <w:i/>
          <w:iCs/>
        </w:rPr>
        <w:t>Stenobrachius</w:t>
      </w:r>
      <w:proofErr w:type="spellEnd"/>
      <w:r w:rsidRPr="00C83611">
        <w:rPr>
          <w:i/>
          <w:iCs/>
        </w:rPr>
        <w:t xml:space="preserve"> </w:t>
      </w:r>
      <w:proofErr w:type="spellStart"/>
      <w:r w:rsidRPr="00C83611">
        <w:rPr>
          <w:i/>
          <w:iCs/>
        </w:rPr>
        <w:lastRenderedPageBreak/>
        <w:t>leucopsarus</w:t>
      </w:r>
      <w:proofErr w:type="spellEnd"/>
      <w:r w:rsidRPr="00BA4DE0">
        <w:t xml:space="preserve">, and </w:t>
      </w:r>
      <w:proofErr w:type="spellStart"/>
      <w:r w:rsidRPr="00C83611">
        <w:rPr>
          <w:i/>
          <w:iCs/>
        </w:rPr>
        <w:t>Tarletonbeania</w:t>
      </w:r>
      <w:proofErr w:type="spellEnd"/>
      <w:r w:rsidRPr="00C83611">
        <w:rPr>
          <w:i/>
          <w:iCs/>
        </w:rPr>
        <w:t xml:space="preserve"> </w:t>
      </w:r>
      <w:proofErr w:type="spellStart"/>
      <w:r w:rsidRPr="00C83611">
        <w:rPr>
          <w:i/>
          <w:iCs/>
        </w:rPr>
        <w:t>crenularis</w:t>
      </w:r>
      <w:proofErr w:type="spellEnd"/>
      <w:r w:rsidR="00C83611">
        <w:t xml:space="preserve"> (</w:t>
      </w:r>
      <w:r w:rsidR="00A03F1E">
        <w:t xml:space="preserve">species with </w:t>
      </w:r>
      <w:r w:rsidR="00C83611" w:rsidRPr="00BA4DE0">
        <w:t>low spatial autocorrelation</w:t>
      </w:r>
      <w:r w:rsidR="00C83611">
        <w:t xml:space="preserve">) </w:t>
      </w:r>
      <w:r w:rsidRPr="00BA4DE0">
        <w:t xml:space="preserve">would require approximately 9 samples per 10,000 </w:t>
      </w:r>
      <w:r w:rsidR="00E86F83" w:rsidRPr="00BA4DE0">
        <w:t>km</w:t>
      </w:r>
      <w:r w:rsidR="00E86F83" w:rsidRPr="00C83611">
        <w:rPr>
          <w:vertAlign w:val="superscript"/>
        </w:rPr>
        <w:t>2</w:t>
      </w:r>
      <w:r w:rsidRPr="00BA4DE0">
        <w:t xml:space="preserve"> to reach the same relative threshold</w:t>
      </w:r>
      <w:r w:rsidR="001A0C00">
        <w:t xml:space="preserve"> </w:t>
      </w:r>
      <w:r w:rsidR="00A817FC">
        <w:fldChar w:fldCharType="begin"/>
      </w:r>
      <w:r w:rsidR="00A817FC">
        <w:instrText xml:space="preserve"> ADDIN ZOTERO_ITEM CSL_CITATION {"citationID":"RH8yS48b","properties":{"unsorted":false,"formattedCitation":"(Liu et al., 2026)","plainCitation":"(Liu et al., 2026)","noteIndex":0},"citationItems":[{"id":4798,"uris":["http://zotero.org/users/9456007/items/UYS8F8W9"],"itemData":{"id":4798,"type":"article-journal","citation-key":"liu2026","container-title":"Communications Biology","DOI":"10.1038/s42003-026-09733-5","ISSN":"2399-3642","issue":"1","journalAbbreviation":"Commun Biol","language":"en","page":"465","source":"DOI.org (Crossref)","title":"Mapping the marine distribution of eulachon (Thaleichthys pacificus) in the Northeast Pacific using environmental DNA","volume":"9","author":[{"family":"Liu","given":"Owen R."},{"family":"Shelton","given":"Andrew O."},{"family":"Ramón-Laca","given":"Ana"},{"family":"Nichols","given":"Krista M."},{"family":"Ward","given":"Eric J."},{"family":"Phillips","given":"Elizabeth M."},{"family":"Zamon","given":"Jeannette E."},{"family":"Wells","given":"Abigail"},{"family":"Kelly","given":"Ryan P."}],"issued":{"date-parts":[["2026",2,20]]}}}],"schema":"https://github.com/citation-style-language/schema/raw/master/csl-citation.json"} </w:instrText>
      </w:r>
      <w:r w:rsidR="00A817FC">
        <w:fldChar w:fldCharType="separate"/>
      </w:r>
      <w:r w:rsidR="00A817FC">
        <w:rPr>
          <w:noProof/>
        </w:rPr>
        <w:t>(Liu et al., 2026)</w:t>
      </w:r>
      <w:r w:rsidR="00A817FC">
        <w:fldChar w:fldCharType="end"/>
      </w:r>
      <w:r>
        <w:t xml:space="preserve">. </w:t>
      </w:r>
      <w:r w:rsidR="00B9718F" w:rsidRPr="00B9718F">
        <w:t xml:space="preserve">The remaining species </w:t>
      </w:r>
      <w:r w:rsidR="00B9718F">
        <w:t>fall</w:t>
      </w:r>
      <w:r w:rsidR="00B9718F" w:rsidRPr="00B9718F">
        <w:t xml:space="preserve"> within </w:t>
      </w:r>
      <w:r w:rsidR="00B9718F">
        <w:t>the</w:t>
      </w:r>
      <w:r w:rsidR="00B9718F" w:rsidRPr="00B9718F">
        <w:t xml:space="preserve"> range of 4</w:t>
      </w:r>
      <w:r w:rsidR="00E86F83">
        <w:t>-</w:t>
      </w:r>
      <w:r w:rsidR="00B9718F" w:rsidRPr="00B9718F">
        <w:t>9 samples per 10,000 km²</w:t>
      </w:r>
      <w:r w:rsidR="00FF7D1B">
        <w:t xml:space="preserve"> (</w:t>
      </w:r>
      <w:r w:rsidR="00FF7D1B" w:rsidRPr="00FF7D1B">
        <w:t xml:space="preserve">for context this is slightly higher than our current empirical </w:t>
      </w:r>
      <w:r w:rsidR="00FF7D1B">
        <w:t xml:space="preserve">grid and </w:t>
      </w:r>
      <w:proofErr w:type="spellStart"/>
      <w:r w:rsidR="00FF7D1B" w:rsidRPr="00FF7D1B">
        <w:t>CalCOFI's</w:t>
      </w:r>
      <w:proofErr w:type="spellEnd"/>
      <w:r w:rsidR="00FF7D1B" w:rsidRPr="00FF7D1B">
        <w:t xml:space="preserve"> standard 75-station grid</w:t>
      </w:r>
      <w:r w:rsidR="00FF7D1B">
        <w:t xml:space="preserve"> with</w:t>
      </w:r>
      <w:r w:rsidR="00FF7D1B" w:rsidRPr="00FF7D1B">
        <w:t xml:space="preserve"> 3.6 </w:t>
      </w:r>
      <w:r w:rsidR="00FF7D1B">
        <w:t>and 3.4</w:t>
      </w:r>
      <w:r w:rsidR="00CE2CA0">
        <w:t xml:space="preserve"> </w:t>
      </w:r>
      <w:r w:rsidR="00FF7D1B" w:rsidRPr="00FF7D1B">
        <w:t xml:space="preserve">samples </w:t>
      </w:r>
      <w:r w:rsidR="00FF7D1B">
        <w:t xml:space="preserve">per </w:t>
      </w:r>
      <w:r w:rsidR="00FF7D1B" w:rsidRPr="00FF7D1B">
        <w:t>10000 k</w:t>
      </w:r>
      <w:r w:rsidR="00FF7D1B">
        <w:t>m</w:t>
      </w:r>
      <w:r w:rsidR="00FF7D1B" w:rsidRPr="00FF7D1B">
        <w:rPr>
          <w:vertAlign w:val="superscript"/>
        </w:rPr>
        <w:t>2</w:t>
      </w:r>
      <w:r w:rsidR="00FF7D1B" w:rsidRPr="00FF7D1B">
        <w:t xml:space="preserve"> </w:t>
      </w:r>
      <w:r w:rsidR="00FF7D1B">
        <w:t>respectively)</w:t>
      </w:r>
      <w:r w:rsidR="00B9718F" w:rsidRPr="00B9718F">
        <w:t>, consistent with their intermediate spatial autocorrelation values</w:t>
      </w:r>
      <w:r w:rsidR="00B9718F">
        <w:t>.</w:t>
      </w:r>
      <w:r w:rsidR="00C568AC">
        <w:t xml:space="preserve"> </w:t>
      </w:r>
      <w:r>
        <w:t xml:space="preserve">However, given that our analysis is based </w:t>
      </w:r>
      <w:r w:rsidR="0017095B" w:rsidRPr="0017095B">
        <w:t>on 12 fish species, extending this conclusion to other taxa or ecosystems should be done with caution, and additional species may exhibit different scaling relationships.</w:t>
      </w:r>
    </w:p>
    <w:bookmarkEnd w:id="20"/>
    <w:p w14:paraId="4C4E4513" w14:textId="77777777" w:rsidR="00541A82" w:rsidRDefault="00541A82" w:rsidP="001643E6">
      <w:pPr>
        <w:pStyle w:val="p3"/>
        <w:spacing w:before="0" w:beforeAutospacing="0" w:after="0" w:afterAutospacing="0" w:line="480" w:lineRule="auto"/>
        <w:jc w:val="both"/>
      </w:pPr>
    </w:p>
    <w:p w14:paraId="5D715548" w14:textId="77777777" w:rsidR="00541A82" w:rsidRPr="000D2BF7" w:rsidRDefault="00541A82" w:rsidP="001643E6">
      <w:pPr>
        <w:pStyle w:val="Heading3"/>
        <w:spacing w:before="0" w:after="0" w:line="480" w:lineRule="auto"/>
        <w:jc w:val="both"/>
        <w:rPr>
          <w:i w:val="0"/>
          <w:iCs/>
        </w:rPr>
      </w:pPr>
      <w:r w:rsidRPr="000D2BF7">
        <w:rPr>
          <w:i w:val="0"/>
          <w:iCs/>
        </w:rPr>
        <w:t>Depth-dependent patterns</w:t>
      </w:r>
    </w:p>
    <w:p w14:paraId="5FE1855E" w14:textId="4C7CBAD4" w:rsidR="00541A82" w:rsidRDefault="00541A82" w:rsidP="001643E6">
      <w:pPr>
        <w:pStyle w:val="p3"/>
        <w:spacing w:before="0" w:beforeAutospacing="0" w:after="0" w:afterAutospacing="0" w:line="480" w:lineRule="auto"/>
        <w:jc w:val="both"/>
      </w:pPr>
      <w:r>
        <w:t>Surface-associated species were consistently patchier than deep-associated ones and showed larger surface–deep differences in mean concentration (Figure 3), which is consistent</w:t>
      </w:r>
      <w:r>
        <w:t xml:space="preserve"> with greater spatial heterogeneity in surface waters driven by stronger horizontal gradients, mixing, productivity hotspots, and advective transport, while deeper layers may be more spatially structured and comparatively homogeneous at the regional scale</w:t>
      </w:r>
      <w:r w:rsidR="000B632F">
        <w:t xml:space="preserve"> </w:t>
      </w:r>
      <w:r w:rsidR="004306D0">
        <w:fldChar w:fldCharType="begin"/>
      </w:r>
      <w:r w:rsidR="000B632F">
        <w:instrText xml:space="preserve"> ADDIN ZOTERO_ITEM CSL_CITATION {"citationID":"1xYQFwQq","properties":{"unsorted":false,"formattedCitation":"(Guri et al., 2023)","plainCitation":"(Guri et al., 2023)","noteIndex":0},"citationItems":[{"id":758,"uris":["http://zotero.org/users/9456007/items/RFXVDPRJ"],"itemData":{"id":758,"type":"article-journal","citation-key":"guri2023","container-title":"Environmental DNA","DOI":"10.1002/edn3.409","ISSN":"2637-4943, 2637-4943","journalAbbreviation":"Environmental DNA","language":"en","license":"Creative Commons Attribution-NonCommercial-NoDerivatives 4.0 International Licence (CC-BY-NC-ND)","note":"17 citations (Crossref/DOI) [2026-01-20]\n15 citations (Crossref/DOI) [2025-12-02]\n14 citations (Crossref/DOI) [2025-10-27]\n1 citations (Crossref) [2023-10-02]\n1 citations (Semantic Scholar/DOI) [2023-09-28]","page":"edn3.409","source":"DOI.org (Crossref)","title":"Maximizing sampling efficiency to detect differences in fish community composition using environmental DNA metabarcoding in subarctic fjords","title-short":"Maximizing sampling efficiency to detect differences in fish community composition using &lt;span style=\"font-variant","author":[{"family":"Guri","given":"Gledis"},{"family":"Westgaard","given":"Jon‐Ivar"},{"family":"Yoccoz","given":"Nigel"},{"family":"Wangensteen","given":"Owen S."},{"family":"Præbel","given":"Kim"},{"family":"Ray","given":"Jessica Louise"},{"family":"Kelly","given":"Ryan P."},{"family":"Shelton","given":"Andrew Olaf"},{"family":"Hanebrekke","given":"Tanja"},{"family":"Johansen","given":"Torild"}],"issued":{"date-parts":[["2023",4,14]]}}}],"schema":"https://github.com/citation-style-language/schema/raw/master/csl-citation.json"} </w:instrText>
      </w:r>
      <w:r w:rsidR="004306D0">
        <w:fldChar w:fldCharType="separate"/>
      </w:r>
      <w:r w:rsidR="000B632F">
        <w:rPr>
          <w:noProof/>
        </w:rPr>
        <w:t>(Guri et al., 2023)</w:t>
      </w:r>
      <w:r w:rsidR="004306D0">
        <w:fldChar w:fldCharType="end"/>
      </w:r>
      <w:r>
        <w:t>. From a sampling-efficiency perspective, this implies that surface-focused monitoring may require denser spatial sampling to reconstruct patchy distributions, whereas deep-layer monitoring may allow coarser sampling grids while retaining predictive fidelity-provided that the eDNA field at depth remains spatially coherent and that vertical transport does not dominate the observed signal.</w:t>
      </w:r>
    </w:p>
    <w:p w14:paraId="5939FF5B" w14:textId="77777777" w:rsidR="00E86F83" w:rsidRDefault="00E86F83" w:rsidP="001643E6">
      <w:pPr>
        <w:pStyle w:val="p3"/>
        <w:spacing w:before="0" w:beforeAutospacing="0" w:after="0" w:afterAutospacing="0" w:line="480" w:lineRule="auto"/>
        <w:jc w:val="both"/>
      </w:pPr>
    </w:p>
    <w:p w14:paraId="73E94A9C" w14:textId="7AC20DB9" w:rsidR="00DB1B7A" w:rsidRDefault="0029719D" w:rsidP="001643E6">
      <w:pPr>
        <w:pStyle w:val="p3"/>
        <w:spacing w:before="0" w:beforeAutospacing="0" w:after="0" w:afterAutospacing="0" w:line="480" w:lineRule="auto"/>
        <w:jc w:val="both"/>
      </w:pPr>
      <w:r w:rsidRPr="00276F54">
        <w:rPr>
          <w:b/>
          <w:bCs/>
        </w:rPr>
        <w:t xml:space="preserve">Estimating GP parameters from reduced-effort </w:t>
      </w:r>
      <w:r w:rsidR="00276F54" w:rsidRPr="00276F54">
        <w:rPr>
          <w:b/>
          <w:bCs/>
        </w:rPr>
        <w:t>simulations</w:t>
      </w:r>
    </w:p>
    <w:p w14:paraId="7F4322C0" w14:textId="32057F66" w:rsidR="00E6092D" w:rsidRDefault="00180FAF" w:rsidP="001643E6">
      <w:pPr>
        <w:pStyle w:val="p3"/>
        <w:spacing w:before="0" w:beforeAutospacing="0" w:after="0" w:afterAutospacing="0" w:line="480" w:lineRule="auto"/>
        <w:jc w:val="both"/>
      </w:pPr>
      <w:r w:rsidRPr="00BC5CC1">
        <w:t>E</w:t>
      </w:r>
      <w:r w:rsidR="00D71E05" w:rsidRPr="00BC5CC1">
        <w:t>stimation</w:t>
      </w:r>
      <w:r w:rsidRPr="00BC5CC1">
        <w:t xml:space="preserve"> of </w:t>
      </w:r>
      <w:r w:rsidRPr="00E27661">
        <w:rPr>
          <w:i/>
          <w:iCs/>
          <w:lang w:val="el-GR"/>
        </w:rPr>
        <w:t>μ</w:t>
      </w:r>
      <w:r w:rsidRPr="00E27661">
        <w:rPr>
          <w:i/>
          <w:iCs/>
          <w:vertAlign w:val="subscript"/>
        </w:rPr>
        <w:t>d</w:t>
      </w:r>
      <w:r w:rsidR="00D71E05" w:rsidRPr="00BC5CC1">
        <w:t xml:space="preserve"> improved with increasing effort when </w:t>
      </w:r>
      <w:r w:rsidR="0044757D" w:rsidRPr="00BC5CC1">
        <w:t>scenarios</w:t>
      </w:r>
      <w:r w:rsidR="00D71E05" w:rsidRPr="00BC5CC1">
        <w:t xml:space="preserve"> had </w:t>
      </w:r>
      <w:r w:rsidRPr="00BC5CC1">
        <w:t>small</w:t>
      </w:r>
      <w:r w:rsidR="00D71E05" w:rsidRPr="00BC5CC1">
        <w:t xml:space="preserve"> spatial</w:t>
      </w:r>
      <w:r w:rsidRPr="00BC5CC1">
        <w:t xml:space="preserve"> autocorrelations</w:t>
      </w:r>
      <w:r w:rsidR="00D71E05" w:rsidRPr="00BC5CC1">
        <w:t xml:space="preserve">, but for </w:t>
      </w:r>
      <w:r w:rsidR="002C53EB" w:rsidRPr="00BC5CC1">
        <w:t xml:space="preserve">highly </w:t>
      </w:r>
      <w:r w:rsidR="00D71E05" w:rsidRPr="00BC5CC1">
        <w:t xml:space="preserve">autocorrelated </w:t>
      </w:r>
      <w:r w:rsidR="0044757D" w:rsidRPr="00BC5CC1">
        <w:t>scenarios</w:t>
      </w:r>
      <w:r w:rsidR="002C53EB" w:rsidRPr="00BC5CC1">
        <w:t xml:space="preserve"> (</w:t>
      </w:r>
      <w:r w:rsidR="00D71E05" w:rsidRPr="00BC5CC1">
        <w:t>especially above 400 km</w:t>
      </w:r>
      <w:r w:rsidR="002C53EB" w:rsidRPr="00BC5CC1">
        <w:t>)</w:t>
      </w:r>
      <w:r w:rsidR="00D71E05" w:rsidRPr="00BC5CC1">
        <w:t xml:space="preserve"> error </w:t>
      </w:r>
      <w:r w:rsidR="0044757D" w:rsidRPr="00BC5CC1">
        <w:t>(</w:t>
      </w:r>
      <w:r w:rsidR="00B73005" w:rsidRPr="00E27661">
        <w:rPr>
          <w:i/>
          <w:iCs/>
          <w:lang w:val="el-GR"/>
        </w:rPr>
        <w:t>τ</w:t>
      </w:r>
      <w:r w:rsidR="0044757D" w:rsidRPr="00BC5CC1">
        <w:t xml:space="preserve">) </w:t>
      </w:r>
      <w:r w:rsidR="00D71E05" w:rsidRPr="00BC5CC1">
        <w:t xml:space="preserve">in </w:t>
      </w:r>
      <w:r w:rsidR="00516CB5">
        <w:t xml:space="preserve">estimating </w:t>
      </w:r>
      <w:r w:rsidR="00D71E05" w:rsidRPr="00CD3652">
        <w:rPr>
          <w:i/>
          <w:iCs/>
        </w:rPr>
        <w:t>μ</w:t>
      </w:r>
      <w:r w:rsidR="00D71E05" w:rsidRPr="00BC5CC1">
        <w:t xml:space="preserve"> </w:t>
      </w:r>
      <w:r w:rsidR="00D71E05" w:rsidRPr="00BC5CC1">
        <w:lastRenderedPageBreak/>
        <w:t xml:space="preserve">increased rather than declined. </w:t>
      </w:r>
      <w:r w:rsidR="002820B7" w:rsidRPr="00BC5CC1">
        <w:t xml:space="preserve">One likely explanation is that, when the </w:t>
      </w:r>
      <w:r w:rsidR="00B252D4">
        <w:t xml:space="preserve">spatial </w:t>
      </w:r>
      <w:r w:rsidR="002820B7" w:rsidRPr="00BC5CC1">
        <w:t xml:space="preserve">autocorrelation </w:t>
      </w:r>
      <w:r w:rsidR="00B252D4">
        <w:t xml:space="preserve">parameter </w:t>
      </w:r>
      <w:r w:rsidR="002820B7" w:rsidRPr="00BC5CC1">
        <w:t>approaches or exceeds the spatial extent of the study area</w:t>
      </w:r>
      <w:r w:rsidR="00177159">
        <w:t xml:space="preserve"> (200 km longitudinal here)</w:t>
      </w:r>
      <w:r w:rsidR="002820B7" w:rsidRPr="00BC5CC1">
        <w:t xml:space="preserve">, </w:t>
      </w:r>
      <w:r w:rsidR="003B64C7" w:rsidRPr="003B64C7">
        <w:t>the data provide only weak information about the parameter</w:t>
      </w:r>
      <w:r w:rsidR="003B64C7">
        <w:t xml:space="preserve">, leaving the </w:t>
      </w:r>
      <w:r w:rsidR="00FF1409" w:rsidRPr="00FF1409">
        <w:t xml:space="preserve">posterior </w:t>
      </w:r>
      <w:r w:rsidR="00FF1409">
        <w:t xml:space="preserve">estimates </w:t>
      </w:r>
      <w:r w:rsidR="00FF1409" w:rsidRPr="00FF1409">
        <w:t>heavily dependent on the Bayesian prior</w:t>
      </w:r>
      <w:r w:rsidR="00FF1409">
        <w:t>.</w:t>
      </w:r>
      <w:r w:rsidR="0060712A">
        <w:t xml:space="preserve"> </w:t>
      </w:r>
    </w:p>
    <w:p w14:paraId="070060E8" w14:textId="77777777" w:rsidR="00286ADA" w:rsidRPr="00BC5CC1" w:rsidRDefault="00286ADA" w:rsidP="001643E6">
      <w:pPr>
        <w:pStyle w:val="p3"/>
        <w:spacing w:before="0" w:beforeAutospacing="0" w:after="0" w:afterAutospacing="0" w:line="480" w:lineRule="auto"/>
        <w:jc w:val="both"/>
      </w:pPr>
    </w:p>
    <w:p w14:paraId="25AAB611" w14:textId="624A3AC5" w:rsidR="002B45C6" w:rsidRDefault="001414C4" w:rsidP="001643E6">
      <w:pPr>
        <w:pStyle w:val="p3"/>
        <w:spacing w:before="0" w:beforeAutospacing="0" w:after="0" w:afterAutospacing="0" w:line="480" w:lineRule="auto"/>
        <w:jc w:val="both"/>
      </w:pPr>
      <w:r w:rsidRPr="00BC5CC1">
        <w:t xml:space="preserve">By contrast, estimation of the </w:t>
      </w:r>
      <w:r w:rsidR="00D15F71">
        <w:t>spatial autocorrelation</w:t>
      </w:r>
      <w:r w:rsidRPr="00BC5CC1">
        <w:t xml:space="preserve"> parameter </w:t>
      </w:r>
      <w:r w:rsidRPr="00D15F71">
        <w:rPr>
          <w:i/>
          <w:iCs/>
          <w:lang w:val="el-GR"/>
        </w:rPr>
        <w:t>ρ</w:t>
      </w:r>
      <w:r w:rsidRPr="00BC5CC1">
        <w:t xml:space="preserve"> was substantially more sensitive to </w:t>
      </w:r>
      <w:r w:rsidR="00D15F71">
        <w:t xml:space="preserve">reduced </w:t>
      </w:r>
      <w:r w:rsidR="000F67DF" w:rsidRPr="00BC5CC1">
        <w:t>sampling effort</w:t>
      </w:r>
      <w:r w:rsidRPr="00BC5CC1">
        <w:t>, particularly in scenarios</w:t>
      </w:r>
      <w:r w:rsidR="00EE2B8D">
        <w:t xml:space="preserve"> with low </w:t>
      </w:r>
      <w:r w:rsidR="00E37436">
        <w:t xml:space="preserve">spatial </w:t>
      </w:r>
      <w:r w:rsidR="00EE2B8D">
        <w:t>autocorrelation</w:t>
      </w:r>
      <w:r w:rsidRPr="00BC5CC1">
        <w:t xml:space="preserve">. </w:t>
      </w:r>
      <w:r w:rsidR="00924509" w:rsidRPr="00BC5CC1">
        <w:t>Estimating the mean mainly requires observations that broadly represent the range of values across the study area, whereas estimating spatial autocorrelation requires information on how similarity between samples changes with distance</w:t>
      </w:r>
      <w:r w:rsidR="00D77684">
        <w:t xml:space="preserve"> </w:t>
      </w:r>
      <w:r w:rsidR="00D77684">
        <w:fldChar w:fldCharType="begin"/>
      </w:r>
      <w:r w:rsidR="00AA6C90">
        <w:instrText xml:space="preserve"> ADDIN ZOTERO_ITEM CSL_CITATION {"citationID":"8eqYDhHe","properties":{"unsorted":false,"formattedCitation":"(Paciorek, 2010; Rocha et al., 2021)","plainCitation":"(Paciorek, 2010; Rocha et al., 2021)","noteIndex":0},"citationItems":[{"id":4827,"uris":["http://zotero.org/users/9456007/items/2MLTH25K"],"itemData":{"id":4827,"type":"article-journal","citation-key":"paciorek2010","container-title":"Statistical Science","DOI":"10.1214/10-STS326","ISSN":"0883-4237","issue":"1","journalAbbreviation":"Statist. Sci.","source":"DOI.org (Crossref)","title":"The Importance of Scale for Spatial-Confounding Bias and Precision of Spatial Regression Estimators","URL":"https://projecteuclid.org/journals/statistical-science/volume-25/issue-1/The-Importance-of-Scale-for-Spatial-Confounding-Bias-and-Precision/10.1214/10-STS326.full","volume":"25","author":[{"family":"Paciorek","given":"Christopher J."}],"accessed":{"date-parts":[["2026",5,7]]},"issued":{"date-parts":[["2010",2,1]]}}},{"id":4719,"uris":["http://zotero.org/users/9456007/items/T2B7Y9BQ"],"itemData":{"id":4719,"type":"article-journal","citation-key":"rocha2021","container-title":"IEEE Transactions on Geoscience and Remote Sensing","DOI":"10.1109/TGRS.2020.2989216","ISSN":"0196-2892, 1558-0644","issue":"1","journalAbbreviation":"IEEE Trans. Geosci. Remote Sensing","license":"https://ieeexplore.ieee.org/Xplorehelp/downloads/license-information/IEEE.html","page":"663-674","source":"DOI.org (Crossref)","title":"Role of Sampling Design When Predicting Spatially Dependent Ecological Data With Remote Sensing","volume":"59","author":[{"family":"Rocha","given":"Alby D."},{"family":"Groen","given":"Thomas A."},{"family":"Skidmore","given":"Andrew K."},{"family":"Willemen","given":"Louise"}],"issued":{"date-parts":[["2021",1]]}}}],"schema":"https://github.com/citation-style-language/schema/raw/master/csl-citation.json"} </w:instrText>
      </w:r>
      <w:r w:rsidR="00D77684">
        <w:fldChar w:fldCharType="separate"/>
      </w:r>
      <w:r w:rsidR="000F31EB">
        <w:rPr>
          <w:noProof/>
        </w:rPr>
        <w:t>(Paciorek, 2010; Rocha et al., 2021)</w:t>
      </w:r>
      <w:r w:rsidR="00D77684">
        <w:fldChar w:fldCharType="end"/>
      </w:r>
      <w:r w:rsidR="00924509" w:rsidRPr="00BC5CC1">
        <w:t>.</w:t>
      </w:r>
      <w:r w:rsidR="002B45C6" w:rsidRPr="00BC5CC1">
        <w:t xml:space="preserve"> In practical terms, </w:t>
      </w:r>
      <w:proofErr w:type="spellStart"/>
      <w:r w:rsidR="002B45C6" w:rsidRPr="00CD3652">
        <w:rPr>
          <w:i/>
          <w:iCs/>
        </w:rPr>
        <w:t>μ</w:t>
      </w:r>
      <w:r w:rsidR="002B45C6" w:rsidRPr="00CD3652">
        <w:rPr>
          <w:i/>
          <w:iCs/>
          <w:vertAlign w:val="subscript"/>
        </w:rPr>
        <w:t>d</w:t>
      </w:r>
      <w:proofErr w:type="spellEnd"/>
      <w:r w:rsidR="002B45C6" w:rsidRPr="00BC5CC1">
        <w:t xml:space="preserve"> can remain relatively robust under </w:t>
      </w:r>
      <w:r w:rsidR="00E37436">
        <w:t xml:space="preserve">reduced </w:t>
      </w:r>
      <w:r>
        <w:t xml:space="preserve">sampling effort, provided that the spatial structure is still contained within the extent of the survey. </w:t>
      </w:r>
      <w:r>
        <w:t xml:space="preserve">By contrast, estimating </w:t>
      </w:r>
      <w:r>
        <w:rPr>
          <w:lang w:val="el-GR"/>
        </w:rPr>
        <w:t>ρ</w:t>
      </w:r>
      <w:r>
        <w:t xml:space="preserve"> depends much more strongly on the distances among sampling points, because resolving spatial autocorrelation requires enough closely and broadly spaced pairs to detect how similarity declines with distance </w:t>
      </w:r>
      <w:r w:rsidR="000F31EB">
        <w:fldChar w:fldCharType="begin"/>
      </w:r>
      <w:r w:rsidR="00AA6C90">
        <w:instrText xml:space="preserve"> ADDIN ZOTERO_ITEM CSL_CITATION {"citationID":"SZrZHm9M","properties":{"unsorted":false,"formattedCitation":"(Paciorek, 2010)","plainCitation":"(Paciorek, 2010)","noteIndex":0},"citationItems":[{"id":4827,"uris":["http://zotero.org/users/9456007/items/2MLTH25K"],"itemData":{"id":4827,"type":"article-journal","citation-key":"paciorek2010","container-title":"Statistical Science","DOI":"10.1214/10-STS326","ISSN":"0883-4237","issue":"1","journalAbbreviation":"Statist. Sci.","source":"DOI.org (Crossref)","title":"The Importance of Scale for Spatial-Confounding Bias and Precision of Spatial Regression Estimators","URL":"https://projecteuclid.org/journals/statistical-science/volume-25/issue-1/The-Importance-of-Scale-for-Spatial-Confounding-Bias-and-Precision/10.1214/10-STS326.full","volume":"25","author":[{"family":"Paciorek","given":"Christopher J."}],"accessed":{"date-parts":[["2026",5,7]]},"issued":{"date-parts":[["2010",2,1]]}}}],"schema":"https://github.com/citation-style-language/schema/raw/master/csl-citation.json"} </w:instrText>
      </w:r>
      <w:r w:rsidR="000F31EB">
        <w:fldChar w:fldCharType="separate"/>
      </w:r>
      <w:r>
        <w:rPr>
          <w:noProof/>
        </w:rPr>
        <w:t>(Paciorek, 2010)</w:t>
      </w:r>
      <w:r w:rsidR="000F31EB">
        <w:fldChar w:fldCharType="end"/>
      </w:r>
      <w:r>
        <w:t>.</w:t>
      </w:r>
    </w:p>
    <w:p w14:paraId="25031E9E" w14:textId="77777777" w:rsidR="00286ADA" w:rsidRPr="00BC5CC1" w:rsidRDefault="00286ADA" w:rsidP="001643E6">
      <w:pPr>
        <w:pStyle w:val="p3"/>
        <w:spacing w:before="0" w:beforeAutospacing="0" w:after="0" w:afterAutospacing="0" w:line="480" w:lineRule="auto"/>
        <w:jc w:val="both"/>
      </w:pPr>
    </w:p>
    <w:p w14:paraId="7A4F82FF" w14:textId="7921113D" w:rsidR="003D5CCB" w:rsidRDefault="009C61C5" w:rsidP="001643E6">
      <w:pPr>
        <w:pStyle w:val="p3"/>
        <w:spacing w:before="0" w:beforeAutospacing="0" w:after="0" w:afterAutospacing="0" w:line="480" w:lineRule="auto"/>
        <w:jc w:val="both"/>
      </w:pPr>
      <w:r>
        <w:t>Overall</w:t>
      </w:r>
      <w:r w:rsidR="00881589" w:rsidRPr="00BC5CC1">
        <w:t xml:space="preserve">, this behavior is expected when the underlying process varies at a finer spatial scale than the sampling design can resolve. </w:t>
      </w:r>
      <w:r w:rsidR="00B427B8" w:rsidRPr="00BC5CC1">
        <w:t xml:space="preserve">Once </w:t>
      </w:r>
      <w:r w:rsidR="00FA07DA">
        <w:t>the</w:t>
      </w:r>
      <w:r w:rsidR="00CD073F">
        <w:t xml:space="preserve"> true</w:t>
      </w:r>
      <w:r w:rsidR="00FA07DA">
        <w:t xml:space="preserve"> </w:t>
      </w:r>
      <w:r w:rsidR="001116F3" w:rsidRPr="00EF344D">
        <w:rPr>
          <w:i/>
          <w:iCs/>
          <w:lang w:val="el-GR"/>
        </w:rPr>
        <w:t>ρ</w:t>
      </w:r>
      <w:r w:rsidR="00B427B8" w:rsidRPr="00BC5CC1">
        <w:t xml:space="preserve"> is small</w:t>
      </w:r>
      <w:r w:rsidR="00F81883">
        <w:t xml:space="preserve">er than the spatial resolution of the </w:t>
      </w:r>
      <w:r w:rsidR="00580F68" w:rsidRPr="00580F68">
        <w:t>sampling grid</w:t>
      </w:r>
      <w:r w:rsidR="00F81883">
        <w:t xml:space="preserve"> (e.g., a grid spaced at 5 km cannot resolve patchiness occurring at a 1 km scale)</w:t>
      </w:r>
      <w:r w:rsidR="00580F68" w:rsidRPr="00580F68">
        <w:t xml:space="preserve"> </w:t>
      </w:r>
      <w:r w:rsidR="00F81883">
        <w:t xml:space="preserve">the model has no way to detect the pattern, and predictions default to the priors with large residual uncertainty </w:t>
      </w:r>
      <w:r w:rsidR="00333361">
        <w:fldChar w:fldCharType="begin"/>
      </w:r>
      <w:r w:rsidR="00333361">
        <w:instrText xml:space="preserve"> ADDIN ZOTERO_ITEM CSL_CITATION {"citationID":"dR6KmMNb","properties":{"unsorted":false,"formattedCitation":"(Kaufman &amp; Shaby, 2013)","plainCitation":"(Kaufman &amp; Shaby, 2013)","noteIndex":0},"citationItems":[{"id":4829,"uris":["http://zotero.org/users/9456007/items/HFVB75H5"],"itemData":{"id":4829,"type":"article-journal","citation-key":"kaufman2013","container-title":"Biometrika","DOI":"10.1093/biomet/ass079","ISSN":"0006-3444, 1464-3510","issue":"2","journalAbbreviation":"Biometrika","language":"en","page":"473-484","source":"DOI.org (Crossref)","title":"The role of the range parameter for estimation and prediction in geostatistics","volume":"100","author":[{"family":"Kaufman","given":"C. G."},{"family":"Shaby","given":"B. A."}],"issued":{"date-parts":[["2013",6,1]]}}}],"schema":"https://github.com/citation-style-language/schema/raw/master/csl-citation.json"} </w:instrText>
      </w:r>
      <w:r w:rsidR="00333361">
        <w:fldChar w:fldCharType="separate"/>
      </w:r>
      <w:r w:rsidR="00333361">
        <w:rPr>
          <w:noProof/>
        </w:rPr>
        <w:t>(Kaufman &amp; Shaby, 2013)</w:t>
      </w:r>
      <w:r w:rsidR="00333361">
        <w:fldChar w:fldCharType="end"/>
      </w:r>
      <w:r w:rsidR="00676296">
        <w:t>.</w:t>
      </w:r>
      <w:r w:rsidR="00533207">
        <w:t xml:space="preserve"> </w:t>
      </w:r>
      <w:r>
        <w:t xml:space="preserve">Under these conditions, the model is operating close to the limit of what can be learned from the sampling design, and additional changes in true ρ may not translate into detectable changes in map-level accuracy. </w:t>
      </w:r>
      <w:r>
        <w:t xml:space="preserve">Practically, this implies that sample-removal diagnostics (or any assessment that treats an </w:t>
      </w:r>
      <w:proofErr w:type="spellStart"/>
      <w:r w:rsidR="00B427B8" w:rsidRPr="00BC5CC1">
        <w:t>undersampled</w:t>
      </w:r>
      <w:proofErr w:type="spellEnd"/>
      <w:r w:rsidR="00B427B8" w:rsidRPr="00BC5CC1">
        <w:t xml:space="preserve"> reference as truth) can become </w:t>
      </w:r>
      <w:r w:rsidR="00B427B8" w:rsidRPr="00BC5CC1">
        <w:lastRenderedPageBreak/>
        <w:t>uninformative for very patchy species, because the benchmark surface itself is not resolved well enough to support fine-scale comparisons</w:t>
      </w:r>
      <w:r w:rsidR="00333361">
        <w:t xml:space="preserve"> </w:t>
      </w:r>
      <w:r w:rsidR="00333361">
        <w:fldChar w:fldCharType="begin"/>
      </w:r>
      <w:r w:rsidR="00333361">
        <w:instrText xml:space="preserve"> ADDIN ZOTERO_ITEM CSL_CITATION {"citationID":"cJ9qtGir","properties":{"unsorted":false,"formattedCitation":"(Kaufman &amp; Shaby, 2013)","plainCitation":"(Kaufman &amp; Shaby, 2013)","noteIndex":0},"citationItems":[{"id":4829,"uris":["http://zotero.org/users/9456007/items/HFVB75H5"],"itemData":{"id":4829,"type":"article-journal","citation-key":"kaufman2013","container-title":"Biometrika","DOI":"10.1093/biomet/ass079","ISSN":"0006-3444, 1464-3510","issue":"2","journalAbbreviation":"Biometrika","language":"en","page":"473-484","source":"DOI.org (Crossref)","title":"The role of the range parameter for estimation and prediction in geostatistics","volume":"100","author":[{"family":"Kaufman","given":"C. G."},{"family":"Shaby","given":"B. A."}],"issued":{"date-parts":[["2013",6,1]]}}}],"schema":"https://github.com/citation-style-language/schema/raw/master/csl-citation.json"} </w:instrText>
      </w:r>
      <w:r w:rsidR="00333361">
        <w:fldChar w:fldCharType="separate"/>
      </w:r>
      <w:r w:rsidR="00333361">
        <w:rPr>
          <w:noProof/>
        </w:rPr>
        <w:t>(Kaufman &amp; Shaby, 2013)</w:t>
      </w:r>
      <w:r w:rsidR="00333361">
        <w:fldChar w:fldCharType="end"/>
      </w:r>
      <w:r>
        <w:t xml:space="preserve">. </w:t>
      </w:r>
      <w:r>
        <w:t>This, in turn, motivates our reliance on simulations with much higher spatial resolution to characterize how sampling effort should scale with spatial autocorrelation.</w:t>
      </w:r>
      <w:r w:rsidR="00B700BA" w:rsidRPr="00BC5CC1">
        <w:t xml:space="preserve"> </w:t>
      </w:r>
    </w:p>
    <w:p w14:paraId="3F04921D" w14:textId="77777777" w:rsidR="00286ADA" w:rsidRPr="00BC5CC1" w:rsidRDefault="00286ADA" w:rsidP="001643E6">
      <w:pPr>
        <w:pStyle w:val="p3"/>
        <w:spacing w:before="0" w:beforeAutospacing="0" w:after="0" w:afterAutospacing="0" w:line="480" w:lineRule="auto"/>
        <w:jc w:val="both"/>
      </w:pPr>
    </w:p>
    <w:bookmarkEnd w:id="19"/>
    <w:p w14:paraId="656787B2" w14:textId="6D101A06" w:rsidR="00194686" w:rsidRDefault="00BC5CC1" w:rsidP="001643E6">
      <w:pPr>
        <w:spacing w:after="0" w:line="480" w:lineRule="auto"/>
        <w:jc w:val="both"/>
        <w:rPr>
          <w:rFonts w:ascii="Times New Roman" w:eastAsia="Times New Roman" w:hAnsi="Times New Roman" w:cs="Times New Roman"/>
        </w:rPr>
      </w:pPr>
      <w:r w:rsidRPr="00BC5CC1">
        <w:rPr>
          <w:rFonts w:ascii="Times New Roman" w:eastAsia="Times New Roman" w:hAnsi="Times New Roman" w:cs="Times New Roman"/>
        </w:rPr>
        <w:t>Overall, the parameter</w:t>
      </w:r>
      <w:r w:rsidR="00921324">
        <w:rPr>
          <w:rFonts w:ascii="Times New Roman" w:eastAsia="Times New Roman" w:hAnsi="Times New Roman" w:cs="Times New Roman"/>
        </w:rPr>
        <w:t xml:space="preserve"> estimates</w:t>
      </w:r>
      <w:r w:rsidRPr="00BC5CC1">
        <w:rPr>
          <w:rFonts w:ascii="Times New Roman" w:eastAsia="Times New Roman" w:hAnsi="Times New Roman" w:cs="Times New Roman"/>
        </w:rPr>
        <w:t xml:space="preserve"> indicate that most gains in estimation </w:t>
      </w:r>
      <w:r w:rsidR="00420AB4">
        <w:rPr>
          <w:rFonts w:ascii="Times New Roman" w:eastAsia="Times New Roman" w:hAnsi="Times New Roman" w:cs="Times New Roman"/>
        </w:rPr>
        <w:t>of the GP parameters</w:t>
      </w:r>
      <w:r w:rsidRPr="00BC5CC1">
        <w:rPr>
          <w:rFonts w:ascii="Times New Roman" w:eastAsia="Times New Roman" w:hAnsi="Times New Roman" w:cs="Times New Roman"/>
        </w:rPr>
        <w:t xml:space="preserve"> occurred at low sampling </w:t>
      </w:r>
      <w:r w:rsidR="00921324">
        <w:rPr>
          <w:rFonts w:ascii="Times New Roman" w:eastAsia="Times New Roman" w:hAnsi="Times New Roman" w:cs="Times New Roman"/>
        </w:rPr>
        <w:t>effort</w:t>
      </w:r>
      <w:r w:rsidRPr="00BC5CC1">
        <w:rPr>
          <w:rFonts w:ascii="Times New Roman" w:eastAsia="Times New Roman" w:hAnsi="Times New Roman" w:cs="Times New Roman"/>
        </w:rPr>
        <w:t>, with little additional improvement once effort exceeded roughly 6 samples per 10,000 km</w:t>
      </w:r>
      <w:r w:rsidRPr="00921324">
        <w:rPr>
          <w:rFonts w:ascii="Times New Roman" w:eastAsia="Times New Roman" w:hAnsi="Times New Roman" w:cs="Times New Roman"/>
          <w:vertAlign w:val="superscript"/>
        </w:rPr>
        <w:t>2</w:t>
      </w:r>
      <w:r w:rsidRPr="00BC5CC1">
        <w:rPr>
          <w:rFonts w:ascii="Times New Roman" w:eastAsia="Times New Roman" w:hAnsi="Times New Roman" w:cs="Times New Roman"/>
        </w:rPr>
        <w:t xml:space="preserve"> per depth layer. This consistent leveling-off across </w:t>
      </w:r>
      <w:r w:rsidR="00E7740A">
        <w:rPr>
          <w:rFonts w:ascii="Times New Roman" w:eastAsia="Times New Roman" w:hAnsi="Times New Roman" w:cs="Times New Roman"/>
        </w:rPr>
        <w:t xml:space="preserve">GP </w:t>
      </w:r>
      <w:r w:rsidRPr="00BC5CC1">
        <w:rPr>
          <w:rFonts w:ascii="Times New Roman" w:eastAsia="Times New Roman" w:hAnsi="Times New Roman" w:cs="Times New Roman"/>
        </w:rPr>
        <w:t>parameters</w:t>
      </w:r>
      <w:r w:rsidR="00E7740A">
        <w:rPr>
          <w:rFonts w:ascii="Times New Roman" w:eastAsia="Times New Roman" w:hAnsi="Times New Roman" w:cs="Times New Roman"/>
        </w:rPr>
        <w:t xml:space="preserve"> estimation (Figure 5)</w:t>
      </w:r>
      <w:r w:rsidRPr="00BC5CC1">
        <w:rPr>
          <w:rFonts w:ascii="Times New Roman" w:eastAsia="Times New Roman" w:hAnsi="Times New Roman" w:cs="Times New Roman"/>
        </w:rPr>
        <w:t xml:space="preserve"> suggests a clear point of diminishing returns, beyond which further increases in sampling effort are unlikely to substantially improve inference under the spatial scales considered here.</w:t>
      </w:r>
    </w:p>
    <w:p w14:paraId="68A04B1A" w14:textId="77777777" w:rsidR="00921324" w:rsidRPr="00BC5CC1" w:rsidRDefault="00921324" w:rsidP="001643E6">
      <w:pPr>
        <w:spacing w:after="0" w:line="480" w:lineRule="auto"/>
        <w:jc w:val="both"/>
        <w:rPr>
          <w:rFonts w:ascii="Times New Roman" w:eastAsiaTheme="majorEastAsia" w:hAnsi="Times New Roman" w:cstheme="majorBidi"/>
          <w:b/>
          <w:iCs/>
          <w:szCs w:val="28"/>
        </w:rPr>
      </w:pPr>
    </w:p>
    <w:p w14:paraId="683D8C72" w14:textId="22F67EB4" w:rsidR="00A318B1" w:rsidRPr="000D2BF7" w:rsidRDefault="000F7C17" w:rsidP="001643E6">
      <w:pPr>
        <w:pStyle w:val="Heading3"/>
        <w:spacing w:before="0" w:after="0" w:line="480" w:lineRule="auto"/>
        <w:jc w:val="both"/>
        <w:rPr>
          <w:i w:val="0"/>
          <w:iCs/>
        </w:rPr>
      </w:pPr>
      <w:r>
        <w:rPr>
          <w:i w:val="0"/>
          <w:iCs/>
        </w:rPr>
        <w:t>Limitations on extrapolating simulations on real-world scenarios</w:t>
      </w:r>
    </w:p>
    <w:p w14:paraId="2E39F4BC" w14:textId="0627BFC8" w:rsidR="00AF7656" w:rsidRDefault="00275178" w:rsidP="001643E6">
      <w:pPr>
        <w:pStyle w:val="p3"/>
        <w:spacing w:before="0" w:beforeAutospacing="0" w:after="0" w:afterAutospacing="0" w:line="480" w:lineRule="auto"/>
        <w:jc w:val="both"/>
      </w:pPr>
      <w:r w:rsidRPr="00CC24BD">
        <w:t xml:space="preserve">The simulated and empirical </w:t>
      </w:r>
      <w:r w:rsidR="00B54B8E">
        <w:t>reduced effort analysis</w:t>
      </w:r>
      <w:r w:rsidRPr="00CC24BD">
        <w:t xml:space="preserve"> showed strong agreement. This concordance suggests that </w:t>
      </w:r>
      <w:r w:rsidR="0024606E">
        <w:t>our</w:t>
      </w:r>
      <w:r w:rsidRPr="00CC24BD">
        <w:t xml:space="preserve"> simulation framework captured important features of eDNA spatial structure at the scale of ten-degree latitude.</w:t>
      </w:r>
      <w:r w:rsidR="00792F2D">
        <w:t xml:space="preserve"> </w:t>
      </w:r>
      <w:r w:rsidR="00690C1C" w:rsidRPr="00CC24BD">
        <w:t>At the same time, extrapolating directly from simulations to natural systems requires care because real eDNA fields may violate the simplifying assumptions of the stationary, isotropic squared exponential kernel. Spatial structure may vary across the domain (non-stationarity), differ by direction (anisotropy), or include sharp transitions (fronts, plume boundaries, shelf-break structure) that are not well represented by a globally smooth covariance function</w:t>
      </w:r>
      <w:r w:rsidR="00D06D96">
        <w:t xml:space="preserve"> </w:t>
      </w:r>
      <w:r w:rsidR="00D06D96">
        <w:fldChar w:fldCharType="begin"/>
      </w:r>
      <w:r w:rsidR="00D06D96">
        <w:instrText xml:space="preserve"> ADDIN ZOTERO_ITEM CSL_CITATION {"citationID":"UYoxPmra","properties":{"unsorted":false,"formattedCitation":"(Paciorek &amp; Schervish, 2006)","plainCitation":"(Paciorek &amp; Schervish, 2006)","noteIndex":0},"citationItems":[{"id":4860,"uris":["http://zotero.org/users/9456007/items/EXAA3NJU"],"itemData":{"id":4860,"type":"article-journal","abstract":"Abstract\n            We introduce a new class of nonstationary covariance functions for spatial modelling. Nonstationary covariance functions allow the model to adapt to spatial surfaces whose variability changes with location. The class includes a nonstationary version of the Matérn stationary covariance, in which the differentiability of the spatial surface is controlled by a parameter, freeing one from fixing the differentiability in advance. The class allows one to knit together local covariance parameters into a valid global nonstationary covariance, regardless of how the local covariance structure is estimated. We employ this new nonstationary covariance in a fully Bayesian model in which the unknown spatial process has a Gaussian process (GP) prior distribution with a nonstationary covariance function from the class. We model the nonstationary structure in a computationally efficient way that creates nearly stationary local behaviour and for which stationarity is a special case. We also suggest non‐Bayesian approaches to nonstationary kriging.\n            To assess the method, we use real climate data to compare the Bayesian nonstationary GP model with a Bayesian stationary GP model, various standard spatial smoothing approaches, and nonstationary models that can adapt to function heterogeneity. The GP models outperform the competitors, but while the nonstationary GP gives qualitatively more sensible results, it shows little advantage over the stationary GP on held‐out data, illustrating the difficulty in fitting complicated spatial data. Copyright © 2006 John Wiley &amp; Sons, Ltd.","citation-key":"paciorek2006","container-title":"Environmetrics","DOI":"10.1002/env.785","ISSN":"1180-4009, 1099-095X","issue":"5","journalAbbreviation":"Environmetrics","language":"en","license":"http://onlinelibrary.wiley.com/termsAndConditions#vor","page":"483-506","source":"DOI.org (Crossref)","title":"Spatial modelling using a new class of nonstationary covariance functions","volume":"17","author":[{"family":"Paciorek","given":"Christopher J."},{"family":"Schervish","given":"Mark J."}],"issued":{"date-parts":[["2006",8]]}}}],"schema":"https://github.com/citation-style-language/schema/raw/master/csl-citation.json"} </w:instrText>
      </w:r>
      <w:r w:rsidR="00D06D96">
        <w:fldChar w:fldCharType="separate"/>
      </w:r>
      <w:r w:rsidR="00D06D96">
        <w:rPr>
          <w:noProof/>
        </w:rPr>
        <w:t>(Paciorek &amp; Schervish, 2006)</w:t>
      </w:r>
      <w:r w:rsidR="00D06D96">
        <w:fldChar w:fldCharType="end"/>
      </w:r>
      <w:r w:rsidR="00690C1C" w:rsidRPr="00CC24BD">
        <w:t xml:space="preserve">. In addition, eDNA observation error is unlikely to be purely Gaussian: variability can arise from PCR </w:t>
      </w:r>
      <w:r w:rsidR="0042202C" w:rsidRPr="00CC24BD">
        <w:t>bias</w:t>
      </w:r>
      <w:r w:rsidR="00607D7B">
        <w:t xml:space="preserve"> </w:t>
      </w:r>
      <w:r w:rsidR="008B42C2">
        <w:fldChar w:fldCharType="begin"/>
      </w:r>
      <w:r w:rsidR="008B42C2">
        <w:instrText xml:space="preserve"> ADDIN ZOTERO_ITEM CSL_CITATION {"citationID":"SP8XDwM0","properties":{"unsorted":false,"formattedCitation":"(Kelly et al., 2019)","plainCitation":"(Kelly et al., 2019)","noteIndex":0},"citationItems":[{"id":787,"uris":["http://zotero.org/users/9456007/items/XLIAQAY2"],"itemData":{"id":787,"type":"article-journal","abstract":"As environmental DNA (eDNA) studies have grown in popularity for use in ecological applications, it has become clear that their results differ in significant ways from those of traditional, non-PCR-based surveys. In general, eDNA studies that rely on amplicon sequencing may detect hundreds of species present in a sampled environment, but the resulting species composition can be idiosyncratic, reflecting species’ true biomass abundances poorly or not at all. Here, we use a set of simulations to develop a mechanistic understanding of the processes leading to the kinds of results common in mixed-template PCR-based (metabarcoding) studies. In particular, we focus on the effects of PCR cycle number and primer amplification efficiency on the results of diversity metrics in sequencing studies. We then show that proportional indices of amplicon reads capture trends in taxon biomass with high accuracy, particularly where amplification efficiency is high (median correlation up to 0.97). Our results explain much of the observed behavior of PCR-based studies, and lead to recommendations for best practices in the field.","citation-key":"kelly2019","container-title":"Scientific Reports","DOI":"10.1038/s41598-019-48546-x","ISSN":"20452322","issue":"1","note":"214 citations (Crossref/DOI) [2026-01-20]\n207 citations (Crossref/DOI) [2025-10-27]\n84 citations (Semantic Scholar/DOI) [2022-05-12]","page":"1-14","PMID":"31431641","title":"Understanding PCR Processes to Draw Meaningful Conclusions from Environmental DNA Studies","volume":"9","author":[{"family":"Kelly","given":"Ryan P."},{"family":"Shelton","given":"Andrew Olaf"},{"family":"Gallego","given":"Ramón"}],"issued":{"date-parts":[["2019"]]}}}],"schema":"https://github.com/citation-style-language/schema/raw/master/csl-citation.json"} </w:instrText>
      </w:r>
      <w:r w:rsidR="008B42C2">
        <w:fldChar w:fldCharType="separate"/>
      </w:r>
      <w:r w:rsidR="008B42C2">
        <w:rPr>
          <w:noProof/>
        </w:rPr>
        <w:t>(Kelly et al., 2019)</w:t>
      </w:r>
      <w:r w:rsidR="008B42C2">
        <w:fldChar w:fldCharType="end"/>
      </w:r>
      <w:r w:rsidR="00690C1C" w:rsidRPr="00CC24BD">
        <w:t>, compositional constraints in metabarcoding</w:t>
      </w:r>
      <w:r w:rsidR="00CE54B9">
        <w:t xml:space="preserve"> </w:t>
      </w:r>
      <w:r w:rsidR="008B42C2">
        <w:fldChar w:fldCharType="begin"/>
      </w:r>
      <w:r w:rsidR="008B42C2">
        <w:instrText xml:space="preserve"> ADDIN ZOTERO_ITEM CSL_CITATION {"citationID":"QzW7Pfk4","properties":{"unsorted":false,"formattedCitation":"(Gloor et al., 2017)","plainCitation":"(Gloor et al., 2017)","noteIndex":0},"citationItems":[{"id":629,"uris":["http://zotero.org/users/9456007/items/GIYV67GU"],"itemData":{"id":629,"type":"article-journal","citation-key":"gloor2017","container-title":"Frontiers in Microbiology","DOI":"10.3389/fmicb.2017.02224","ISSN":"1664-302X","journalAbbreviation":"Front. Microbiol.","note":"2363 citations (Crossref/DOI) [2026-01-20]\n2231 citations (Crossref/DOI) [2025-10-27]","page":"2224","source":"DOI.org (Crossref)","title":"Microbiome Datasets Are Compositional: And This Is Not Optional","title-short":"Microbiome Datasets Are Compositional","volume":"8","author":[{"family":"Gloor","given":"Gregory B."},{"family":"Macklaim","given":"Jean M."},{"family":"Pawlowsky-Glahn","given":"Vera"},{"family":"Egozcue","given":"Juan J."}],"issued":{"date-parts":[["2017",11,15]]}}}],"schema":"https://github.com/citation-style-language/schema/raw/master/csl-citation.json"} </w:instrText>
      </w:r>
      <w:r w:rsidR="008B42C2">
        <w:fldChar w:fldCharType="separate"/>
      </w:r>
      <w:r w:rsidR="008B42C2">
        <w:rPr>
          <w:noProof/>
        </w:rPr>
        <w:t>(Gloor et al., 2017)</w:t>
      </w:r>
      <w:r w:rsidR="008B42C2">
        <w:fldChar w:fldCharType="end"/>
      </w:r>
      <w:r w:rsidR="00690C1C" w:rsidRPr="00CC24BD">
        <w:t>, incomplete calibration to absolute concentration</w:t>
      </w:r>
      <w:r w:rsidR="00E6776B">
        <w:t xml:space="preserve"> </w:t>
      </w:r>
      <w:r w:rsidR="00CC3174">
        <w:fldChar w:fldCharType="begin"/>
      </w:r>
      <w:r w:rsidR="00CC3174">
        <w:instrText xml:space="preserve"> ADDIN ZOTERO_ITEM CSL_CITATION {"citationID":"73suOo4h","properties":{"unsorted":false,"formattedCitation":"(Shaffer et al., 2025)","plainCitation":"(Shaffer et al., 2025)","noteIndex":0},"citationItems":[{"id":4788,"uris":["http://zotero.org/users/9456007/items/FTV2JUTQ"],"itemData":{"id":4788,"type":"article-journal","abstract":"ABSTRACT\n            DNA metabarcoding is subject to observation bias associated with PCR and sequencing, which can result in observed read proportions differing from actual species proportions in the DNA extract. Here, we amplify and sequence a mock community of known composition containing marine fishes and cetaceans using four different primer sets and a variety of PCR conditions. We first compare metabarcoding observations to two different sets of expected species proportions based on total genomic DNA and on target mitochondrial template DNA. We find that calibrating observed read proportions based on template DNA concentration is most appropriate as it isolates PCR amplification bias; calibration with total genomic DNA results in bias that can be attributed to both PCR amplification bias and differing ratios of template to total genomic DNA. We then model the remaining amplification bias and find that approximately 60% can be explained by inherent species‐specific DNA characteristics. These include primer‐template mismatches, amplicon fragment length, and GC content, which vary somewhat across Taq polymerases. Finally, we investigate how different PCR protocols influence community composition regardless of expected proportions and find that changing protocols most strongly influence the amplification of templates with primer mismatches. Our findings suggest that using primer‐template pairs without mismatches and targeting a narrow taxonomic group can yield more repeatable and accurate estimates of species' true, underlying DNA template proportions. These findings identify key factors that should be considered when designing studies that aim to apply metabarcoding data quantitatively.","citation-key":"shaffer2025","container-title":"Molecular Ecology Resources","DOI":"10.1111/1755-0998.14119","ISSN":"1755-098X, 1755-0998","issue":"7","journalAbbreviation":"Molecular Ecology Resources","language":"en","page":"e14119","source":"DOI.org (Crossref)","title":"Observation Bias in Metabarcoding","volume":"25","author":[{"family":"Shaffer","given":"Megan R."},{"family":"Andruszkiewicz Allan","given":"Elizabeth"},{"family":"Van Cise","given":"Amy M."},{"family":"Parsons","given":"Kim M."},{"family":"Shelton","given":"Andrew Olaf"},{"family":"Kelly","given":"Ryan P."}],"issued":{"date-parts":[["2025",10]]}}}],"schema":"https://github.com/citation-style-language/schema/raw/master/csl-citation.json"} </w:instrText>
      </w:r>
      <w:r w:rsidR="00CC3174">
        <w:fldChar w:fldCharType="separate"/>
      </w:r>
      <w:r w:rsidR="00CC3174">
        <w:rPr>
          <w:noProof/>
        </w:rPr>
        <w:t xml:space="preserve">(Shaffer et </w:t>
      </w:r>
      <w:r w:rsidR="00CC3174">
        <w:rPr>
          <w:noProof/>
        </w:rPr>
        <w:lastRenderedPageBreak/>
        <w:t>al., 2025)</w:t>
      </w:r>
      <w:r w:rsidR="00CC3174">
        <w:fldChar w:fldCharType="end"/>
      </w:r>
      <w:r w:rsidR="00690C1C" w:rsidRPr="00CC24BD">
        <w:t>, and heterogeneity in filtration or extraction efficiency</w:t>
      </w:r>
      <w:r w:rsidR="00092F55">
        <w:t xml:space="preserve"> </w:t>
      </w:r>
      <w:r w:rsidR="00CC3174">
        <w:fldChar w:fldCharType="begin"/>
      </w:r>
      <w:r w:rsidR="00CC3174">
        <w:instrText xml:space="preserve"> ADDIN ZOTERO_ITEM CSL_CITATION {"citationID":"TtwUGohx","properties":{"unsorted":false,"formattedCitation":"(Bessey et al., 2020)","plainCitation":"(Bessey et al., 2020)","noteIndex":0},"citationItems":[{"id":769,"uris":["http://zotero.org/users/9456007/items/NCKWQDSK"],"itemData":{"id":769,"type":"article-journal","abstract":"Fish biodiversity can be measured by capturing and then sequencing free DNA present in water. Such environmental DNA (eDNA) methods offer an effective, noninvasive tool for species diversity measurement, although standardized protocols are not yet developed. We investigate how metrics of fish biodiversity revealed through eDNA analysis of water are influenced by sampling volume. Water samples were collected from the intertidal reef of Browse Island, a tropical, remote island in the Timor Sea. Aliquots from a single 20,700-ml sample and multiple 2,000-ml samples were filtered in various volumes (25–2,000 ml) across two membrane sizes (0.20 and 0.45 µm). A fish metabarcoding assay was used to characterize the fish diversity within aliquots. All samples, except one, yielded fish DNA sequences. Two hundred and nine operational taxonomic units (cf. species) representing 48 fish families were identified from the complete collection of DNA contained in all samples, comparable to the 200 fish species detected using conventional surveys at this location. Notable additions from eDNA methods were cryptic and nocturnal fish species. Nevertheless, large differences in taxonomic composition (&lt;60% species overlap) between aliquots of identical volumes demonstrate that eDNA in seawater is patchy and that estimates of biodiversity are strongly influenced by the volume of water filtered. We suggest that eDNA studies maximize water volumes as much as logistically possible if the aim is to detect the greatest number of taxa and that species accumulation curves be provided as an indication of sampling adequacy.","citation-key":"bessey2020","container-title":"Environmental DNA","DOI":"10.1002/edn3.74","ISSN":"26374943","issue":"4","note":"150 citations (Crossref/DOI) [2026-01-20]\n144 citations (Crossref/DOI) [2025-11-07]\n143 citations (Crossref/DOI) [2025-10-27]\n69 citations (Semantic Scholar/DOI) [2023-09-28]","page":"493-504","title":"Maximizing fish detection with eDNA metabarcoding","volume":"2","author":[{"family":"Bessey","given":"Cindy"},{"family":"Jarman","given":"Simon N."},{"family":"Berry","given":"Oliver"},{"family":"Olsen","given":"Ylva S."},{"family":"Bunce","given":"Michael"},{"family":"Simpson","given":"Tiffany"},{"family":"Power","given":"Matthew"},{"family":"McLaughlin","given":"James"},{"family":"Edgar","given":"Graham J."},{"family":"Keesing","given":"John"}],"issued":{"date-parts":[["2020"]]}}}],"schema":"https://github.com/citation-style-language/schema/raw/master/csl-citation.json"} </w:instrText>
      </w:r>
      <w:r w:rsidR="00CC3174">
        <w:fldChar w:fldCharType="separate"/>
      </w:r>
      <w:r w:rsidR="00CC3174">
        <w:rPr>
          <w:noProof/>
        </w:rPr>
        <w:t>(Bessey et al., 2020)</w:t>
      </w:r>
      <w:r w:rsidR="00CC3174">
        <w:fldChar w:fldCharType="end"/>
      </w:r>
      <w:r w:rsidR="00690C1C" w:rsidRPr="00CC24BD">
        <w:t>.</w:t>
      </w:r>
      <w:r w:rsidR="001A136C" w:rsidRPr="00CC24BD">
        <w:t xml:space="preserve"> Although </w:t>
      </w:r>
      <w:r w:rsidR="00A37E98" w:rsidRPr="00CC24BD">
        <w:t xml:space="preserve">the </w:t>
      </w:r>
      <w:r w:rsidR="0050170C">
        <w:t>PCR bias and com</w:t>
      </w:r>
      <w:r w:rsidR="00092F55">
        <w:t>positional constrain</w:t>
      </w:r>
      <w:r w:rsidR="004F53C2">
        <w:t>t</w:t>
      </w:r>
      <w:r w:rsidR="00092F55">
        <w:t>s</w:t>
      </w:r>
      <w:r w:rsidR="00A37E98" w:rsidRPr="00CC24BD">
        <w:t xml:space="preserve"> might </w:t>
      </w:r>
      <w:r w:rsidR="003A7D9C" w:rsidRPr="00CC24BD">
        <w:t>have been circumvented by</w:t>
      </w:r>
      <w:r w:rsidR="0028551E">
        <w:t xml:space="preserve"> </w:t>
      </w:r>
      <w:r w:rsidR="00CC3174">
        <w:fldChar w:fldCharType="begin"/>
      </w:r>
      <w:r w:rsidR="00CC3174">
        <w:instrText xml:space="preserve"> ADDIN ZOTERO_ITEM CSL_CITATION {"citationID":"zMT7CGv7","properties":{"unsorted":false,"formattedCitation":"(Guri et al., 2025)","plainCitation":"(Guri et al., 2025)","noteIndex":0},"citationItems":[{"id":4730,"uris":["http://zotero.org/users/9456007/items/HQXX6EZM"],"itemData":{"id":4730,"type":"article","abstract":"Abstract\n          Molecular data from environmental samples can reflect the abundance of species’ DNA, an index immediately relevant to natural-resources management at a broad geographic scale. These data commonly derive from assays designed and targeted for individual species (e.g., using qPCR or ddPCR), or from metabarcoding that use more general PCR primers to amplify many species simultaneously. Multispecies analyses make efficient use of field samples and laboratory time, and speak to inherently multispecies questions of management and ecological interest. However, unlike single-species techniques, metabarcoding alone generally reflects only the environmental DNA (eDNA) proportions of target-species DNA present, not their absolute quantities. Here, we combine qPCR and metabarcoding data derived from the same samples to estimate quantities of eDNA from many fish species along the US West Coast in three dimensions, demonstrating a technique of practical relevance for both management and ecology. We derive spatially explicit maps of eDNA abundances for 12 common species of ecological and management importance and point the way to quantitative surveys of wild species using molecules alone. We find that species distribution maps derived from eDNA largely mirror known species niches and known spatial distributions. Notably, our analyses indentify biodiversity hotspots that align with previously documented regions of ecological significance, such as the Columbia River plume and the Heceta Bank.","citation-key":"guri2025","DOI":"10.1101/2025.10.30.685180","language":"en","license":"http://creativecommons.org/licenses/by-nc-nd/4.0/","publisher":"Ecology","source":"DOI.org (Crossref)","title":"Quantitative, Multispecies Monitoring at a Continental Scale","URL":"http://biorxiv.org/lookup/doi/10.1101/2025.10.30.685180","author":[{"family":"Guri","given":"Gledis"},{"family":"Liu","given":"Owen R."},{"family":"Kelly","given":"Ryan P."},{"family":"Shaffer","given":"Megan R."},{"family":"Parsons","given":"Kim M."},{"family":"Ramón-Laca","given":"Ana"},{"family":"Nichols","given":"Krista M."},{"family":"Brandão-Dias","given":"Pedro F. P."},{"family":"Wells","given":"Abigail"},{"family":"Shelton","given":"Andrew Olaf"}],"accessed":{"date-parts":[["2026",5,7]]},"issued":{"date-parts":[["2025",10,31]]}}}],"schema":"https://github.com/citation-style-language/schema/raw/master/csl-citation.json"} </w:instrText>
      </w:r>
      <w:r w:rsidR="00CC3174">
        <w:fldChar w:fldCharType="separate"/>
      </w:r>
      <w:r w:rsidR="00CC3174">
        <w:rPr>
          <w:noProof/>
        </w:rPr>
        <w:t>(Guri et al., 2025)</w:t>
      </w:r>
      <w:r w:rsidR="00CC3174">
        <w:fldChar w:fldCharType="end"/>
      </w:r>
      <w:r w:rsidR="003A7D9C" w:rsidRPr="00CC24BD">
        <w:t xml:space="preserve">, minor errors </w:t>
      </w:r>
      <w:r w:rsidR="009231CF" w:rsidRPr="00CC24BD">
        <w:t xml:space="preserve">or uncertainties can be further amplified in the GP inferences. </w:t>
      </w:r>
      <w:r w:rsidR="00690C1C" w:rsidRPr="00CC24BD">
        <w:t>Finally, ecological processes such as migration, schooling, habitat discontinuities, or patchy prey fields can generate multi-scale patterns that depart from a single characteristic length-scale</w:t>
      </w:r>
      <w:r w:rsidR="00E6776B">
        <w:t xml:space="preserve"> </w:t>
      </w:r>
      <w:r w:rsidR="008B42C2">
        <w:fldChar w:fldCharType="begin"/>
      </w:r>
      <w:r w:rsidR="008B42C2">
        <w:instrText xml:space="preserve"> ADDIN ZOTERO_ITEM CSL_CITATION {"citationID":"KcWM3taz","properties":{"unsorted":false,"formattedCitation":"(Wagner &amp; Fortin, 2005)","plainCitation":"(Wagner &amp; Fortin, 2005)","noteIndex":0},"citationItems":[{"id":4716,"uris":["http://zotero.org/users/9456007/items/9VYSIYDP"],"itemData":{"id":4716,"type":"article-journal","citation-key":"wagner2005","container-title":"Ecology","DOI":"10.1890/04-0914","ISSN":"0012-9658","issue":"8","journalAbbreviation":"Ecology","language":"en","license":"http://doi.wiley.com/10.1002/tdm_license_1.1","page":"1975-1987","source":"DOI.org (Crossref)","title":"Spatial analysis of landscapes: concepts and statistics","title-short":"SPATIAL ANALYSIS OF LANDSCAPES","volume":"86","author":[{"family":"Wagner","given":"Helene H."},{"family":"Fortin","given":"Marie-Josée"}],"issued":{"date-parts":[["2005",8]]}}}],"schema":"https://github.com/citation-style-language/schema/raw/master/csl-citation.json"} </w:instrText>
      </w:r>
      <w:r w:rsidR="008B42C2">
        <w:fldChar w:fldCharType="separate"/>
      </w:r>
      <w:r w:rsidR="008B42C2">
        <w:rPr>
          <w:noProof/>
        </w:rPr>
        <w:t>(Wagner &amp; Fortin, 2005)</w:t>
      </w:r>
      <w:r w:rsidR="008B42C2">
        <w:fldChar w:fldCharType="end"/>
      </w:r>
      <w:r>
        <w:t xml:space="preserve">. </w:t>
      </w:r>
      <w:r>
        <w:t>These features may help explain elevated prediction error at intermediate autocorrelation levels in the empirical data relative to simulations, where additional sources of spatial complexity are not represented. Despite these real-world complexities, the strong concordance between empirical and simulated results indicates that our framework captures a robust and ecologically meaningful relationship between spatial autocorrelation and the sampling effort required to estimate it reliably.</w:t>
      </w:r>
    </w:p>
    <w:p w14:paraId="5CBEA1CF" w14:textId="3D8F5ECF" w:rsidR="00286ADA" w:rsidRDefault="00587753" w:rsidP="001643E6">
      <w:pPr>
        <w:pStyle w:val="p3"/>
        <w:spacing w:before="0" w:beforeAutospacing="0" w:after="0" w:afterAutospacing="0" w:line="480" w:lineRule="auto"/>
        <w:jc w:val="both"/>
      </w:pPr>
      <w:r>
        <w:br/>
      </w:r>
      <w:r w:rsidRPr="00587753">
        <w:t>In addition, eDNA observation error is unlikely to be purely Gaussian, with variability arising from sources such as PCR bias, compositional constraints, incomplete calibration, and heterogeneity in filtration or extraction efficiency (Kelly et al., 2019; Gloor et al., 2017; Shaffer et al., 2025; Bessey et al., 2020). Our framework accounts for these sources (Guri et al., 2025), so they are unlikely to bias the results presented here. Finally, ecological processes such as migration, schooling, habitat discontinuities, or patchy prey fields can generate multi-scale patterns that depart from a single characteristic length-scale (Wagner &amp; Fortin, 2005). These features may help explain elevated prediction error at intermediate autocorrelation levels in the empirical data relative to simulations, where additional sources of spatial complexity are not represented. Despite these real-world complexities, the strong concordance between empirical and simulated results indicates that our framework captures a robust and ecologically meaningful relationship between spatial autocorrelation and the sampling effort required to estimate it reliably.</w:t>
      </w:r>
    </w:p>
    <w:p w14:paraId="30854AE1" w14:textId="77777777" w:rsidR="00587753" w:rsidRPr="00CC24BD" w:rsidRDefault="00587753" w:rsidP="001643E6">
      <w:pPr>
        <w:pStyle w:val="p3"/>
        <w:spacing w:before="0" w:beforeAutospacing="0" w:after="0" w:afterAutospacing="0" w:line="480" w:lineRule="auto"/>
        <w:jc w:val="both"/>
      </w:pPr>
    </w:p>
    <w:p w14:paraId="5B85BEC3" w14:textId="76ECFAC7" w:rsidR="00D62DEA" w:rsidRDefault="00D62DEA" w:rsidP="001643E6">
      <w:pPr>
        <w:pStyle w:val="p2"/>
        <w:spacing w:before="0" w:beforeAutospacing="0" w:after="0" w:afterAutospacing="0" w:line="480" w:lineRule="auto"/>
        <w:jc w:val="both"/>
      </w:pPr>
      <w:r w:rsidRPr="00D62DEA">
        <w:t xml:space="preserve">Furthermore, the simulation assumes a stationary GP with fixed amplitude and noise and a single length-scale across depths, whereas real eDNA fields may have variable variance structure, multiple characteristic scales, and dependence on environmental covariates such as temperature, salinity, chlorophyll, and bathymetry </w:t>
      </w:r>
      <w:r>
        <w:fldChar w:fldCharType="begin"/>
      </w:r>
      <w:r>
        <w:instrText xml:space="preserve"> ADDIN ZOTERO_ITEM CSL_CITATION {"citationID":"sAI5scqX","properties":{"unsorted":false,"formattedCitation":"(Liu et al., 2026)","plainCitation":"(Liu et al., 2026)","noteIndex":0},"citationItems":[{"id":4798,"uris":["http://zotero.org/users/9456007/items/UYS8F8W9"],"itemData":{"id":4798,"type":"article-journal","citation-key":"liu2026","container-title":"Communications Biology","DOI":"10.1038/s42003-026-09733-5","ISSN":"2399-3642","issue":"1","journalAbbreviation":"Commun Biol","language":"en","page":"465","source":"DOI.org (Crossref)","title":"Mapping the marine distribution of eulachon (Thaleichthys pacificus) in the Northeast Pacific using environmental DNA","volume":"9","author":[{"family":"Liu","given":"Owen R."},{"family":"Shelton","given":"Andrew O."},{"family":"Ramón-Laca","given":"Ana"},{"family":"Nichols","given":"Krista M."},{"family":"Ward","given":"Eric J."},{"family":"Phillips","given":"Elizabeth M."},{"family":"Zamon","given":"Jeannette E."},{"family":"Wells","given":"Abigail"},{"family":"Kelly","given":"Ryan P."}],"issued":{"date-parts":[["2026",2,20]]}}}],"schema":"https://github.com/citation-style-language/schema/raw/master/csl-citation.json"} </w:instrText>
      </w:r>
      <w:r>
        <w:fldChar w:fldCharType="separate"/>
      </w:r>
      <w:r>
        <w:rPr>
          <w:noProof/>
        </w:rPr>
        <w:t>(Liu et al., 2026)</w:t>
      </w:r>
      <w:r>
        <w:fldChar w:fldCharType="end"/>
      </w:r>
      <w:r>
        <w:t xml:space="preserve">. </w:t>
      </w:r>
      <w:r w:rsidRPr="00D62DEA">
        <w:t>Our prediction error (ε2) is also computed against a "complete" prediction from a 4,000-point subset (Z) rather than the full grid, a limitation most visible in the secondary thinning comparison, where the reference field is constrained to N = 358 samples, making prediction error higher and more stochastic.</w:t>
      </w:r>
    </w:p>
    <w:p w14:paraId="52158B6E" w14:textId="77777777" w:rsidR="00D62DEA" w:rsidRDefault="00D62DEA" w:rsidP="001643E6">
      <w:pPr>
        <w:pStyle w:val="p2"/>
        <w:spacing w:before="0" w:beforeAutospacing="0" w:after="0" w:afterAutospacing="0" w:line="480" w:lineRule="auto"/>
        <w:jc w:val="both"/>
      </w:pPr>
    </w:p>
    <w:p w14:paraId="551C9684" w14:textId="125728D5" w:rsidR="00A318B1" w:rsidRDefault="00C74135" w:rsidP="001643E6">
      <w:pPr>
        <w:pStyle w:val="p2"/>
        <w:spacing w:before="0" w:beforeAutospacing="0" w:after="0" w:afterAutospacing="0" w:line="480" w:lineRule="auto"/>
        <w:jc w:val="both"/>
      </w:pPr>
      <w:r w:rsidRPr="00CC24BD">
        <w:t>Intrinsically, eDNA integrates ecological information</w:t>
      </w:r>
      <w:r w:rsidR="00403D4C" w:rsidRPr="00CC24BD">
        <w:t xml:space="preserve"> through space and </w:t>
      </w:r>
      <w:r w:rsidRPr="00CC24BD">
        <w:t xml:space="preserve">across </w:t>
      </w:r>
      <w:r w:rsidR="00403D4C" w:rsidRPr="00CC24BD">
        <w:t>time</w:t>
      </w:r>
      <w:r w:rsidR="00870EEE" w:rsidRPr="00CC24BD">
        <w:t xml:space="preserve"> via transport and decay</w:t>
      </w:r>
      <w:r w:rsidR="00FD3307">
        <w:t xml:space="preserve"> </w:t>
      </w:r>
      <w:r w:rsidR="006170C4">
        <w:fldChar w:fldCharType="begin"/>
      </w:r>
      <w:r w:rsidR="006170C4">
        <w:instrText xml:space="preserve"> ADDIN ZOTERO_ITEM CSL_CITATION {"citationID":"M9RYZ3vq","properties":{"unsorted":false,"formattedCitation":"(Brand\\uc0\\u227{}o\\uc0\\u8208{}Dias et al., 2023; Fukaya et al., 2021)","plainCitation":"(Brandão‐Dias et al., 2023; Fukaya et al., 2021)","noteIndex":0},"citationItems":[{"id":4808,"uris":["http://zotero.org/users/9456007/items/PZMXF3Y4"],"itemData":{"id":4808,"type":"article-journal","abstract":"Abstract\n            Environmental DNA (eDNA) analysis is a powerful tool for remote detection of target organisms. However, obtaining quantitative and longitudinal information from eDNA data is challenging, requiring a deep understanding of eDNA ecology. Notably, if the various size components of eDNA decay at different rates, and we can separate them within a sample, their changing proportions could be used to obtain longitudinal dynamics information on targets. To test this possibility, we conducted an aquatic mesocosm experiment in which we separated fish‐derived eDNA components using sequential filtration to evaluate the decay rate and changing proportion of various eDNA particle sizes over time. We then fit four alternative mathematical decay models to the data, building towards a predictive framework to interpret eDNA data from various particle sizes. We found that medium‐sized particles (1–10 μm) decayed more slowly than other size classes (i.e., &lt;1 and &gt; 10 μm), and thus made up an increasing proportion of eDNA particles over time. We also observed distinct eDNA particle size distribution (PSD) between our Common carp and Rainbow trout samples, suggesting that target‐specific assays are required to determine starting eDNA PSDs. Additionally, we found evidence that different sizes of eDNA particles do not decay independently, with particle size conversion replenishing smaller particles over time. Nonetheless, a parsimonious mathematical model where particle sizes decay independently best explained the data. Given these results, we suggest a framework to discern target distance and abundance with eDNA data by applying sequential filtration, which theoretically has both metabarcoding and single‐target applications.","citation-key":"brandao-dias2023","container-title":"Molecular Ecology Resources","DOI":"10.1111/1755-0998.13751","ISSN":"1755-098X, 1755-0998","issue":"4","journalAbbreviation":"Molecular Ecology Resources","language":"en","page":"756-770","source":"DOI.org (Crossref)","title":"Particle size influences decay rates of environmental DNA in aquatic systems","volume":"23","author":[{"family":"Brandão‐Dias","given":"Pedro F. P."},{"family":"Hallack","given":"Daniel M. C."},{"family":"Snyder","given":"Elise D."},{"family":"Tank","given":"Jennifer L."},{"family":"Bolster","given":"Diogo"},{"family":"Volponi","given":"Sabrina"},{"family":"Shogren","given":"Arial J."},{"family":"Lamberti","given":"Gary A."},{"family":"Bibby","given":"Kyle"},{"family":"Egan","given":"Scott P."}],"issued":{"date-parts":[["2023",5]]}}},{"id":4807,"uris":["http://zotero.org/users/9456007/items/S5SJPKRF"],"itemData":{"id":4807,"type":"article-journal","abstract":"Abstract\n            \n              Molecular analysis of DNA left in the environment, known as environmental DNA (eDNA), has proven to be a powerful and cost‐effective approach to infer occurrence of species. Nonetheless, relating measurements of eDNA concentration to population abundance remains difficult because detailed knowledge on the processes that govern spatial and temporal distribution of eDNA should be integrated to reconstruct the underlying distribution and abundance of a target species. In this study, we propose a general framework of abundance estimation for aquatic systems on the basis of spatially replicated measurements of eDNA. The proposed method explicitly accounts for production, transport and degradation of eDNA by utilizing numerical hydrodynamic models that can simulate the distribution of eDNA concentrations within an aquatic area. It turns out that, under certain assumptions, population abundance can be estimated via a Bayesian inference of a generalized linear model. Application to a Japanese jack mackerel (\n              Trachurus japonicus\n              ) population in Maizuru Bay revealed that the proposed method gives an estimate of population abundance comparable to that of a quantitative echo sounder method. Furthermore, the method successfully identified a source of exogenous input of eDNA (a fish market), which may render a quantitative application of eDNA difficult to interpret unless its effect is taken into account. These findings indicate the ability of eDNA to reliably reflect population abundance of aquatic macroorganisms; when the “ecology of eDNA” is adequately accounted for, population abundance can be quantified on the basis of measurements of eDNA concentration.","citation-key":"fukaya2021","container-title":"Molecular Ecology","DOI":"10.1111/mec.15530","ISSN":"0962-1083, 1365-294X","issue":"13","journalAbbreviation":"Molecular Ecology","language":"en","page":"3057-3067","source":"DOI.org (Crossref)","title":"Estimating fish population abundance by integrating quantitative data on environmental DNA and hydrodynamic modelling","volume":"30","author":[{"family":"Fukaya","given":"Keiichi"},{"family":"Murakami","given":"Hiroaki"},{"family":"Yoon","given":"Seokjin"},{"family":"Minami","given":"Kenji"},{"family":"Osada","given":"Yutaka"},{"family":"Yamamoto","given":"Satoshi"},{"family":"Masuda","given":"Reiji"},{"family":"Kasai","given":"Akihide"},{"family":"Miyashita","given":"Kazushi"},{"family":"Minamoto","given":"Toshifumi"},{"family":"Kondoh","given":"Michio"}],"issued":{"date-parts":[["2021",7]]}}}],"schema":"https://github.com/citation-style-language/schema/raw/master/csl-citation.json"} </w:instrText>
      </w:r>
      <w:r w:rsidR="006170C4">
        <w:fldChar w:fldCharType="separate"/>
      </w:r>
      <w:r w:rsidR="006170C4" w:rsidRPr="006170C4">
        <w:t>(Brandão‐Dias et al., 2023; Fukaya et al., 2021)</w:t>
      </w:r>
      <w:r w:rsidR="006170C4">
        <w:fldChar w:fldCharType="end"/>
      </w:r>
      <w:r w:rsidR="00773AFD">
        <w:t>.</w:t>
      </w:r>
      <w:r w:rsidR="00870EEE" w:rsidRPr="00CC24BD">
        <w:t xml:space="preserve"> This means that even if organisms are locally patchy, the observed eDNA field may be smoother than the organism field, depending on hydrodynamic conditions and degradation rates. In our framework, such integration is embedded within the inferred </w:t>
      </w:r>
      <w:r w:rsidR="00403D4C" w:rsidRPr="00CC24BD">
        <w:t>length-scale</w:t>
      </w:r>
      <w:r w:rsidR="00870EEE" w:rsidRPr="00CC24BD">
        <w:t xml:space="preserve">, reinforcing that </w:t>
      </w:r>
      <w:r w:rsidR="00403D4C" w:rsidRPr="00E4333F">
        <w:rPr>
          <w:i/>
          <w:iCs/>
          <w:lang w:val="el-GR"/>
        </w:rPr>
        <w:t>ρ</w:t>
      </w:r>
      <w:r w:rsidR="00870EEE" w:rsidRPr="00CC24BD">
        <w:t xml:space="preserve"> should be interpreted as an effective length scale of the observed eDNA field rather than a purely ecological niche parameter</w:t>
      </w:r>
      <w:r w:rsidR="005C1CB9">
        <w:t xml:space="preserve"> </w:t>
      </w:r>
      <w:r w:rsidR="006170C4">
        <w:fldChar w:fldCharType="begin"/>
      </w:r>
      <w:r w:rsidR="006170C4">
        <w:instrText xml:space="preserve"> ADDIN ZOTERO_ITEM CSL_CITATION {"citationID":"6ROT86JC","properties":{"unsorted":false,"formattedCitation":"(Jo et al., 2025)","plainCitation":"(Jo et al., 2025)","noteIndex":0},"citationItems":[{"id":4810,"uris":["http://zotero.org/users/9456007/items/N2DXEA9Q"],"itemData":{"id":4810,"type":"article-journal","citation-key":"jo2025","container-title":"Ecological Indicators","DOI":"10.1016/j.ecolind.2025.113469","ISSN":"1470160X","journalAbbreviation":"Ecological Indicators","language":"en","page":"113469","source":"DOI.org (Crossref)","title":"Spatial dispersal of environmental DNA particles in lentic and marine ecosystems: An overview and synthesis","title-short":"Spatial dispersal of environmental DNA particles in lentic and marine ecosystems","volume":"174","author":[{"family":"Jo","given":"Toshiaki S."},{"family":"Murakami","given":"Hiroaki"},{"family":"Nakadai","given":"Ryosuke"}],"issued":{"date-parts":[["2025",5]]}}}],"schema":"https://github.com/citation-style-language/schema/raw/master/csl-citation.json"} </w:instrText>
      </w:r>
      <w:r w:rsidR="006170C4">
        <w:fldChar w:fldCharType="separate"/>
      </w:r>
      <w:r w:rsidR="006170C4">
        <w:rPr>
          <w:noProof/>
        </w:rPr>
        <w:t>(Jo et al., 2025)</w:t>
      </w:r>
      <w:r w:rsidR="006170C4">
        <w:fldChar w:fldCharType="end"/>
      </w:r>
      <w:r w:rsidR="00870EEE" w:rsidRPr="00CC24BD">
        <w:t>.</w:t>
      </w:r>
      <w:r w:rsidR="00832C2E" w:rsidRPr="00CC24BD">
        <w:t xml:space="preserve"> </w:t>
      </w:r>
      <w:r w:rsidR="00F3410A" w:rsidRPr="004507D0">
        <w:t>Importantly, because the length-scale parameter here reflects the integrated effects of organism distribution together with eDNA transport and decay, the depth patterns observed in this study may also reflect depth-dependent physical processes</w:t>
      </w:r>
      <w:r w:rsidR="006170C4">
        <w:t xml:space="preserve"> </w:t>
      </w:r>
      <w:r w:rsidR="006170C4">
        <w:fldChar w:fldCharType="begin"/>
      </w:r>
      <w:r w:rsidR="006170C4">
        <w:instrText xml:space="preserve"> ADDIN ZOTERO_ITEM CSL_CITATION {"citationID":"E2zcrgVy","properties":{"unsorted":false,"formattedCitation":"(Brand\\uc0\\u227{}o\\uc0\\u8208{}Dias et al., 2023)","plainCitation":"(Brandão‐Dias et al., 2023)","noteIndex":0},"citationItems":[{"id":4808,"uris":["http://zotero.org/users/9456007/items/PZMXF3Y4"],"itemData":{"id":4808,"type":"article-journal","abstract":"Abstract\n            Environmental DNA (eDNA) analysis is a powerful tool for remote detection of target organisms. However, obtaining quantitative and longitudinal information from eDNA data is challenging, requiring a deep understanding of eDNA ecology. Notably, if the various size components of eDNA decay at different rates, and we can separate them within a sample, their changing proportions could be used to obtain longitudinal dynamics information on targets. To test this possibility, we conducted an aquatic mesocosm experiment in which we separated fish‐derived eDNA components using sequential filtration to evaluate the decay rate and changing proportion of various eDNA particle sizes over time. We then fit four alternative mathematical decay models to the data, building towards a predictive framework to interpret eDNA data from various particle sizes. We found that medium‐sized particles (1–10 μm) decayed more slowly than other size classes (i.e., &lt;1 and &gt; 10 μm), and thus made up an increasing proportion of eDNA particles over time. We also observed distinct eDNA particle size distribution (PSD) between our Common carp and Rainbow trout samples, suggesting that target‐specific assays are required to determine starting eDNA PSDs. Additionally, we found evidence that different sizes of eDNA particles do not decay independently, with particle size conversion replenishing smaller particles over time. Nonetheless, a parsimonious mathematical model where particle sizes decay independently best explained the data. Given these results, we suggest a framework to discern target distance and abundance with eDNA data by applying sequential filtration, which theoretically has both metabarcoding and single‐target applications.","citation-key":"brandao-dias2023","container-title":"Molecular Ecology Resources","DOI":"10.1111/1755-0998.13751","ISSN":"1755-098X, 1755-0998","issue":"4","journalAbbreviation":"Molecular Ecology Resources","language":"en","page":"756-770","source":"DOI.org (Crossref)","title":"Particle size influences decay rates of environmental DNA in aquatic systems","volume":"23","author":[{"family":"Brandão‐Dias","given":"Pedro F. P."},{"family":"Hallack","given":"Daniel M. C."},{"family":"Snyder","given":"Elise D."},{"family":"Tank","given":"Jennifer L."},{"family":"Bolster","given":"Diogo"},{"family":"Volponi","given":"Sabrina"},{"family":"Shogren","given":"Arial J."},{"family":"Lamberti","given":"Gary A."},{"family":"Bibby","given":"Kyle"},{"family":"Egan","given":"Scott P."}],"issued":{"date-parts":[["2023",5]]}}}],"schema":"https://github.com/citation-style-language/schema/raw/master/csl-citation.json"} </w:instrText>
      </w:r>
      <w:r w:rsidR="006170C4">
        <w:fldChar w:fldCharType="separate"/>
      </w:r>
      <w:r w:rsidR="006170C4" w:rsidRPr="006170C4">
        <w:t>(Brandão‐Dias et al., 2023)</w:t>
      </w:r>
      <w:r w:rsidR="006170C4">
        <w:fldChar w:fldCharType="end"/>
      </w:r>
      <w:r>
        <w:t xml:space="preserve">. </w:t>
      </w:r>
      <w:r w:rsidRPr="00CC24BD">
        <w:t>I</w:t>
      </w:r>
      <w:r w:rsidR="00832C2E" w:rsidRPr="00CC24BD">
        <w:t xml:space="preserve">ntegrating eDNA observations with independent abundance data (trawl, acoustics) would allow some degree of separation of the spatial autocorrelation parameter, enabling clearer ecological interpretation of </w:t>
      </w:r>
      <w:r w:rsidR="001550FE" w:rsidRPr="00A63CF3">
        <w:rPr>
          <w:i/>
          <w:iCs/>
          <w:lang w:val="el-GR"/>
        </w:rPr>
        <w:t>ρ</w:t>
      </w:r>
      <w:r w:rsidR="001550FE" w:rsidRPr="00CC24BD">
        <w:t xml:space="preserve"> </w:t>
      </w:r>
      <w:r w:rsidR="00832C2E" w:rsidRPr="00CC24BD">
        <w:t>and improving the transferability of sampling-effort recommendations</w:t>
      </w:r>
      <w:r w:rsidR="00A63CF3">
        <w:t xml:space="preserve"> </w:t>
      </w:r>
      <w:r w:rsidR="0065487C">
        <w:fldChar w:fldCharType="begin"/>
      </w:r>
      <w:r w:rsidR="0065487C">
        <w:instrText xml:space="preserve"> ADDIN ZOTERO_ITEM CSL_CITATION {"citationID":"UKjpBxP3","properties":{"unsorted":false,"formattedCitation":"(Guri et al., 2024)","plainCitation":"(Guri et al., 2024)","noteIndex":0},"citationItems":[{"id":619,"uris":["http://zotero.org/users/9456007/items/HEWRJKJD"],"itemData":{"id":619,"type":"article-journal","abstract":"Abstract\n            Quantifying the biomass, or number of individuals, diversity, and distribution of marine species is a critical aspect of understanding and managing marine ecosystems. In recent years, there has been growing interest in using environmental DNA (eDNA) for marine ecosystem management and biodiversity assessment. However, the main challenge hindering eDNA applicability has been the inability to infer absolute species abundances from multispecies analysis (eDNA metabarcoding). In this study, we demonstrate a way forward by estimating the abundance of commercially important fish species in a Norwegian fjord using a joint Bayesian statistical model of traditional trawl-catch data and molecular data derived from eDNA. Using this model, we accurately predict out-of-sample trawl catches using eDNA alone. Moreover, our model provides empirical estimates for key processes linking marine eDNA concentration to the fish population abundance estimated from trawl observations, including trawl catchability, DNA shedding, degradation, dilution, transport, recovery rate, and isolation efficiency. These processes, including amplification efficiencies correcting for Polymerase Chain Reaction (PCR) bias, are species-specific and enable the translation of eDNA metabarcoding data into abundances. These findings have broad implications for the use of eDNA in marine ecosystem management and conservation efforts.","citation-key":"guri2024a","container-title":"ICES Journal of Marine Science","DOI":"10.1093/icesjms/fsae097","ISSN":"1054-3139, 1095-9289","language":"en","license":"https://creativecommons.org/licenses/by/4.0/","note":"24 citations (Crossref/DOI) [2026-01-20]\n20 citations (Crossref/DOI) [2025-12-02]\n17 citations (Crossref/DOI) [2025-10-27]\n16 citations (Semantic Scholar/DOI) [2025-10-27]\n17 citations (Crossref/DOI) [2025-10-27]","page":"fsae097","source":"DOI.org (Crossref)","title":"Predicting trawl catches using environmental DNA","author":[{"family":"Guri","given":"Gledis"},{"family":"Shelton","given":"Andrew Olaf"},{"family":"Kelly","given":"Ryan P"},{"family":"Yoccoz","given":"Nigel"},{"family":"Johansen","given":"Torild"},{"family":"Præbel","given":"Kim"},{"family":"Hanebrekke","given":"Tanja"},{"family":"Ray","given":"Jessica Louise"},{"family":"Fall","given":"Johanna"},{"family":"Westgaard","given":"Jon-Ivar"}],"editor":[{"family":"Grant","given":"W Stewart"}],"issued":{"date-parts":[["2024",8,7]]}}}],"schema":"https://github.com/citation-style-language/schema/raw/master/csl-citation.json"} </w:instrText>
      </w:r>
      <w:r w:rsidR="0065487C">
        <w:fldChar w:fldCharType="separate"/>
      </w:r>
      <w:r w:rsidR="0065487C">
        <w:rPr>
          <w:noProof/>
        </w:rPr>
        <w:t>(Guri et al., 2024)</w:t>
      </w:r>
      <w:r w:rsidR="0065487C">
        <w:fldChar w:fldCharType="end"/>
      </w:r>
      <w:r w:rsidR="00832C2E" w:rsidRPr="00CC24BD">
        <w:t>.</w:t>
      </w:r>
    </w:p>
    <w:p w14:paraId="01B1111E" w14:textId="77777777" w:rsidR="00286ADA" w:rsidRDefault="00286ADA" w:rsidP="001643E6">
      <w:pPr>
        <w:pStyle w:val="p2"/>
        <w:spacing w:before="0" w:beforeAutospacing="0" w:after="0" w:afterAutospacing="0" w:line="480" w:lineRule="auto"/>
        <w:jc w:val="both"/>
      </w:pPr>
    </w:p>
    <w:p w14:paraId="5EF3F690" w14:textId="6494558B" w:rsidR="00D34C42" w:rsidRDefault="005A5E64" w:rsidP="001643E6">
      <w:pPr>
        <w:pStyle w:val="p2"/>
        <w:spacing w:before="0" w:beforeAutospacing="0" w:after="0" w:afterAutospacing="0" w:line="480" w:lineRule="auto"/>
        <w:jc w:val="both"/>
      </w:pPr>
      <w:bookmarkStart w:id="21" w:name="OLE_LINK3"/>
      <w:r w:rsidRPr="00CC24BD">
        <w:lastRenderedPageBreak/>
        <w:t>Spatial scale also sets an important boundary on the applicability of these results. The relationships identified here are expected to hold most strongly when interpreted relative to the extent and resolution of the study domain, rather than as fixed thresholds transferable across all systems.</w:t>
      </w:r>
      <w:r w:rsidR="009E52EF" w:rsidRPr="00CC24BD">
        <w:rPr>
          <w:lang w:val="el-GR"/>
        </w:rPr>
        <w:t xml:space="preserve"> </w:t>
      </w:r>
      <w:r>
        <w:t>In a small study domain</w:t>
      </w:r>
      <w:r>
        <w:t xml:space="preserve">, the autocorrelation scale of the observed eDNA field may exceed the survey extent, causing the field to appear nearly uniform and making </w:t>
      </w:r>
      <w:r w:rsidR="007A5C24" w:rsidRPr="006A3BF7">
        <w:rPr>
          <w:i/>
          <w:iCs/>
          <w:lang w:val="el-GR"/>
        </w:rPr>
        <w:t>μ</w:t>
      </w:r>
      <w:r w:rsidR="007A5C24" w:rsidRPr="006A3BF7">
        <w:rPr>
          <w:i/>
          <w:iCs/>
          <w:vertAlign w:val="subscript"/>
        </w:rPr>
        <w:t>d</w:t>
      </w:r>
      <w:r w:rsidR="007A5C24" w:rsidRPr="00CC24BD">
        <w:t xml:space="preserve"> difficult to estimate independently of the spatial process</w:t>
      </w:r>
      <w:r w:rsidR="006A3BF7">
        <w:t xml:space="preserve"> </w:t>
      </w:r>
      <w:r w:rsidR="0065487C">
        <w:fldChar w:fldCharType="begin"/>
      </w:r>
      <w:r w:rsidR="00AA6C90">
        <w:instrText xml:space="preserve"> ADDIN ZOTERO_ITEM CSL_CITATION {"citationID":"wCQcDlS6","properties":{"unsorted":false,"formattedCitation":"(Paciorek, 2010; Redfern et al., 2006)","plainCitation":"(Paciorek, 2010; Redfern et al., 2006)","noteIndex":0},"citationItems":[{"id":4827,"uris":["http://zotero.org/users/9456007/items/2MLTH25K"],"itemData":{"id":4827,"type":"article-journal","citation-key":"paciorek2010","container-title":"Statistical Science","DOI":"10.1214/10-STS326","ISSN":"0883-4237","issue":"1","journalAbbreviation":"Statist. Sci.","source":"DOI.org (Crossref)","title":"The Importance of Scale for Spatial-Confounding Bias and Precision of Spatial Regression Estimators","URL":"https://projecteuclid.org/journals/statistical-science/volume-25/issue-1/The-Importance-of-Scale-for-Spatial-Confounding-Bias-and-Precision/10.1214/10-STS326.full","volume":"25","author":[{"family":"Paciorek","given":"Christopher J."}],"accessed":{"date-parts":[["2026",5,7]]},"issued":{"date-parts":[["2010",2,1]]}}},{"id":4811,"uris":["http://zotero.org/users/9456007/items/JLJUQUNX"],"itemData":{"id":4811,"type":"article-journal","citation-key":"redfern2006","container-title":"Marine Ecology Progress Series","DOI":"10.3354/meps310271","ISSN":"0171-8630, 1616-1599","journalAbbreviation":"Mar. Ecol. Prog. Ser.","language":"en","page":"271-295","source":"DOI.org (Crossref)","title":"Techniques for cetaceanhabitat modeling","volume":"310","author":[{"family":"Redfern","given":"Jv"},{"family":"Ferguson","given":"Mc"},{"family":"Becker","given":"Ea"},{"family":"Hyrenbach","given":"Kd"},{"family":"Good","given":"C"},{"family":"Barlow","given":"J"},{"family":"Kaschner","given":"K"},{"family":"Baumgartner","given":"Mf"},{"family":"Forney","given":"Ka"},{"family":"Ballance","given":"Lt"},{"family":"Fauchald","given":"P"},{"family":"Halpin","given":"P"},{"family":"Hamazaki","given":"T"},{"family":"Pershing","given":"Aj"},{"family":"Qian","given":"Ss"},{"family":"Read","given":"A"},{"family":"Reilly","given":"Sb"},{"family":"Torres","given":"L"},{"family":"Werne","given":"F"}],"issued":{"date-parts":[["2006",4,3]]}}}],"schema":"https://github.com/citation-style-language/schema/raw/master/csl-citation.json"} </w:instrText>
      </w:r>
      <w:r w:rsidR="0065487C">
        <w:fldChar w:fldCharType="separate"/>
      </w:r>
      <w:r w:rsidR="004660B7">
        <w:rPr>
          <w:noProof/>
        </w:rPr>
        <w:t>(Paciorek, 2010; Redfern et al., 2006)</w:t>
      </w:r>
      <w:r w:rsidR="0065487C">
        <w:fldChar w:fldCharType="end"/>
      </w:r>
      <w:r w:rsidR="00773AFD">
        <w:t>.</w:t>
      </w:r>
      <w:r>
        <w:t xml:space="preserve"> </w:t>
      </w:r>
    </w:p>
    <w:p w14:paraId="6A427720" w14:textId="77777777" w:rsidR="00F95A68" w:rsidRDefault="00F95A68" w:rsidP="001643E6">
      <w:pPr>
        <w:pStyle w:val="p2"/>
        <w:spacing w:before="0" w:beforeAutospacing="0" w:after="0" w:afterAutospacing="0" w:line="480" w:lineRule="auto"/>
        <w:jc w:val="both"/>
      </w:pPr>
    </w:p>
    <w:p w14:paraId="030F2BF6" w14:textId="77777777" w:rsidR="002E285D" w:rsidRDefault="002E285D" w:rsidP="001643E6">
      <w:pPr>
        <w:spacing w:after="0" w:line="480" w:lineRule="auto"/>
        <w:rPr>
          <w:rFonts w:ascii="Times New Roman" w:eastAsia="Times New Roman" w:hAnsi="Times New Roman" w:cs="Times New Roman"/>
          <w:b/>
          <w:bCs/>
        </w:rPr>
      </w:pPr>
      <w:bookmarkStart w:id="22" w:name="OLE_LINK1"/>
      <w:bookmarkEnd w:id="21"/>
      <w:r w:rsidRPr="00870EEE">
        <w:rPr>
          <w:rFonts w:ascii="Times New Roman" w:eastAsia="Times New Roman" w:hAnsi="Times New Roman" w:cs="Times New Roman"/>
          <w:b/>
          <w:bCs/>
        </w:rPr>
        <w:t xml:space="preserve">Implications for survey design and management applications </w:t>
      </w:r>
    </w:p>
    <w:p w14:paraId="10721492" w14:textId="7D7BC227" w:rsidR="00F04F50" w:rsidRPr="00D12FC8" w:rsidRDefault="009A110E" w:rsidP="001643E6">
      <w:pPr>
        <w:spacing w:after="0" w:line="480" w:lineRule="auto"/>
        <w:jc w:val="both"/>
        <w:rPr>
          <w:rFonts w:ascii="Times New Roman" w:eastAsia="Times New Roman" w:hAnsi="Times New Roman" w:cs="Times New Roman"/>
        </w:rPr>
      </w:pPr>
      <w:bookmarkStart w:id="23" w:name="OLE_LINK4"/>
      <w:bookmarkEnd w:id="22"/>
      <w:r>
        <w:rPr>
          <w:rFonts w:ascii="Times New Roman" w:eastAsia="Times New Roman" w:hAnsi="Times New Roman" w:cs="Times New Roman"/>
        </w:rPr>
        <w:t>S</w:t>
      </w:r>
      <w:r w:rsidR="002E285D" w:rsidRPr="000F42A5">
        <w:rPr>
          <w:rFonts w:ascii="Times New Roman" w:eastAsia="Times New Roman" w:hAnsi="Times New Roman" w:cs="Times New Roman"/>
        </w:rPr>
        <w:t xml:space="preserve">ampling effort required for eDNA surveys should be matched to the intended inferential goal. </w:t>
      </w:r>
      <w:r w:rsidR="00BC2A6B" w:rsidRPr="00BC2A6B">
        <w:rPr>
          <w:rFonts w:ascii="Times New Roman" w:eastAsia="Times New Roman" w:hAnsi="Times New Roman" w:cs="Times New Roman"/>
        </w:rPr>
        <w:t>When the objective is to estimate GP parameters such as the mean (</w:t>
      </w:r>
      <w:proofErr w:type="spellStart"/>
      <w:r w:rsidR="00BC2A6B" w:rsidRPr="00D93751">
        <w:rPr>
          <w:rFonts w:ascii="Times New Roman" w:eastAsia="Times New Roman" w:hAnsi="Times New Roman" w:cs="Times New Roman"/>
          <w:i/>
          <w:iCs/>
        </w:rPr>
        <w:t>μ</w:t>
      </w:r>
      <w:r w:rsidR="00D93751" w:rsidRPr="00D93751">
        <w:rPr>
          <w:rFonts w:ascii="Times New Roman" w:eastAsia="Times New Roman" w:hAnsi="Times New Roman" w:cs="Times New Roman"/>
          <w:i/>
          <w:iCs/>
          <w:vertAlign w:val="subscript"/>
        </w:rPr>
        <w:t>d</w:t>
      </w:r>
      <w:proofErr w:type="spellEnd"/>
      <w:r w:rsidR="00BC2A6B" w:rsidRPr="00BC2A6B">
        <w:rPr>
          <w:rFonts w:ascii="Times New Roman" w:eastAsia="Times New Roman" w:hAnsi="Times New Roman" w:cs="Times New Roman"/>
        </w:rPr>
        <w:t>)</w:t>
      </w:r>
      <w:r w:rsidR="00BC2A6B">
        <w:rPr>
          <w:rFonts w:ascii="Times New Roman" w:eastAsia="Times New Roman" w:hAnsi="Times New Roman" w:cs="Times New Roman"/>
        </w:rPr>
        <w:t xml:space="preserve"> for </w:t>
      </w:r>
      <w:r w:rsidR="00BC2A6B" w:rsidRPr="000F42A5">
        <w:rPr>
          <w:rFonts w:ascii="Times New Roman" w:eastAsia="Times New Roman" w:hAnsi="Times New Roman" w:cs="Times New Roman"/>
        </w:rPr>
        <w:t>deriv</w:t>
      </w:r>
      <w:r w:rsidR="00BC2A6B">
        <w:rPr>
          <w:rFonts w:ascii="Times New Roman" w:eastAsia="Times New Roman" w:hAnsi="Times New Roman" w:cs="Times New Roman"/>
        </w:rPr>
        <w:t>ing</w:t>
      </w:r>
      <w:r w:rsidR="00BC2A6B" w:rsidRPr="000F42A5">
        <w:rPr>
          <w:rFonts w:ascii="Times New Roman" w:eastAsia="Times New Roman" w:hAnsi="Times New Roman" w:cs="Times New Roman"/>
        </w:rPr>
        <w:t xml:space="preserve"> depth-specific or region-specific</w:t>
      </w:r>
      <w:r w:rsidR="00BC2A6B">
        <w:rPr>
          <w:rFonts w:ascii="Times New Roman" w:eastAsia="Times New Roman" w:hAnsi="Times New Roman" w:cs="Times New Roman"/>
        </w:rPr>
        <w:t xml:space="preserve"> </w:t>
      </w:r>
      <w:r w:rsidR="00BC2A6B" w:rsidRPr="000F42A5">
        <w:rPr>
          <w:rFonts w:ascii="Times New Roman" w:eastAsia="Times New Roman" w:hAnsi="Times New Roman" w:cs="Times New Roman"/>
        </w:rPr>
        <w:t>abundance indices</w:t>
      </w:r>
      <w:r w:rsidR="00BC2A6B">
        <w:rPr>
          <w:rFonts w:ascii="Times New Roman" w:eastAsia="Times New Roman" w:hAnsi="Times New Roman" w:cs="Times New Roman"/>
        </w:rPr>
        <w:t xml:space="preserve"> typically used </w:t>
      </w:r>
      <w:r w:rsidR="00BC2A6B" w:rsidRPr="00BC2A6B">
        <w:rPr>
          <w:rFonts w:ascii="Times New Roman" w:eastAsia="Times New Roman" w:hAnsi="Times New Roman" w:cs="Times New Roman"/>
        </w:rPr>
        <w:t>in stock assessment indices</w:t>
      </w:r>
      <w:r w:rsidR="001365D9">
        <w:rPr>
          <w:rFonts w:ascii="Times New Roman" w:eastAsia="Times New Roman" w:hAnsi="Times New Roman" w:cs="Times New Roman"/>
        </w:rPr>
        <w:t xml:space="preserve"> </w:t>
      </w:r>
      <w:r w:rsidR="001365D9">
        <w:rPr>
          <w:rFonts w:ascii="Times New Roman" w:eastAsia="Times New Roman" w:hAnsi="Times New Roman" w:cs="Times New Roman"/>
        </w:rPr>
        <w:fldChar w:fldCharType="begin"/>
      </w:r>
      <w:r w:rsidR="001365D9">
        <w:rPr>
          <w:rFonts w:ascii="Times New Roman" w:eastAsia="Times New Roman" w:hAnsi="Times New Roman" w:cs="Times New Roman"/>
        </w:rPr>
        <w:instrText xml:space="preserve"> ADDIN ZOTERO_ITEM CSL_CITATION {"citationID":"inJ56g1X","properties":{"unsorted":false,"formattedCitation":"(Shelton et al., 2022)","plainCitation":"(Shelton et al., 2022)","noteIndex":0},"citationItems":[{"id":749,"uris":["http://zotero.org/users/9456007/items/R4RSPWHM"],"itemData":{"id":749,"type":"article-journal","abstract":"All species inevitably leave genetic traces in their environments, and the resulting environmental DNA (eDNA) reflects the species present in a given habitat. It remains unclear whether eDNA signals can provide quantitative metrics of abundance on which human livelihoods or conservation successes depend. Here, we report the results of a large eDNA ocean survey (spanning 86 000 km\n              2\n              to depths of 500 m) to understand the abundance and distribution of Pacific hake (\n              Merluccius productus\n              ), the target of the largest finfish fishery along the west coast of the USA. We sampled eDNA in parallel with a traditional acoustic-trawl survey to assess the value of eDNA surveys at a scale relevant to fisheries management. Despite local differences, the two methods yield comparable information about the broad-scale spatial distribution and abundance. Furthermore, we find depth and spatial patterns of eDNA closely correspond to acoustic-trawl estimates for hake. We demonstrate the power and efficacy of eDNA sampling for estimating abundance and distribution and move the analysis eDNA data beyond sample-to-sample comparisons to management relevant scales. We posit that eDNA methods are capable of providing general quantitative applications that will prove especially valuable in data- or resource-limited contexts.","citation-key":"shelton2022","container-title":"Proceedings of the Royal Society B: Biological Sciences","DOI":"https://doi.org/10.1098/rspb.2021.2613","ISSN":"0962-8452, 1471-2954","issue":"1971","journalAbbreviation":"Proc. R. Soc. B.","language":"en","note":"76 citations (Crossref/DOI) [2026-01-20]\n71 citations (Crossref/DOI) [2025-10-27]\n32 citations (Crossref) [2023-10-02]\n1 citations (Semantic Scholar/DOI) [2022-05-12]","page":"20212613","source":"DOI.org (Crossref)","title":"Environmental DNA provides quantitative estimates of Pacific hake abundance and distribution in the open ocean","volume":"289","author":[{"family":"Shelton","given":"Andrew Olaf"},{"family":"Ramón-Laca","given":"Ana"},{"family":"Wells","given":"Abigail"},{"family":"Clemons","given":"Julia"},{"family":"Chu","given":"Dezhang"},{"family":"Feist","given":"Blake E."},{"family":"Kelly","given":"Ryan P."},{"family":"Parker-Stetter","given":"Sandra L."},{"family":"Thomas","given":"Rebecca"},{"family":"Nichols","given":"Krista M."},{"family":"Park","given":"Linda"}],"issued":{"date-parts":[["2022",3,30]]}}}],"schema":"https://github.com/citation-style-language/schema/raw/master/csl-citation.json"} </w:instrText>
      </w:r>
      <w:r w:rsidR="001365D9">
        <w:rPr>
          <w:rFonts w:ascii="Times New Roman" w:eastAsia="Times New Roman" w:hAnsi="Times New Roman" w:cs="Times New Roman"/>
        </w:rPr>
        <w:fldChar w:fldCharType="separate"/>
      </w:r>
      <w:r w:rsidR="001365D9">
        <w:rPr>
          <w:rFonts w:ascii="Times New Roman" w:eastAsia="Times New Roman" w:hAnsi="Times New Roman" w:cs="Times New Roman"/>
          <w:noProof/>
        </w:rPr>
        <w:t>(Shelton et al., 2022)</w:t>
      </w:r>
      <w:r w:rsidR="001365D9">
        <w:rPr>
          <w:rFonts w:ascii="Times New Roman" w:eastAsia="Times New Roman" w:hAnsi="Times New Roman" w:cs="Times New Roman"/>
        </w:rPr>
        <w:fldChar w:fldCharType="end"/>
      </w:r>
      <w:r w:rsidR="00BC2A6B" w:rsidRPr="00BC2A6B">
        <w:rPr>
          <w:rFonts w:ascii="Times New Roman" w:eastAsia="Times New Roman" w:hAnsi="Times New Roman" w:cs="Times New Roman"/>
        </w:rPr>
        <w:t xml:space="preserve">, </w:t>
      </w:r>
      <w:r w:rsidR="00105071">
        <w:rPr>
          <w:rFonts w:ascii="Times New Roman" w:eastAsia="Times New Roman" w:hAnsi="Times New Roman" w:cs="Times New Roman"/>
        </w:rPr>
        <w:t>the autoc</w:t>
      </w:r>
      <w:r w:rsidR="00105071" w:rsidRPr="007A23FC">
        <w:rPr>
          <w:rFonts w:ascii="Times New Roman" w:eastAsia="Times New Roman" w:hAnsi="Times New Roman" w:cs="Times New Roman"/>
        </w:rPr>
        <w:t>orrelation (</w:t>
      </w:r>
      <w:r w:rsidR="00105071" w:rsidRPr="007A23FC">
        <w:rPr>
          <w:rFonts w:ascii="Times New Roman" w:eastAsia="Times New Roman" w:hAnsi="Times New Roman" w:cs="Times New Roman"/>
          <w:i/>
          <w:iCs/>
          <w:lang w:val="el-GR"/>
        </w:rPr>
        <w:t>ρ</w:t>
      </w:r>
      <w:r w:rsidR="00105071" w:rsidRPr="007A23FC">
        <w:rPr>
          <w:rFonts w:ascii="Times New Roman" w:eastAsia="Times New Roman" w:hAnsi="Times New Roman" w:cs="Times New Roman"/>
        </w:rPr>
        <w:t>)</w:t>
      </w:r>
      <w:r w:rsidR="00BC2A6B" w:rsidRPr="007A23FC">
        <w:rPr>
          <w:rFonts w:ascii="Times New Roman" w:eastAsia="Times New Roman" w:hAnsi="Times New Roman" w:cs="Times New Roman"/>
        </w:rPr>
        <w:t xml:space="preserve"> </w:t>
      </w:r>
      <w:r w:rsidR="007A23FC" w:rsidRPr="007A23FC">
        <w:rPr>
          <w:rFonts w:ascii="Times New Roman" w:eastAsia="Times New Roman" w:hAnsi="Times New Roman" w:cs="Times New Roman"/>
        </w:rPr>
        <w:t xml:space="preserve">for applied ecological questions, like implementing protected area networks or monitoring programs </w:t>
      </w:r>
      <w:r w:rsidR="004660B7">
        <w:rPr>
          <w:rFonts w:ascii="Times New Roman" w:eastAsia="Times New Roman" w:hAnsi="Times New Roman" w:cs="Times New Roman"/>
        </w:rPr>
        <w:fldChar w:fldCharType="begin"/>
      </w:r>
      <w:r w:rsidR="004660B7">
        <w:rPr>
          <w:rFonts w:ascii="Times New Roman" w:eastAsia="Times New Roman" w:hAnsi="Times New Roman" w:cs="Times New Roman"/>
        </w:rPr>
        <w:instrText xml:space="preserve"> ADDIN ZOTERO_ITEM CSL_CITATION {"citationID":"Scy3unG3","properties":{"unsorted":false,"formattedCitation":"(Laroche, 2024)","plainCitation":"(Laroche, 2024)","noteIndex":0},"citationItems":[{"id":4711,"uris":["http://zotero.org/users/9456007/items/JI3NID74"],"itemData":{"id":4711,"type":"article-journal","abstract":"Quantifying the autocorrelation range of species distribution in space is necessary for applied ecological questions, like implementing protected area networks or monitoring programs. However, the power of spatial sampling designs to estimate this range is negatively related with other objectives such as estimating environmental effects acting upon species distribution. Mixing random sampling points and systematic grid (‘hybrid’ designs) is a classic solution to make a trade-off. However, fractal designs (i.e. self-similar designs with well-identified scales) could make an even better compromise, because they cover a wide array of possible autocorrelation range values across scales. Using maximum likelihood estimation in an optimal design of experiments approach, we compared errors of hybrid and fractal designs when simultaneously estimating an effect acting upon a response variable and the residual autocorrelation range. We found that Pareto-optimal sampling strategies depended on the feasible grid mesh size (FGMS) over the study area, given the sampling budget. When the FMGS was shorter than expected autocorrelation range values, grid design was the best option on all criteria. When the FMGS was around or larger than expected autocorrelation range values, the choice of designs depended on the effect under study. Fractal designs outperformed hybrid designs when studying the effect of a monotonic environmental gradient across space, while grid design was more efficient for other types of question. Beyond the niche identified in our analysis, fractal designs may also appear interesting when studying response variables with more heterogeneous spatial structure across scales, and when considering more practical criteria of performance such as the distance needed to cover the design.","citation-key":"laroche2024","container-title":"Peer Community Journal","DOI":"10.24072/pcjournal.454","ISSN":"2804-3871","language":"en","page":"e76","source":"DOI.org (Crossref)","title":"Efficient sampling designs to assess biodiversity spatial autocorrelation: should we go fractal?","title-short":"Efficient sampling designs to assess biodiversity spatial autocorrelation","volume":"4","author":[{"family":"Laroche","given":"Fabien"}],"issued":{"date-parts":[["2024",8,21]]}}}],"schema":"https://github.com/citation-style-language/schema/raw/master/csl-citation.json"} </w:instrText>
      </w:r>
      <w:r w:rsidR="004660B7">
        <w:rPr>
          <w:rFonts w:ascii="Times New Roman" w:eastAsia="Times New Roman" w:hAnsi="Times New Roman" w:cs="Times New Roman"/>
        </w:rPr>
        <w:fldChar w:fldCharType="separate"/>
      </w:r>
      <w:r w:rsidR="004660B7">
        <w:rPr>
          <w:rFonts w:ascii="Times New Roman" w:eastAsia="Times New Roman" w:hAnsi="Times New Roman" w:cs="Times New Roman"/>
          <w:noProof/>
        </w:rPr>
        <w:t>(Laroche, 2024)</w:t>
      </w:r>
      <w:r w:rsidR="004660B7">
        <w:rPr>
          <w:rFonts w:ascii="Times New Roman" w:eastAsia="Times New Roman" w:hAnsi="Times New Roman" w:cs="Times New Roman"/>
        </w:rPr>
        <w:fldChar w:fldCharType="end"/>
      </w:r>
      <w:r w:rsidR="007A23FC">
        <w:rPr>
          <w:rFonts w:ascii="Times New Roman" w:eastAsia="Times New Roman" w:hAnsi="Times New Roman" w:cs="Times New Roman"/>
        </w:rPr>
        <w:t>, or</w:t>
      </w:r>
      <w:r w:rsidR="00813E80">
        <w:rPr>
          <w:rFonts w:ascii="Times New Roman" w:eastAsia="Times New Roman" w:hAnsi="Times New Roman" w:cs="Times New Roman"/>
        </w:rPr>
        <w:t xml:space="preserve"> </w:t>
      </w:r>
      <w:r w:rsidR="00BC2A6B" w:rsidRPr="00BC2A6B">
        <w:rPr>
          <w:rFonts w:ascii="Times New Roman" w:eastAsia="Times New Roman" w:hAnsi="Times New Roman" w:cs="Times New Roman"/>
        </w:rPr>
        <w:t>the variance parameter (</w:t>
      </w:r>
      <w:r w:rsidR="00BC2A6B" w:rsidRPr="00D93751">
        <w:rPr>
          <w:rFonts w:ascii="Times New Roman" w:eastAsia="Times New Roman" w:hAnsi="Times New Roman" w:cs="Times New Roman"/>
          <w:i/>
          <w:iCs/>
        </w:rPr>
        <w:t>α</w:t>
      </w:r>
      <w:r w:rsidR="00766B84" w:rsidRPr="00D93751">
        <w:rPr>
          <w:rFonts w:ascii="Times New Roman" w:eastAsia="Times New Roman" w:hAnsi="Times New Roman" w:cs="Times New Roman"/>
          <w:i/>
          <w:iCs/>
          <w:vertAlign w:val="superscript"/>
        </w:rPr>
        <w:t>2</w:t>
      </w:r>
      <w:r w:rsidR="00BC2A6B" w:rsidRPr="00BC2A6B">
        <w:rPr>
          <w:rFonts w:ascii="Times New Roman" w:eastAsia="Times New Roman" w:hAnsi="Times New Roman" w:cs="Times New Roman"/>
        </w:rPr>
        <w:t xml:space="preserve">), </w:t>
      </w:r>
      <w:r w:rsidR="001E53A7" w:rsidRPr="000F42A5">
        <w:rPr>
          <w:rFonts w:ascii="Times New Roman" w:eastAsia="Times New Roman" w:hAnsi="Times New Roman" w:cs="Times New Roman"/>
        </w:rPr>
        <w:t xml:space="preserve">random sampling designs that adequately cover the full spatial domain of the species </w:t>
      </w:r>
      <w:r w:rsidR="001E53A7">
        <w:rPr>
          <w:rFonts w:ascii="Times New Roman" w:eastAsia="Times New Roman" w:hAnsi="Times New Roman" w:cs="Times New Roman"/>
        </w:rPr>
        <w:t xml:space="preserve">spatial autocorrelation </w:t>
      </w:r>
      <w:r w:rsidR="001E53A7" w:rsidRPr="000F42A5">
        <w:rPr>
          <w:rFonts w:ascii="Times New Roman" w:eastAsia="Times New Roman" w:hAnsi="Times New Roman" w:cs="Times New Roman"/>
        </w:rPr>
        <w:t>are likely to be sufficient</w:t>
      </w:r>
      <w:r w:rsidR="000B16AE">
        <w:rPr>
          <w:rFonts w:ascii="Times New Roman" w:eastAsia="Times New Roman" w:hAnsi="Times New Roman" w:cs="Times New Roman"/>
        </w:rPr>
        <w:t xml:space="preserve"> </w:t>
      </w:r>
      <w:r w:rsidR="00CC72E8">
        <w:rPr>
          <w:rFonts w:ascii="Times New Roman" w:eastAsia="Times New Roman" w:hAnsi="Times New Roman" w:cs="Times New Roman"/>
        </w:rPr>
        <w:fldChar w:fldCharType="begin"/>
      </w:r>
      <w:r w:rsidR="00CC72E8">
        <w:rPr>
          <w:rFonts w:ascii="Times New Roman" w:eastAsia="Times New Roman" w:hAnsi="Times New Roman" w:cs="Times New Roman"/>
        </w:rPr>
        <w:instrText xml:space="preserve"> ADDIN ZOTERO_ITEM CSL_CITATION {"citationID":"J1foCqGv","properties":{"unsorted":false,"formattedCitation":"(Rocha et al., 2021)","plainCitation":"(Rocha et al., 2021)","noteIndex":0},"citationItems":[{"id":4719,"uris":["http://zotero.org/users/9456007/items/T2B7Y9BQ"],"itemData":{"id":4719,"type":"article-journal","citation-key":"rocha2021","container-title":"IEEE Transactions on Geoscience and Remote Sensing","DOI":"10.1109/TGRS.2020.2989216","ISSN":"0196-2892, 1558-0644","issue":"1","journalAbbreviation":"IEEE Trans. Geosci. Remote Sensing","license":"https://ieeexplore.ieee.org/Xplorehelp/downloads/license-information/IEEE.html","page":"663-674","source":"DOI.org (Crossref)","title":"Role of Sampling Design When Predicting Spatially Dependent Ecological Data With Remote Sensing","volume":"59","author":[{"family":"Rocha","given":"Alby D."},{"family":"Groen","given":"Thomas A."},{"family":"Skidmore","given":"Andrew K."},{"family":"Willemen","given":"Louise"}],"issued":{"date-parts":[["2021",1]]}}}],"schema":"https://github.com/citation-style-language/schema/raw/master/csl-citation.json"} </w:instrText>
      </w:r>
      <w:r w:rsidR="00CC72E8">
        <w:rPr>
          <w:rFonts w:ascii="Times New Roman" w:eastAsia="Times New Roman" w:hAnsi="Times New Roman" w:cs="Times New Roman"/>
        </w:rPr>
        <w:fldChar w:fldCharType="separate"/>
      </w:r>
      <w:r w:rsidR="00CC72E8">
        <w:rPr>
          <w:rFonts w:ascii="Times New Roman" w:eastAsia="Times New Roman" w:hAnsi="Times New Roman" w:cs="Times New Roman"/>
          <w:noProof/>
        </w:rPr>
        <w:t>(Rocha et al., 2021)</w:t>
      </w:r>
      <w:r w:rsidR="00CC72E8">
        <w:rPr>
          <w:rFonts w:ascii="Times New Roman" w:eastAsia="Times New Roman" w:hAnsi="Times New Roman" w:cs="Times New Roman"/>
        </w:rPr>
        <w:fldChar w:fldCharType="end"/>
      </w:r>
      <w:r w:rsidR="001E53A7" w:rsidRPr="000F42A5">
        <w:rPr>
          <w:rFonts w:ascii="Times New Roman" w:eastAsia="Times New Roman" w:hAnsi="Times New Roman" w:cs="Times New Roman"/>
        </w:rPr>
        <w:t xml:space="preserve">, as sampling effort appears to have relatively limited influence on </w:t>
      </w:r>
      <w:r w:rsidR="00071FD5">
        <w:rPr>
          <w:rFonts w:ascii="Times New Roman" w:eastAsia="Times New Roman" w:hAnsi="Times New Roman" w:cs="Times New Roman"/>
        </w:rPr>
        <w:t>parameter</w:t>
      </w:r>
      <w:r w:rsidR="001E53A7" w:rsidRPr="000F42A5">
        <w:rPr>
          <w:rFonts w:ascii="Times New Roman" w:eastAsia="Times New Roman" w:hAnsi="Times New Roman" w:cs="Times New Roman"/>
        </w:rPr>
        <w:t xml:space="preserve"> estimation</w:t>
      </w:r>
      <w:r w:rsidR="001E53A7">
        <w:rPr>
          <w:rFonts w:ascii="Times New Roman" w:eastAsia="Times New Roman" w:hAnsi="Times New Roman" w:cs="Times New Roman"/>
        </w:rPr>
        <w:t xml:space="preserve"> (Figure 5)</w:t>
      </w:r>
      <w:r w:rsidR="001E53A7" w:rsidRPr="000F42A5">
        <w:rPr>
          <w:rFonts w:ascii="Times New Roman" w:eastAsia="Times New Roman" w:hAnsi="Times New Roman" w:cs="Times New Roman"/>
        </w:rPr>
        <w:t>.</w:t>
      </w:r>
      <w:r w:rsidR="009F782B">
        <w:rPr>
          <w:rFonts w:ascii="Times New Roman" w:eastAsia="Times New Roman" w:hAnsi="Times New Roman" w:cs="Times New Roman"/>
        </w:rPr>
        <w:t xml:space="preserve"> </w:t>
      </w:r>
      <w:r w:rsidR="00BF6E87">
        <w:rPr>
          <w:rFonts w:ascii="Times New Roman" w:eastAsia="Times New Roman" w:hAnsi="Times New Roman" w:cs="Times New Roman"/>
        </w:rPr>
        <w:t>I</w:t>
      </w:r>
      <w:r w:rsidR="00BF6E87" w:rsidRPr="00BF6E87">
        <w:rPr>
          <w:rFonts w:ascii="Times New Roman" w:eastAsia="Times New Roman" w:hAnsi="Times New Roman" w:cs="Times New Roman"/>
        </w:rPr>
        <w:t>n contrast, when the objective shifts toward predicting spatial distributions</w:t>
      </w:r>
      <w:r w:rsidR="00B337A5">
        <w:rPr>
          <w:rFonts w:ascii="Times New Roman" w:eastAsia="Times New Roman" w:hAnsi="Times New Roman" w:cs="Times New Roman"/>
        </w:rPr>
        <w:t xml:space="preserve"> - </w:t>
      </w:r>
      <w:r w:rsidR="00BF6E87" w:rsidRPr="00BF6E87">
        <w:rPr>
          <w:rFonts w:ascii="Times New Roman" w:eastAsia="Times New Roman" w:hAnsi="Times New Roman" w:cs="Times New Roman"/>
        </w:rPr>
        <w:t>such as identifying hotspots, mapping species occurrence, or quantifying spatial niche breadth</w:t>
      </w:r>
      <w:r w:rsidR="00B337A5">
        <w:rPr>
          <w:rFonts w:ascii="Times New Roman" w:eastAsia="Times New Roman" w:hAnsi="Times New Roman" w:cs="Times New Roman"/>
        </w:rPr>
        <w:t xml:space="preserve"> </w:t>
      </w:r>
      <w:r w:rsidR="00ED3904">
        <w:rPr>
          <w:rFonts w:ascii="Times New Roman" w:eastAsia="Times New Roman" w:hAnsi="Times New Roman" w:cs="Times New Roman"/>
        </w:rPr>
        <w:t>-</w:t>
      </w:r>
      <w:r w:rsidR="00B337A5">
        <w:rPr>
          <w:rFonts w:ascii="Times New Roman" w:eastAsia="Times New Roman" w:hAnsi="Times New Roman" w:cs="Times New Roman"/>
        </w:rPr>
        <w:t xml:space="preserve"> </w:t>
      </w:r>
      <w:r w:rsidR="000D1A88">
        <w:rPr>
          <w:rFonts w:ascii="Times New Roman" w:eastAsia="Times New Roman" w:hAnsi="Times New Roman" w:cs="Times New Roman"/>
        </w:rPr>
        <w:t xml:space="preserve">the accuracy of these predictions </w:t>
      </w:r>
      <w:r w:rsidR="00656E61">
        <w:rPr>
          <w:rFonts w:ascii="Times New Roman" w:eastAsia="Times New Roman" w:hAnsi="Times New Roman" w:cs="Times New Roman"/>
        </w:rPr>
        <w:t>is</w:t>
      </w:r>
      <w:r w:rsidR="00B337A5" w:rsidRPr="000F42A5">
        <w:rPr>
          <w:rFonts w:ascii="Times New Roman" w:eastAsia="Times New Roman" w:hAnsi="Times New Roman" w:cs="Times New Roman"/>
        </w:rPr>
        <w:t xml:space="preserve"> much more sensitive to both sampling effort and the underlying spatial autocorrelation of the species</w:t>
      </w:r>
      <w:r w:rsidR="009F782B">
        <w:rPr>
          <w:rFonts w:ascii="Times New Roman" w:eastAsia="Times New Roman" w:hAnsi="Times New Roman" w:cs="Times New Roman"/>
        </w:rPr>
        <w:t xml:space="preserve"> (Figure 4</w:t>
      </w:r>
      <w:r w:rsidR="003D11B0">
        <w:rPr>
          <w:rFonts w:ascii="Times New Roman" w:eastAsia="Times New Roman" w:hAnsi="Times New Roman" w:cs="Times New Roman"/>
        </w:rPr>
        <w:t>A</w:t>
      </w:r>
      <w:r w:rsidR="009F782B">
        <w:rPr>
          <w:rFonts w:ascii="Times New Roman" w:eastAsia="Times New Roman" w:hAnsi="Times New Roman" w:cs="Times New Roman"/>
        </w:rPr>
        <w:t>).</w:t>
      </w:r>
      <w:r w:rsidR="00F776C3">
        <w:rPr>
          <w:rFonts w:ascii="Times New Roman" w:eastAsia="Times New Roman" w:hAnsi="Times New Roman" w:cs="Times New Roman"/>
        </w:rPr>
        <w:t xml:space="preserve"> </w:t>
      </w:r>
      <w:r>
        <w:rPr>
          <w:rFonts w:ascii="Times New Roman" w:eastAsia="Times New Roman" w:hAnsi="Times New Roman" w:cs="Times New Roman"/>
        </w:rPr>
        <w:t>Prediction is the more demanding of the two because it requires both accurate covariance parameters (Eq. 1–2) and observed points close enough to the location being predicted (Eq. 3).</w:t>
      </w:r>
      <w:r w:rsidR="002E6AE6">
        <w:rPr>
          <w:rFonts w:ascii="Times New Roman" w:eastAsia="Times New Roman" w:hAnsi="Times New Roman" w:cs="Times New Roman"/>
        </w:rPr>
        <w:t xml:space="preserve"> </w:t>
      </w:r>
    </w:p>
    <w:p w14:paraId="37656697" w14:textId="77777777" w:rsidR="00286ADA" w:rsidRDefault="00286ADA" w:rsidP="001643E6">
      <w:pPr>
        <w:spacing w:after="0" w:line="480" w:lineRule="auto"/>
        <w:jc w:val="both"/>
        <w:rPr>
          <w:rFonts w:ascii="Times New Roman" w:eastAsia="Times New Roman" w:hAnsi="Times New Roman" w:cs="Times New Roman"/>
        </w:rPr>
      </w:pPr>
    </w:p>
    <w:bookmarkEnd w:id="23"/>
    <w:p w14:paraId="0697FEC0" w14:textId="633DD506" w:rsidR="002E285D" w:rsidRDefault="002E285D" w:rsidP="001643E6">
      <w:pPr>
        <w:spacing w:after="0" w:line="480" w:lineRule="auto"/>
        <w:jc w:val="both"/>
        <w:rPr>
          <w:rFonts w:ascii="Times New Roman" w:eastAsia="Times New Roman" w:hAnsi="Times New Roman" w:cs="Times New Roman"/>
        </w:rPr>
      </w:pPr>
      <w:r w:rsidRPr="00870EEE">
        <w:rPr>
          <w:rFonts w:ascii="Times New Roman" w:eastAsia="Times New Roman" w:hAnsi="Times New Roman" w:cs="Times New Roman"/>
        </w:rPr>
        <w:lastRenderedPageBreak/>
        <w:t xml:space="preserve">This distinction also clarifies how sampling design </w:t>
      </w:r>
      <w:r w:rsidRPr="00F335A6">
        <w:rPr>
          <w:rFonts w:ascii="Times New Roman" w:eastAsia="Times New Roman" w:hAnsi="Times New Roman" w:cs="Times New Roman"/>
        </w:rPr>
        <w:t xml:space="preserve">shapes </w:t>
      </w:r>
      <w:r w:rsidRPr="00870EEE">
        <w:rPr>
          <w:rFonts w:ascii="Times New Roman" w:eastAsia="Times New Roman" w:hAnsi="Times New Roman" w:cs="Times New Roman"/>
        </w:rPr>
        <w:t xml:space="preserve">inference. </w:t>
      </w:r>
      <w:r>
        <w:rPr>
          <w:rFonts w:ascii="Times New Roman" w:eastAsia="Times New Roman" w:hAnsi="Times New Roman" w:cs="Times New Roman"/>
        </w:rPr>
        <w:t>E</w:t>
      </w:r>
      <w:r w:rsidRPr="00870EEE">
        <w:rPr>
          <w:rFonts w:ascii="Times New Roman" w:eastAsia="Times New Roman" w:hAnsi="Times New Roman" w:cs="Times New Roman"/>
        </w:rPr>
        <w:t>stimation</w:t>
      </w:r>
      <w:r>
        <w:rPr>
          <w:rFonts w:ascii="Times New Roman" w:eastAsia="Times New Roman" w:hAnsi="Times New Roman" w:cs="Times New Roman"/>
        </w:rPr>
        <w:t xml:space="preserve"> of the mean</w:t>
      </w:r>
      <w:r w:rsidRPr="00870EEE">
        <w:rPr>
          <w:rFonts w:ascii="Times New Roman" w:eastAsia="Times New Roman" w:hAnsi="Times New Roman" w:cs="Times New Roman"/>
        </w:rPr>
        <w:t xml:space="preserve"> benefits primarily from coverage (sampling across the full domain) and secondarily from balance (avoiding over-sampling a limited region)</w:t>
      </w:r>
      <w:r w:rsidR="009F6320">
        <w:rPr>
          <w:rFonts w:ascii="Times New Roman" w:eastAsia="Times New Roman" w:hAnsi="Times New Roman" w:cs="Times New Roman"/>
        </w:rPr>
        <w:t xml:space="preserve"> </w:t>
      </w:r>
      <w:r w:rsidR="001365D9">
        <w:rPr>
          <w:rFonts w:ascii="Times New Roman" w:eastAsia="Times New Roman" w:hAnsi="Times New Roman" w:cs="Times New Roman"/>
        </w:rPr>
        <w:fldChar w:fldCharType="begin"/>
      </w:r>
      <w:r w:rsidR="001365D9">
        <w:rPr>
          <w:rFonts w:ascii="Times New Roman" w:eastAsia="Times New Roman" w:hAnsi="Times New Roman" w:cs="Times New Roman"/>
        </w:rPr>
        <w:instrText xml:space="preserve"> ADDIN ZOTERO_ITEM CSL_CITATION {"citationID":"9rvAbngx","properties":{"unsorted":false,"formattedCitation":"(Rocha et al., 2021)","plainCitation":"(Rocha et al., 2021)","noteIndex":0},"citationItems":[{"id":4719,"uris":["http://zotero.org/users/9456007/items/T2B7Y9BQ"],"itemData":{"id":4719,"type":"article-journal","citation-key":"rocha2021","container-title":"IEEE Transactions on Geoscience and Remote Sensing","DOI":"10.1109/TGRS.2020.2989216","ISSN":"0196-2892, 1558-0644","issue":"1","journalAbbreviation":"IEEE Trans. Geosci. Remote Sensing","license":"https://ieeexplore.ieee.org/Xplorehelp/downloads/license-information/IEEE.html","page":"663-674","source":"DOI.org (Crossref)","title":"Role of Sampling Design When Predicting Spatially Dependent Ecological Data With Remote Sensing","volume":"59","author":[{"family":"Rocha","given":"Alby D."},{"family":"Groen","given":"Thomas A."},{"family":"Skidmore","given":"Andrew K."},{"family":"Willemen","given":"Louise"}],"issued":{"date-parts":[["2021",1]]}}}],"schema":"https://github.com/citation-style-language/schema/raw/master/csl-citation.json"} </w:instrText>
      </w:r>
      <w:r w:rsidR="001365D9">
        <w:rPr>
          <w:rFonts w:ascii="Times New Roman" w:eastAsia="Times New Roman" w:hAnsi="Times New Roman" w:cs="Times New Roman"/>
        </w:rPr>
        <w:fldChar w:fldCharType="separate"/>
      </w:r>
      <w:r w:rsidR="001365D9">
        <w:rPr>
          <w:rFonts w:ascii="Times New Roman" w:eastAsia="Times New Roman" w:hAnsi="Times New Roman" w:cs="Times New Roman"/>
          <w:noProof/>
        </w:rPr>
        <w:t>(Rocha et al., 2021)</w:t>
      </w:r>
      <w:r w:rsidR="001365D9">
        <w:rPr>
          <w:rFonts w:ascii="Times New Roman" w:eastAsia="Times New Roman" w:hAnsi="Times New Roman" w:cs="Times New Roman"/>
        </w:rPr>
        <w:fldChar w:fldCharType="end"/>
      </w:r>
      <w:r w:rsidRPr="00870EEE">
        <w:rPr>
          <w:rFonts w:ascii="Times New Roman" w:eastAsia="Times New Roman" w:hAnsi="Times New Roman" w:cs="Times New Roman"/>
        </w:rPr>
        <w:t xml:space="preserve">. </w:t>
      </w:r>
      <w:r w:rsidRPr="00F335A6">
        <w:rPr>
          <w:rFonts w:ascii="Times New Roman" w:eastAsia="Times New Roman" w:hAnsi="Times New Roman" w:cs="Times New Roman"/>
        </w:rPr>
        <w:t>By contrast, estimation of the length-scale parameter requires not only broad coverage but also a wide distribution of pairwise distances, including closely spaced stations that resolve rapid decorrelation and widely spaced stations that constrain the long-distance tail of the covariance function</w:t>
      </w:r>
      <w:r w:rsidR="002D6BB3">
        <w:rPr>
          <w:rFonts w:ascii="Times New Roman" w:eastAsia="Times New Roman" w:hAnsi="Times New Roman" w:cs="Times New Roman"/>
        </w:rPr>
        <w:t xml:space="preserve"> </w:t>
      </w:r>
      <w:r w:rsidR="001365D9">
        <w:rPr>
          <w:rFonts w:ascii="Times New Roman" w:eastAsia="Times New Roman" w:hAnsi="Times New Roman" w:cs="Times New Roman"/>
        </w:rPr>
        <w:fldChar w:fldCharType="begin"/>
      </w:r>
      <w:r w:rsidR="001365D9">
        <w:rPr>
          <w:rFonts w:ascii="Times New Roman" w:eastAsia="Times New Roman" w:hAnsi="Times New Roman" w:cs="Times New Roman"/>
        </w:rPr>
        <w:instrText xml:space="preserve"> ADDIN ZOTERO_ITEM CSL_CITATION {"citationID":"6ljGJsWD","properties":{"unsorted":false,"formattedCitation":"(Kaufman &amp; Shaby, 2013)","plainCitation":"(Kaufman &amp; Shaby, 2013)","noteIndex":0},"citationItems":[{"id":4829,"uris":["http://zotero.org/users/9456007/items/HFVB75H5"],"itemData":{"id":4829,"type":"article-journal","citation-key":"kaufman2013","container-title":"Biometrika","DOI":"10.1093/biomet/ass079","ISSN":"0006-3444, 1464-3510","issue":"2","journalAbbreviation":"Biometrika","language":"en","page":"473-484","source":"DOI.org (Crossref)","title":"The role of the range parameter for estimation and prediction in geostatistics","volume":"100","author":[{"family":"Kaufman","given":"C. G."},{"family":"Shaby","given":"B. A."}],"issued":{"date-parts":[["2013",6,1]]}}}],"schema":"https://github.com/citation-style-language/schema/raw/master/csl-citation.json"} </w:instrText>
      </w:r>
      <w:r w:rsidR="001365D9">
        <w:rPr>
          <w:rFonts w:ascii="Times New Roman" w:eastAsia="Times New Roman" w:hAnsi="Times New Roman" w:cs="Times New Roman"/>
        </w:rPr>
        <w:fldChar w:fldCharType="separate"/>
      </w:r>
      <w:r w:rsidR="001365D9">
        <w:rPr>
          <w:rFonts w:ascii="Times New Roman" w:eastAsia="Times New Roman" w:hAnsi="Times New Roman" w:cs="Times New Roman"/>
          <w:noProof/>
        </w:rPr>
        <w:t>(Kaufman &amp; Shaby, 2013)</w:t>
      </w:r>
      <w:r w:rsidR="001365D9">
        <w:rPr>
          <w:rFonts w:ascii="Times New Roman" w:eastAsia="Times New Roman" w:hAnsi="Times New Roman" w:cs="Times New Roman"/>
        </w:rPr>
        <w:fldChar w:fldCharType="end"/>
      </w:r>
      <w:r w:rsidRPr="00F335A6">
        <w:rPr>
          <w:rFonts w:ascii="Times New Roman" w:eastAsia="Times New Roman" w:hAnsi="Times New Roman" w:cs="Times New Roman"/>
        </w:rPr>
        <w:t>.</w:t>
      </w:r>
      <w:r>
        <w:rPr>
          <w:rFonts w:ascii="Times New Roman" w:eastAsia="Times New Roman" w:hAnsi="Times New Roman" w:cs="Times New Roman"/>
        </w:rPr>
        <w:t xml:space="preserve"> </w:t>
      </w:r>
    </w:p>
    <w:p w14:paraId="3FB49D0F" w14:textId="77777777" w:rsidR="00DF52B6" w:rsidRDefault="00DF52B6" w:rsidP="001643E6">
      <w:pPr>
        <w:spacing w:after="0" w:line="480" w:lineRule="auto"/>
        <w:jc w:val="both"/>
        <w:rPr>
          <w:rFonts w:ascii="Times New Roman" w:eastAsia="Times New Roman" w:hAnsi="Times New Roman" w:cs="Times New Roman"/>
        </w:rPr>
      </w:pPr>
    </w:p>
    <w:p w14:paraId="34C4184A" w14:textId="67BC5924" w:rsidR="00CE2CA0" w:rsidRDefault="00CE2CA0" w:rsidP="001643E6">
      <w:pPr>
        <w:spacing w:after="0" w:line="480" w:lineRule="auto"/>
        <w:jc w:val="both"/>
        <w:rPr>
          <w:rFonts w:ascii="Times New Roman" w:eastAsia="Times New Roman" w:hAnsi="Times New Roman" w:cs="Times New Roman"/>
        </w:rPr>
      </w:pPr>
      <w:r w:rsidRPr="00CE2CA0">
        <w:rPr>
          <w:rFonts w:ascii="Times New Roman" w:eastAsia="Times New Roman" w:hAnsi="Times New Roman" w:cs="Times New Roman"/>
        </w:rPr>
        <w:t xml:space="preserve">Taken together, these results suggest that the framework translates into a small set of design considerations that can be resolved before a cruise is planned. The starting point is a clear statement of the inferential objective and the precision it demands, since this determines whether effort should prioritize spatial coverage or the resolution of fine-scale autocorrelation. This is complemented by a prior estimate of the target taxon's spatial autocorrelation, drawn from published geostatistical fits, a pilot survey, or the depth-related pattern reported here, which allows Eq. 6 to be used to characterize the relationship between sampling density (E) and expected accuracy. From this relationship, a sampling density can be identified beyond which additional effort yields diminishing returns relative to the precision required. Because the length-scale parameter cannot be recovered from a uniformly thinned grid, the resulting design should also be assessed for its inclusion of both widely and closely spaced station pairs. In multispecies </w:t>
      </w:r>
      <w:proofErr w:type="spellStart"/>
      <w:r w:rsidRPr="00CE2CA0">
        <w:rPr>
          <w:rFonts w:ascii="Times New Roman" w:eastAsia="Times New Roman" w:hAnsi="Times New Roman" w:cs="Times New Roman"/>
        </w:rPr>
        <w:t>programmes</w:t>
      </w:r>
      <w:proofErr w:type="spellEnd"/>
      <w:r w:rsidRPr="00CE2CA0">
        <w:rPr>
          <w:rFonts w:ascii="Times New Roman" w:eastAsia="Times New Roman" w:hAnsi="Times New Roman" w:cs="Times New Roman"/>
        </w:rPr>
        <w:t xml:space="preserve">, these considerations are most appropriately governed by the patchiest </w:t>
      </w:r>
      <w:proofErr w:type="spellStart"/>
      <w:r w:rsidRPr="00CE2CA0">
        <w:rPr>
          <w:rFonts w:ascii="Times New Roman" w:eastAsia="Times New Roman" w:hAnsi="Times New Roman" w:cs="Times New Roman"/>
        </w:rPr>
        <w:t>taxon</w:t>
      </w:r>
      <w:proofErr w:type="spellEnd"/>
      <w:r w:rsidRPr="00CE2CA0">
        <w:rPr>
          <w:rFonts w:ascii="Times New Roman" w:eastAsia="Times New Roman" w:hAnsi="Times New Roman" w:cs="Times New Roman"/>
        </w:rPr>
        <w:t xml:space="preserve"> the survey is intended to resolve.</w:t>
      </w:r>
    </w:p>
    <w:p w14:paraId="78F5CE79" w14:textId="7327C70B" w:rsidR="00820F4B" w:rsidRDefault="00000000" w:rsidP="00CE2CA0">
      <w:pPr>
        <w:pStyle w:val="p3"/>
        <w:spacing w:line="480" w:lineRule="auto"/>
        <w:jc w:val="both"/>
      </w:pPr>
      <w:r>
        <w:t>Applied to existing programs this yields a concrete conclusion. The West Coast eDNA grid analy</w:t>
      </w:r>
      <w:r w:rsidR="00CE2CA0">
        <w:t>z</w:t>
      </w:r>
      <w:r>
        <w:t>ed here (3.6 samples per 10,000 km</w:t>
      </w:r>
      <w:r>
        <w:rPr>
          <w:vertAlign w:val="superscript"/>
        </w:rPr>
        <w:t>2</w:t>
      </w:r>
      <w:r>
        <w:t xml:space="preserve"> per depth layer) and the </w:t>
      </w:r>
      <w:proofErr w:type="spellStart"/>
      <w:r>
        <w:t>CalCOFI</w:t>
      </w:r>
      <w:proofErr w:type="spellEnd"/>
      <w:r>
        <w:t xml:space="preserve"> 75-station grid (3.4 samples per 10,000 km</w:t>
      </w:r>
      <w:r>
        <w:rPr>
          <w:vertAlign w:val="superscript"/>
        </w:rPr>
        <w:t>2</w:t>
      </w:r>
      <w:r>
        <w:t xml:space="preserve">) already sit close to the effort at which returns diminish for smoothly </w:t>
      </w:r>
      <w:r>
        <w:lastRenderedPageBreak/>
        <w:t>distributed species and for estimating depth-specific means, so programs whose primary product is an abundance index need not expand. Programs intended to map patchily distributed taxa, including several forage and mesopelagic species examined here, are under-sampled by a factor of roughly two to three, and that shortfall is spatial rather than analytical</w:t>
      </w:r>
      <w:r w:rsidR="00820F4B">
        <w:t xml:space="preserve"> (</w:t>
      </w:r>
      <w:r>
        <w:t>it cannot be recovered by sequencing more deeply or filtering more water at stations already occupied</w:t>
      </w:r>
      <w:r w:rsidR="00820F4B">
        <w:t>)</w:t>
      </w:r>
      <w:r>
        <w:t xml:space="preserve">. </w:t>
      </w:r>
    </w:p>
    <w:p w14:paraId="06972A25" w14:textId="5B210193" w:rsidR="002E285D" w:rsidRDefault="00CE2CA0" w:rsidP="00CE2CA0">
      <w:pPr>
        <w:pStyle w:val="p3"/>
        <w:spacing w:line="480" w:lineRule="auto"/>
        <w:jc w:val="both"/>
      </w:pPr>
      <w:r>
        <w:t xml:space="preserve">For managers and survey designers the practical message is that effort should be set by the patchiness of the taxa a </w:t>
      </w:r>
      <w:proofErr w:type="spellStart"/>
      <w:r>
        <w:t>programme</w:t>
      </w:r>
      <w:proofErr w:type="spellEnd"/>
      <w:r>
        <w:t xml:space="preserve"> is required to resolve and by the decision the data must support, and that both can be specified in advance rather than discovered afterwards.</w:t>
      </w:r>
      <w:r>
        <w:t xml:space="preserve"> </w:t>
      </w:r>
      <w:r w:rsidR="002E285D" w:rsidRPr="007954AF">
        <w:t xml:space="preserve">Nevertheless, across the scenarios considered here and the spatial domain used in this study, sampling </w:t>
      </w:r>
      <w:r w:rsidR="00A95BE5">
        <w:t>effort</w:t>
      </w:r>
      <w:r w:rsidR="002E285D" w:rsidRPr="007954AF">
        <w:t xml:space="preserve"> of </w:t>
      </w:r>
      <w:r w:rsidR="00A95BE5">
        <w:t>4 - 9</w:t>
      </w:r>
      <w:r w:rsidR="002E285D" w:rsidRPr="007954AF">
        <w:t xml:space="preserve"> samples per 10,000 km</w:t>
      </w:r>
      <w:r w:rsidR="002E285D" w:rsidRPr="002E285D">
        <w:rPr>
          <w:vertAlign w:val="superscript"/>
        </w:rPr>
        <w:t>2</w:t>
      </w:r>
      <w:r w:rsidR="002E285D" w:rsidRPr="007954AF">
        <w:t xml:space="preserve"> per depth layer marked the point at which diminishing returns became apparent</w:t>
      </w:r>
      <w:r w:rsidR="00A95BE5">
        <w:t xml:space="preserve"> given species-specific spatial autocorrelation</w:t>
      </w:r>
      <w:r w:rsidR="000145BE">
        <w:t>.</w:t>
      </w:r>
      <w:r w:rsidR="000145BE">
        <w:t xml:space="preserve"> </w:t>
      </w:r>
    </w:p>
    <w:p w14:paraId="07D5FE49" w14:textId="77777777" w:rsidR="002877EE" w:rsidRDefault="003A4273" w:rsidP="001643E6">
      <w:pPr>
        <w:spacing w:after="0" w:line="480" w:lineRule="auto"/>
      </w:pPr>
      <w:r>
        <w:br w:type="page"/>
      </w:r>
      <w:bookmarkStart w:id="24" w:name="fig:mu_rho_N"/>
      <w:bookmarkStart w:id="25" w:name="appendix"/>
      <w:bookmarkEnd w:id="17"/>
      <w:bookmarkEnd w:id="18"/>
    </w:p>
    <w:p w14:paraId="281E1AB5" w14:textId="77777777" w:rsidR="002877EE" w:rsidRPr="00140D71" w:rsidRDefault="002877EE" w:rsidP="001643E6">
      <w:pPr>
        <w:pStyle w:val="Heading3"/>
        <w:spacing w:before="0" w:after="0" w:line="480" w:lineRule="auto"/>
        <w:jc w:val="both"/>
        <w:rPr>
          <w:i w:val="0"/>
          <w:iCs/>
        </w:rPr>
      </w:pPr>
      <w:r w:rsidRPr="00140D71">
        <w:rPr>
          <w:i w:val="0"/>
          <w:iCs/>
        </w:rPr>
        <w:lastRenderedPageBreak/>
        <w:t>Acknowledgment</w:t>
      </w:r>
    </w:p>
    <w:p w14:paraId="25F361EE" w14:textId="747DBF75" w:rsidR="002877EE" w:rsidRDefault="00DC19F2" w:rsidP="00DC19F2">
      <w:pPr>
        <w:pStyle w:val="FirstParagraph"/>
        <w:spacing w:line="480" w:lineRule="auto"/>
      </w:pPr>
      <w:r>
        <w:t>This material is based upon research supported by the Office of Naval Research under Award Number (N00014-22-1-2719) and support from the National Marine Fisheries Service’s Genomic Strategic Initiative.</w:t>
      </w:r>
      <w:r w:rsidR="002877EE" w:rsidRPr="00221566">
        <w:t xml:space="preserve"> Any use of trade, firm, or product names is for descriptive purposes only and does not imply endorsement by the U.S. Government.</w:t>
      </w:r>
      <w:r>
        <w:t xml:space="preserve"> </w:t>
      </w:r>
    </w:p>
    <w:p w14:paraId="51FCB494" w14:textId="77777777" w:rsidR="004475F1" w:rsidRDefault="004475F1">
      <w:pPr>
        <w:pStyle w:val="BodyText"/>
        <w:spacing w:line="480" w:lineRule="auto"/>
        <w:rPr>
          <w:b/>
        </w:rPr>
      </w:pPr>
    </w:p>
    <w:p w14:paraId="50E20B05" w14:textId="3F8E526B" w:rsidR="000D6CB9" w:rsidRDefault="00000000">
      <w:pPr>
        <w:pStyle w:val="BodyText"/>
        <w:spacing w:line="480" w:lineRule="auto"/>
      </w:pPr>
      <w:r>
        <w:rPr>
          <w:b/>
        </w:rPr>
        <w:t>Conflict of interest statement</w:t>
      </w:r>
    </w:p>
    <w:p w14:paraId="0ACDADA4" w14:textId="77777777" w:rsidR="000D6CB9" w:rsidRDefault="00000000">
      <w:pPr>
        <w:pStyle w:val="BodyText"/>
        <w:spacing w:line="480" w:lineRule="auto"/>
      </w:pPr>
      <w:r>
        <w:t>The authors declare no conflict of interest.</w:t>
      </w:r>
    </w:p>
    <w:p w14:paraId="0F7ED72A" w14:textId="77777777" w:rsidR="00140D71" w:rsidRDefault="00140D71" w:rsidP="001643E6">
      <w:pPr>
        <w:pStyle w:val="BodyText"/>
        <w:spacing w:line="480" w:lineRule="auto"/>
      </w:pPr>
    </w:p>
    <w:p w14:paraId="205FE2B5" w14:textId="32D613E9" w:rsidR="00140D71" w:rsidRPr="00633845" w:rsidRDefault="00140D71" w:rsidP="001643E6">
      <w:pPr>
        <w:pStyle w:val="BodyText"/>
        <w:spacing w:line="480" w:lineRule="auto"/>
        <w:rPr>
          <w:b/>
          <w:bCs w:val="0"/>
        </w:rPr>
      </w:pPr>
      <w:r w:rsidRPr="00633845">
        <w:rPr>
          <w:b/>
          <w:bCs w:val="0"/>
        </w:rPr>
        <w:t xml:space="preserve">Data </w:t>
      </w:r>
      <w:r w:rsidR="00633845" w:rsidRPr="00633845">
        <w:rPr>
          <w:b/>
          <w:bCs w:val="0"/>
        </w:rPr>
        <w:t>availability</w:t>
      </w:r>
      <w:r w:rsidRPr="00633845">
        <w:rPr>
          <w:b/>
          <w:bCs w:val="0"/>
        </w:rPr>
        <w:t xml:space="preserve"> </w:t>
      </w:r>
      <w:r w:rsidR="00633845" w:rsidRPr="00633845">
        <w:rPr>
          <w:b/>
          <w:bCs w:val="0"/>
        </w:rPr>
        <w:t>statement</w:t>
      </w:r>
    </w:p>
    <w:p w14:paraId="487FAA49" w14:textId="6AA5C0C7" w:rsidR="002877EE" w:rsidRPr="00957362" w:rsidRDefault="00140D71" w:rsidP="001643E6">
      <w:pPr>
        <w:spacing w:after="0" w:line="480" w:lineRule="auto"/>
        <w:jc w:val="both"/>
        <w:rPr>
          <w:rFonts w:ascii="Times New Roman" w:hAnsi="Times New Roman"/>
          <w:bCs/>
        </w:rPr>
      </w:pPr>
      <w:r w:rsidRPr="00957362">
        <w:rPr>
          <w:rFonts w:ascii="Times New Roman" w:hAnsi="Times New Roman"/>
          <w:bCs/>
        </w:rPr>
        <w:t xml:space="preserve">The data has been submitted to </w:t>
      </w:r>
      <w:proofErr w:type="spellStart"/>
      <w:r w:rsidRPr="00957362">
        <w:rPr>
          <w:rFonts w:ascii="Times New Roman" w:hAnsi="Times New Roman"/>
          <w:bCs/>
        </w:rPr>
        <w:t>Zenodo</w:t>
      </w:r>
      <w:proofErr w:type="spellEnd"/>
      <w:r w:rsidRPr="00957362">
        <w:rPr>
          <w:rFonts w:ascii="Times New Roman" w:hAnsi="Times New Roman"/>
          <w:bCs/>
        </w:rPr>
        <w:t xml:space="preserve"> repository with </w:t>
      </w:r>
      <w:r w:rsidR="007C4C73" w:rsidRPr="00957362">
        <w:rPr>
          <w:rFonts w:ascii="Times New Roman" w:hAnsi="Times New Roman"/>
          <w:bCs/>
        </w:rPr>
        <w:t xml:space="preserve">DOI number 10.5281/zenodo.21141367 and the code can be found on GitHub repository </w:t>
      </w:r>
      <w:hyperlink r:id="rId17" w:history="1">
        <w:r w:rsidR="00633845" w:rsidRPr="00957362">
          <w:rPr>
            <w:rFonts w:ascii="Times New Roman" w:hAnsi="Times New Roman"/>
            <w:bCs/>
          </w:rPr>
          <w:t>https://github.com/gledguri/Smart-eDNA-sampling</w:t>
        </w:r>
      </w:hyperlink>
      <w:r w:rsidR="00633845" w:rsidRPr="00957362">
        <w:rPr>
          <w:rFonts w:ascii="Times New Roman" w:hAnsi="Times New Roman"/>
          <w:bCs/>
        </w:rPr>
        <w:t xml:space="preserve">. </w:t>
      </w:r>
    </w:p>
    <w:p w14:paraId="0D0DE0A4" w14:textId="77777777" w:rsidR="002877EE" w:rsidRDefault="002877EE" w:rsidP="001643E6">
      <w:pPr>
        <w:spacing w:after="0" w:line="480" w:lineRule="auto"/>
      </w:pPr>
    </w:p>
    <w:p w14:paraId="5516F1D7" w14:textId="01A75FAB" w:rsidR="0032076E" w:rsidRPr="002877EE" w:rsidRDefault="00625110" w:rsidP="001643E6">
      <w:pPr>
        <w:spacing w:after="0" w:line="480" w:lineRule="auto"/>
        <w:rPr>
          <w:rFonts w:ascii="Times New Roman" w:eastAsiaTheme="majorEastAsia" w:hAnsi="Times New Roman" w:cstheme="majorBidi"/>
          <w:b/>
          <w:sz w:val="28"/>
          <w:szCs w:val="40"/>
        </w:rPr>
      </w:pPr>
      <w:r w:rsidRPr="00625110">
        <w:rPr>
          <w:b/>
          <w:bCs/>
          <w:iCs/>
          <w:szCs w:val="28"/>
        </w:rPr>
        <w:t>Refere</w:t>
      </w:r>
      <w:r w:rsidR="00C10BA1">
        <w:rPr>
          <w:b/>
          <w:bCs/>
          <w:iCs/>
          <w:szCs w:val="28"/>
        </w:rPr>
        <w:t>n</w:t>
      </w:r>
      <w:r w:rsidRPr="00625110">
        <w:rPr>
          <w:b/>
          <w:bCs/>
          <w:iCs/>
          <w:szCs w:val="28"/>
        </w:rPr>
        <w:t>ces</w:t>
      </w:r>
    </w:p>
    <w:bookmarkEnd w:id="24"/>
    <w:bookmarkEnd w:id="25"/>
    <w:p w14:paraId="1BCB8C1F" w14:textId="77777777" w:rsidR="001C4DF2" w:rsidRPr="001C4DF2" w:rsidRDefault="00F553D1" w:rsidP="00623D17">
      <w:pPr>
        <w:pStyle w:val="Bibliography"/>
        <w:spacing w:line="240" w:lineRule="auto"/>
      </w:pPr>
      <w:r w:rsidRPr="007A589B">
        <w:fldChar w:fldCharType="begin"/>
      </w:r>
      <w:r w:rsidR="001C4DF2">
        <w:instrText xml:space="preserve"> ADDIN ZOTERO_BIBL {"uncited":[],"omitted":[],"custom":[]} CSL_BIBLIOGRAPHY </w:instrText>
      </w:r>
      <w:r w:rsidRPr="007A589B">
        <w:fldChar w:fldCharType="separate"/>
      </w:r>
      <w:proofErr w:type="spellStart"/>
      <w:r w:rsidR="001C4DF2" w:rsidRPr="001C4DF2">
        <w:t>Baetscher</w:t>
      </w:r>
      <w:proofErr w:type="spellEnd"/>
      <w:r w:rsidR="001C4DF2" w:rsidRPr="001C4DF2">
        <w:t xml:space="preserve">, D. S., Omori, K. L., Goethel, D. R., Shelton, A. O., Berger, A. M., Ledger, K. J., Nichols, K. M., &amp; Larson, W. A. (2025). The Pragmatic Sceptic: A Practical Approach for Integrating Environmental </w:t>
      </w:r>
      <w:r w:rsidR="001C4DF2" w:rsidRPr="001C4DF2">
        <w:rPr>
          <w:smallCaps/>
        </w:rPr>
        <w:t>DNA</w:t>
      </w:r>
      <w:r w:rsidR="001C4DF2" w:rsidRPr="001C4DF2">
        <w:t xml:space="preserve"> Into Marine Stock Assessment and Fisheries Management. </w:t>
      </w:r>
      <w:r w:rsidR="001C4DF2" w:rsidRPr="001C4DF2">
        <w:rPr>
          <w:i/>
          <w:iCs/>
        </w:rPr>
        <w:t>Fish and Fisheries</w:t>
      </w:r>
      <w:r w:rsidR="001C4DF2" w:rsidRPr="001C4DF2">
        <w:t>, faf.70001. https://doi.org/10.1111/faf.70001</w:t>
      </w:r>
    </w:p>
    <w:p w14:paraId="6ACB4D63" w14:textId="77777777" w:rsidR="001C4DF2" w:rsidRPr="001C4DF2" w:rsidRDefault="001C4DF2" w:rsidP="00623D17">
      <w:pPr>
        <w:pStyle w:val="Bibliography"/>
        <w:spacing w:line="240" w:lineRule="auto"/>
      </w:pPr>
      <w:r w:rsidRPr="001C4DF2">
        <w:t xml:space="preserve">Bessey, C., Jarman, S. N., Berry, O., Olsen, Y. S., Bunce, M., Simpson, T., Power, M., McLaughlin, J., Edgar, G. J., &amp; </w:t>
      </w:r>
      <w:proofErr w:type="spellStart"/>
      <w:r w:rsidRPr="001C4DF2">
        <w:t>Keesing</w:t>
      </w:r>
      <w:proofErr w:type="spellEnd"/>
      <w:r w:rsidRPr="001C4DF2">
        <w:t xml:space="preserve">, J. (2020). Maximizing fish detection with eDNA metabarcoding. </w:t>
      </w:r>
      <w:r w:rsidRPr="001C4DF2">
        <w:rPr>
          <w:i/>
          <w:iCs/>
        </w:rPr>
        <w:t>Environmental DNA</w:t>
      </w:r>
      <w:r w:rsidRPr="001C4DF2">
        <w:t xml:space="preserve">, </w:t>
      </w:r>
      <w:r w:rsidRPr="001C4DF2">
        <w:rPr>
          <w:i/>
          <w:iCs/>
        </w:rPr>
        <w:t>2</w:t>
      </w:r>
      <w:r w:rsidRPr="001C4DF2">
        <w:t>(4), 493–504. https://doi.org/10.1002/edn3.74</w:t>
      </w:r>
    </w:p>
    <w:p w14:paraId="1464BDC9" w14:textId="77777777" w:rsidR="001C4DF2" w:rsidRPr="001C4DF2" w:rsidRDefault="001C4DF2" w:rsidP="00623D17">
      <w:pPr>
        <w:pStyle w:val="Bibliography"/>
        <w:spacing w:line="240" w:lineRule="auto"/>
      </w:pPr>
      <w:r w:rsidRPr="001C4DF2">
        <w:t xml:space="preserve">Brandão‐Dias, P. F. P., Hallack, D. M. C., Snyder, E. D., Tank, J. L., Bolster, D., Volponi, S., Shogren, A. J., Lamberti, G. A., Bibby, K., &amp; Egan, S. P. (2023). Particle size influences decay rates of environmental DNA in aquatic systems. </w:t>
      </w:r>
      <w:r w:rsidRPr="001C4DF2">
        <w:rPr>
          <w:i/>
          <w:iCs/>
        </w:rPr>
        <w:t>Molecular Ecology Resources</w:t>
      </w:r>
      <w:r w:rsidRPr="001C4DF2">
        <w:t xml:space="preserve">, </w:t>
      </w:r>
      <w:r w:rsidRPr="001C4DF2">
        <w:rPr>
          <w:i/>
          <w:iCs/>
        </w:rPr>
        <w:t>23</w:t>
      </w:r>
      <w:r w:rsidRPr="001C4DF2">
        <w:t>(4), 756–770. https://doi.org/10.1111/1755-0998.13751</w:t>
      </w:r>
    </w:p>
    <w:p w14:paraId="77D1945E" w14:textId="77777777" w:rsidR="001C4DF2" w:rsidRPr="001C4DF2" w:rsidRDefault="001C4DF2" w:rsidP="00623D17">
      <w:pPr>
        <w:pStyle w:val="Bibliography"/>
        <w:spacing w:line="240" w:lineRule="auto"/>
      </w:pPr>
      <w:r w:rsidRPr="001C4DF2">
        <w:t xml:space="preserve">Callahan, B. J., McMurdie, P. J., Rosen, M. J., Han, A. W., Johnson, A. J. A., &amp; Holmes, S. P. (2016). DADA2: High-resolution sample inference from Illumina amplicon data. </w:t>
      </w:r>
      <w:r w:rsidRPr="001C4DF2">
        <w:rPr>
          <w:i/>
          <w:iCs/>
        </w:rPr>
        <w:t>Nature Methods</w:t>
      </w:r>
      <w:r w:rsidRPr="001C4DF2">
        <w:t xml:space="preserve">, </w:t>
      </w:r>
      <w:r w:rsidRPr="001C4DF2">
        <w:rPr>
          <w:i/>
          <w:iCs/>
        </w:rPr>
        <w:t>13</w:t>
      </w:r>
      <w:r w:rsidRPr="001C4DF2">
        <w:t>(7), 581–583. https://doi.org/10.1038/nmeth.3869</w:t>
      </w:r>
    </w:p>
    <w:p w14:paraId="3E35DDDF" w14:textId="77777777" w:rsidR="001C4DF2" w:rsidRPr="001C4DF2" w:rsidRDefault="001C4DF2" w:rsidP="00623D17">
      <w:pPr>
        <w:pStyle w:val="Bibliography"/>
        <w:spacing w:line="240" w:lineRule="auto"/>
      </w:pPr>
      <w:r w:rsidRPr="001C4DF2">
        <w:lastRenderedPageBreak/>
        <w:t xml:space="preserve">Dormann, C. F., McPherson, J. M., Araújo, M. B., </w:t>
      </w:r>
      <w:proofErr w:type="spellStart"/>
      <w:r w:rsidRPr="001C4DF2">
        <w:t>Bivand</w:t>
      </w:r>
      <w:proofErr w:type="spellEnd"/>
      <w:r w:rsidRPr="001C4DF2">
        <w:t xml:space="preserve">, R., Bolliger, J., Carl, G., Davies, R. G., Hirzel, A., </w:t>
      </w:r>
      <w:proofErr w:type="spellStart"/>
      <w:r w:rsidRPr="001C4DF2">
        <w:t>Jetz</w:t>
      </w:r>
      <w:proofErr w:type="spellEnd"/>
      <w:r w:rsidRPr="001C4DF2">
        <w:t xml:space="preserve">, W., Daniel Kissling, W., Kühn, I., </w:t>
      </w:r>
      <w:proofErr w:type="spellStart"/>
      <w:r w:rsidRPr="001C4DF2">
        <w:t>Ohlemüller</w:t>
      </w:r>
      <w:proofErr w:type="spellEnd"/>
      <w:r w:rsidRPr="001C4DF2">
        <w:t xml:space="preserve">, R., Peres‐Neto, P. R., Reineking, B., Schröder, B., Schurr, F. M., &amp; Wilson, R. (2007). Methods to account for spatial autocorrelation in the analysis of species distributional data: A review. </w:t>
      </w:r>
      <w:proofErr w:type="spellStart"/>
      <w:r w:rsidRPr="001C4DF2">
        <w:rPr>
          <w:i/>
          <w:iCs/>
        </w:rPr>
        <w:t>Ecography</w:t>
      </w:r>
      <w:proofErr w:type="spellEnd"/>
      <w:r w:rsidRPr="001C4DF2">
        <w:t xml:space="preserve">, </w:t>
      </w:r>
      <w:r w:rsidRPr="001C4DF2">
        <w:rPr>
          <w:i/>
          <w:iCs/>
        </w:rPr>
        <w:t>30</w:t>
      </w:r>
      <w:r w:rsidRPr="001C4DF2">
        <w:t>(5), 609–628. https://doi.org/10.1111/j.2007.0906-7590.05171.x</w:t>
      </w:r>
    </w:p>
    <w:p w14:paraId="338D9A4A" w14:textId="77777777" w:rsidR="001C4DF2" w:rsidRPr="001C4DF2" w:rsidRDefault="001C4DF2" w:rsidP="00623D17">
      <w:pPr>
        <w:pStyle w:val="Bibliography"/>
        <w:spacing w:line="240" w:lineRule="auto"/>
      </w:pPr>
      <w:r w:rsidRPr="001C4DF2">
        <w:t xml:space="preserve">Fortin, M.-J., Drapeau, P., &amp; Legendre, P. (1989). Spatial autocorrelation and sampling design in plant ecology. </w:t>
      </w:r>
      <w:r w:rsidRPr="001C4DF2">
        <w:rPr>
          <w:i/>
          <w:iCs/>
        </w:rPr>
        <w:t>Vegetatio</w:t>
      </w:r>
      <w:r w:rsidRPr="001C4DF2">
        <w:t xml:space="preserve">, </w:t>
      </w:r>
      <w:r w:rsidRPr="001C4DF2">
        <w:rPr>
          <w:i/>
          <w:iCs/>
        </w:rPr>
        <w:t>83</w:t>
      </w:r>
      <w:r w:rsidRPr="001C4DF2">
        <w:t>(1–2), 209–222. https://doi.org/10.1007/BF00031693</w:t>
      </w:r>
    </w:p>
    <w:p w14:paraId="5A64E066" w14:textId="77777777" w:rsidR="001C4DF2" w:rsidRPr="001C4DF2" w:rsidRDefault="001C4DF2" w:rsidP="00623D17">
      <w:pPr>
        <w:pStyle w:val="Bibliography"/>
        <w:spacing w:line="240" w:lineRule="auto"/>
      </w:pPr>
      <w:r w:rsidRPr="001C4DF2">
        <w:t xml:space="preserve">Fukaya, K., Murakami, H., Yoon, S., Minami, K., Osada, Y., Yamamoto, S., Masuda, R., Kasai, A., Miyashita, K., Minamoto, T., &amp; </w:t>
      </w:r>
      <w:proofErr w:type="spellStart"/>
      <w:r w:rsidRPr="001C4DF2">
        <w:t>Kondoh</w:t>
      </w:r>
      <w:proofErr w:type="spellEnd"/>
      <w:r w:rsidRPr="001C4DF2">
        <w:t xml:space="preserve">, M. (2021). Estimating fish population abundance by integrating quantitative data on environmental DNA and hydrodynamic modelling. </w:t>
      </w:r>
      <w:r w:rsidRPr="001C4DF2">
        <w:rPr>
          <w:i/>
          <w:iCs/>
        </w:rPr>
        <w:t>Molecular Ecology</w:t>
      </w:r>
      <w:r w:rsidRPr="001C4DF2">
        <w:t xml:space="preserve">, </w:t>
      </w:r>
      <w:r w:rsidRPr="001C4DF2">
        <w:rPr>
          <w:i/>
          <w:iCs/>
        </w:rPr>
        <w:t>30</w:t>
      </w:r>
      <w:r w:rsidRPr="001C4DF2">
        <w:t>(13), 3057–3067. https://doi.org/10.1111/mec.15530</w:t>
      </w:r>
    </w:p>
    <w:p w14:paraId="6B0188E3" w14:textId="77777777" w:rsidR="001C4DF2" w:rsidRPr="001C4DF2" w:rsidRDefault="001C4DF2" w:rsidP="00623D17">
      <w:pPr>
        <w:pStyle w:val="Bibliography"/>
        <w:spacing w:line="240" w:lineRule="auto"/>
      </w:pPr>
      <w:r w:rsidRPr="001C4DF2">
        <w:t xml:space="preserve">García‐Machado, E., Normandeau, E., Côté, G., Caza‐Allard, I., Babin, C., &amp; Bernatchez, L. (2024). Evaluating Sampling Designs to Survey Fish Diversity in Lakes </w:t>
      </w:r>
      <w:proofErr w:type="gramStart"/>
      <w:r w:rsidRPr="001C4DF2">
        <w:t>From</w:t>
      </w:r>
      <w:proofErr w:type="gramEnd"/>
      <w:r w:rsidRPr="001C4DF2">
        <w:t xml:space="preserve"> Northern Temperate Zones. </w:t>
      </w:r>
      <w:r w:rsidRPr="001C4DF2">
        <w:rPr>
          <w:i/>
          <w:iCs/>
        </w:rPr>
        <w:t>Environmental DNA</w:t>
      </w:r>
      <w:r w:rsidRPr="001C4DF2">
        <w:t xml:space="preserve">, </w:t>
      </w:r>
      <w:r w:rsidRPr="001C4DF2">
        <w:rPr>
          <w:i/>
          <w:iCs/>
        </w:rPr>
        <w:t>6</w:t>
      </w:r>
      <w:r w:rsidRPr="001C4DF2">
        <w:t>(6), e70015. https://doi.org/10.1002/edn3.70015</w:t>
      </w:r>
    </w:p>
    <w:p w14:paraId="34ED5285" w14:textId="77777777" w:rsidR="001C4DF2" w:rsidRPr="001C4DF2" w:rsidRDefault="001C4DF2" w:rsidP="00623D17">
      <w:pPr>
        <w:pStyle w:val="Bibliography"/>
        <w:spacing w:line="240" w:lineRule="auto"/>
      </w:pPr>
      <w:r w:rsidRPr="001C4DF2">
        <w:t xml:space="preserve">Gloor, G. B., </w:t>
      </w:r>
      <w:proofErr w:type="spellStart"/>
      <w:r w:rsidRPr="001C4DF2">
        <w:t>Macklaim</w:t>
      </w:r>
      <w:proofErr w:type="spellEnd"/>
      <w:r w:rsidRPr="001C4DF2">
        <w:t xml:space="preserve">, J. M., </w:t>
      </w:r>
      <w:proofErr w:type="spellStart"/>
      <w:r w:rsidRPr="001C4DF2">
        <w:t>Pawlowsky</w:t>
      </w:r>
      <w:proofErr w:type="spellEnd"/>
      <w:r w:rsidRPr="001C4DF2">
        <w:t xml:space="preserve">-Glahn, V., &amp; </w:t>
      </w:r>
      <w:proofErr w:type="spellStart"/>
      <w:r w:rsidRPr="001C4DF2">
        <w:t>Egozcue</w:t>
      </w:r>
      <w:proofErr w:type="spellEnd"/>
      <w:r w:rsidRPr="001C4DF2">
        <w:t xml:space="preserve">, J. J. (2017). Microbiome Datasets Are Compositional: And This Is Not Optional. </w:t>
      </w:r>
      <w:r w:rsidRPr="001C4DF2">
        <w:rPr>
          <w:i/>
          <w:iCs/>
        </w:rPr>
        <w:t>Frontiers in Microbiology</w:t>
      </w:r>
      <w:r w:rsidRPr="001C4DF2">
        <w:t xml:space="preserve">, </w:t>
      </w:r>
      <w:r w:rsidRPr="001C4DF2">
        <w:rPr>
          <w:i/>
          <w:iCs/>
        </w:rPr>
        <w:t>8</w:t>
      </w:r>
      <w:r w:rsidRPr="001C4DF2">
        <w:t>, 2224. https://doi.org/10.3389/fmicb.2017.02224</w:t>
      </w:r>
    </w:p>
    <w:p w14:paraId="0F837AEE" w14:textId="77777777" w:rsidR="001C4DF2" w:rsidRPr="001C4DF2" w:rsidRDefault="001C4DF2" w:rsidP="00623D17">
      <w:pPr>
        <w:pStyle w:val="Bibliography"/>
        <w:spacing w:line="240" w:lineRule="auto"/>
      </w:pPr>
      <w:r w:rsidRPr="001C4DF2">
        <w:t xml:space="preserve">Gold, Z., Sprague, J., Kushner, D. J., Marin, E. Z., &amp; Barber, P. H. (2021). eDNA metabarcoding as a biomonitoring tool for marine protected areas. </w:t>
      </w:r>
      <w:proofErr w:type="spellStart"/>
      <w:r w:rsidRPr="001C4DF2">
        <w:rPr>
          <w:i/>
          <w:iCs/>
        </w:rPr>
        <w:t>PLoS</w:t>
      </w:r>
      <w:proofErr w:type="spellEnd"/>
      <w:r w:rsidRPr="001C4DF2">
        <w:rPr>
          <w:i/>
          <w:iCs/>
        </w:rPr>
        <w:t xml:space="preserve"> ONE</w:t>
      </w:r>
      <w:r w:rsidRPr="001C4DF2">
        <w:t xml:space="preserve">, </w:t>
      </w:r>
      <w:r w:rsidRPr="001C4DF2">
        <w:rPr>
          <w:i/>
          <w:iCs/>
        </w:rPr>
        <w:t>16</w:t>
      </w:r>
      <w:r w:rsidRPr="001C4DF2">
        <w:t>(2 February 2021), 1–19. https://doi.org/10.1371/journal.pone.0238557</w:t>
      </w:r>
    </w:p>
    <w:p w14:paraId="420FC24B" w14:textId="77777777" w:rsidR="001C4DF2" w:rsidRPr="001C4DF2" w:rsidRDefault="001C4DF2" w:rsidP="00623D17">
      <w:pPr>
        <w:pStyle w:val="Bibliography"/>
        <w:spacing w:line="240" w:lineRule="auto"/>
      </w:pPr>
      <w:r w:rsidRPr="001C4DF2">
        <w:t xml:space="preserve">Guri, G., Liu, O. R., Kelly, R. P., Shaffer, M. R., Parsons, K. M., Ramón-Laca, A., Nichols, K. M., Brandão-Dias, P. F. P., Wells, A., &amp; Shelton, A. O. (2025). </w:t>
      </w:r>
      <w:r w:rsidRPr="001C4DF2">
        <w:rPr>
          <w:i/>
          <w:iCs/>
        </w:rPr>
        <w:t>Quantitative, Multispecies Monitoring at a Continental Scale</w:t>
      </w:r>
      <w:r w:rsidRPr="001C4DF2">
        <w:t>. Ecology. https://doi.org/10.1101/2025.10.30.685180</w:t>
      </w:r>
    </w:p>
    <w:p w14:paraId="719D9C2C" w14:textId="77777777" w:rsidR="001C4DF2" w:rsidRPr="001C4DF2" w:rsidRDefault="001C4DF2" w:rsidP="00623D17">
      <w:pPr>
        <w:pStyle w:val="Bibliography"/>
        <w:spacing w:line="240" w:lineRule="auto"/>
      </w:pPr>
      <w:r w:rsidRPr="001C4DF2">
        <w:t xml:space="preserve">Guri, G., Shelton, A. O., Kelly, R. P., </w:t>
      </w:r>
      <w:proofErr w:type="spellStart"/>
      <w:r w:rsidRPr="001C4DF2">
        <w:t>Yoccoz</w:t>
      </w:r>
      <w:proofErr w:type="spellEnd"/>
      <w:r w:rsidRPr="001C4DF2">
        <w:t xml:space="preserve">, N., Johansen, T., Præbel, K., </w:t>
      </w:r>
      <w:proofErr w:type="spellStart"/>
      <w:r w:rsidRPr="001C4DF2">
        <w:t>Hanebrekke</w:t>
      </w:r>
      <w:proofErr w:type="spellEnd"/>
      <w:r w:rsidRPr="001C4DF2">
        <w:t xml:space="preserve">, T., Ray, J. L., Fall, J., &amp; Westgaard, J.-I. (2024). Predicting trawl catches using environmental DNA. </w:t>
      </w:r>
      <w:r w:rsidRPr="001C4DF2">
        <w:rPr>
          <w:i/>
          <w:iCs/>
        </w:rPr>
        <w:t>ICES Journal of Marine Science</w:t>
      </w:r>
      <w:r w:rsidRPr="001C4DF2">
        <w:t>, fsae097. https://doi.org/10.1093/icesjms/fsae097</w:t>
      </w:r>
    </w:p>
    <w:p w14:paraId="467D3786" w14:textId="77777777" w:rsidR="001C4DF2" w:rsidRPr="001C4DF2" w:rsidRDefault="001C4DF2" w:rsidP="00623D17">
      <w:pPr>
        <w:pStyle w:val="Bibliography"/>
        <w:spacing w:line="240" w:lineRule="auto"/>
      </w:pPr>
      <w:r w:rsidRPr="001C4DF2">
        <w:t xml:space="preserve">Guri, G., Westgaard, J., </w:t>
      </w:r>
      <w:proofErr w:type="spellStart"/>
      <w:r w:rsidRPr="001C4DF2">
        <w:t>Yoccoz</w:t>
      </w:r>
      <w:proofErr w:type="spellEnd"/>
      <w:r w:rsidRPr="001C4DF2">
        <w:t xml:space="preserve">, N., Wangensteen, O. S., Præbel, K., Ray, J. L., Kelly, R. P., Shelton, A. O., Hanebrekke, T., &amp; Johansen, T. (2023). Maximizing sampling efficiency to detect differences in fish community composition using environmental DNA metabarcoding in subarctic fjords. </w:t>
      </w:r>
      <w:r w:rsidRPr="001C4DF2">
        <w:rPr>
          <w:i/>
          <w:iCs/>
        </w:rPr>
        <w:t>Environmental DNA</w:t>
      </w:r>
      <w:r w:rsidRPr="001C4DF2">
        <w:t>, edn3.409. https://doi.org/10.1002/edn3.409</w:t>
      </w:r>
    </w:p>
    <w:p w14:paraId="4CC7ECF7" w14:textId="77777777" w:rsidR="001C4DF2" w:rsidRPr="001C4DF2" w:rsidRDefault="001C4DF2" w:rsidP="00623D17">
      <w:pPr>
        <w:pStyle w:val="Bibliography"/>
        <w:spacing w:line="240" w:lineRule="auto"/>
      </w:pPr>
      <w:r w:rsidRPr="001C4DF2">
        <w:t xml:space="preserve">Jo, T. S., Murakami, H., &amp; </w:t>
      </w:r>
      <w:proofErr w:type="spellStart"/>
      <w:r w:rsidRPr="001C4DF2">
        <w:t>Nakadai</w:t>
      </w:r>
      <w:proofErr w:type="spellEnd"/>
      <w:r w:rsidRPr="001C4DF2">
        <w:t xml:space="preserve">, R. (2025). Spatial dispersal of environmental DNA particles in lentic and marine ecosystems: An overview and synthesis. </w:t>
      </w:r>
      <w:r w:rsidRPr="001C4DF2">
        <w:rPr>
          <w:i/>
          <w:iCs/>
        </w:rPr>
        <w:t>Ecological Indicators</w:t>
      </w:r>
      <w:r w:rsidRPr="001C4DF2">
        <w:t xml:space="preserve">, </w:t>
      </w:r>
      <w:r w:rsidRPr="001C4DF2">
        <w:rPr>
          <w:i/>
          <w:iCs/>
        </w:rPr>
        <w:t>174</w:t>
      </w:r>
      <w:r w:rsidRPr="001C4DF2">
        <w:t>, 113469. https://doi.org/10.1016/j.ecolind.2025.113469</w:t>
      </w:r>
    </w:p>
    <w:p w14:paraId="2CDA9F0A" w14:textId="77777777" w:rsidR="001C4DF2" w:rsidRPr="001C4DF2" w:rsidRDefault="001C4DF2" w:rsidP="00623D17">
      <w:pPr>
        <w:pStyle w:val="Bibliography"/>
        <w:spacing w:line="240" w:lineRule="auto"/>
      </w:pPr>
      <w:r w:rsidRPr="001C4DF2">
        <w:t xml:space="preserve">Kaufman, C. G., &amp; </w:t>
      </w:r>
      <w:proofErr w:type="spellStart"/>
      <w:r w:rsidRPr="001C4DF2">
        <w:t>Shaby</w:t>
      </w:r>
      <w:proofErr w:type="spellEnd"/>
      <w:r w:rsidRPr="001C4DF2">
        <w:t xml:space="preserve">, B. A. (2013). The role of the range parameter for estimation and prediction in </w:t>
      </w:r>
      <w:proofErr w:type="spellStart"/>
      <w:r w:rsidRPr="001C4DF2">
        <w:t>geostatistics</w:t>
      </w:r>
      <w:proofErr w:type="spellEnd"/>
      <w:r w:rsidRPr="001C4DF2">
        <w:t xml:space="preserve">. </w:t>
      </w:r>
      <w:proofErr w:type="spellStart"/>
      <w:r w:rsidRPr="001C4DF2">
        <w:rPr>
          <w:i/>
          <w:iCs/>
        </w:rPr>
        <w:t>Biometrika</w:t>
      </w:r>
      <w:proofErr w:type="spellEnd"/>
      <w:r w:rsidRPr="001C4DF2">
        <w:t xml:space="preserve">, </w:t>
      </w:r>
      <w:r w:rsidRPr="001C4DF2">
        <w:rPr>
          <w:i/>
          <w:iCs/>
        </w:rPr>
        <w:t>100</w:t>
      </w:r>
      <w:r w:rsidRPr="001C4DF2">
        <w:t>(2), 473–484. https://doi.org/10.1093/biomet/ass079</w:t>
      </w:r>
    </w:p>
    <w:p w14:paraId="5A141E45" w14:textId="77777777" w:rsidR="001C4DF2" w:rsidRPr="001C4DF2" w:rsidRDefault="001C4DF2" w:rsidP="00623D17">
      <w:pPr>
        <w:pStyle w:val="Bibliography"/>
        <w:spacing w:line="240" w:lineRule="auto"/>
      </w:pPr>
      <w:r w:rsidRPr="001C4DF2">
        <w:t xml:space="preserve">Kelly, R. P., Shelton, A. O., &amp; Gallego, R. (2019). Understanding PCR Processes to Draw Meaningful Conclusions from Environmental DNA Studies. </w:t>
      </w:r>
      <w:r w:rsidRPr="001C4DF2">
        <w:rPr>
          <w:i/>
          <w:iCs/>
        </w:rPr>
        <w:t>Scientific Reports</w:t>
      </w:r>
      <w:r w:rsidRPr="001C4DF2">
        <w:t xml:space="preserve">, </w:t>
      </w:r>
      <w:r w:rsidRPr="001C4DF2">
        <w:rPr>
          <w:i/>
          <w:iCs/>
        </w:rPr>
        <w:t>9</w:t>
      </w:r>
      <w:r w:rsidRPr="001C4DF2">
        <w:t>(1), 1–14. https://doi.org/10.1038/s41598-019-48546-x</w:t>
      </w:r>
    </w:p>
    <w:p w14:paraId="50DA1C86" w14:textId="77777777" w:rsidR="001C4DF2" w:rsidRPr="001C4DF2" w:rsidRDefault="001C4DF2" w:rsidP="00623D17">
      <w:pPr>
        <w:pStyle w:val="Bibliography"/>
        <w:spacing w:line="240" w:lineRule="auto"/>
      </w:pPr>
      <w:proofErr w:type="spellStart"/>
      <w:r w:rsidRPr="001C4DF2">
        <w:t>Kirtane</w:t>
      </w:r>
      <w:proofErr w:type="spellEnd"/>
      <w:r w:rsidRPr="001C4DF2">
        <w:t xml:space="preserve">, A., Wieczorek, D., Noji, T., Baskin, L., Ober, C., </w:t>
      </w:r>
      <w:proofErr w:type="spellStart"/>
      <w:r w:rsidRPr="001C4DF2">
        <w:t>Plosica</w:t>
      </w:r>
      <w:proofErr w:type="spellEnd"/>
      <w:r w:rsidRPr="001C4DF2">
        <w:t xml:space="preserve">, R., Chenoweth, A., Lynch, K., &amp; </w:t>
      </w:r>
      <w:proofErr w:type="spellStart"/>
      <w:r w:rsidRPr="001C4DF2">
        <w:t>Sassoubre</w:t>
      </w:r>
      <w:proofErr w:type="spellEnd"/>
      <w:r w:rsidRPr="001C4DF2">
        <w:t xml:space="preserve">, L. (2021). Quantification of Environmental DNA (eDNA) shedding and decay rates for three commercially harvested fish species and comparison between eDNA detection and trawl catches. </w:t>
      </w:r>
      <w:r w:rsidRPr="001C4DF2">
        <w:rPr>
          <w:i/>
          <w:iCs/>
        </w:rPr>
        <w:t>Environmental DNA</w:t>
      </w:r>
      <w:r w:rsidRPr="001C4DF2">
        <w:t xml:space="preserve">, </w:t>
      </w:r>
      <w:r w:rsidRPr="001C4DF2">
        <w:rPr>
          <w:i/>
          <w:iCs/>
        </w:rPr>
        <w:t>3</w:t>
      </w:r>
      <w:r w:rsidRPr="001C4DF2">
        <w:t>(6), 1142–1155. https://doi.org/10.1002/edn3.236</w:t>
      </w:r>
    </w:p>
    <w:p w14:paraId="5A852A41" w14:textId="77777777" w:rsidR="001C4DF2" w:rsidRPr="001C4DF2" w:rsidRDefault="001C4DF2" w:rsidP="00623D17">
      <w:pPr>
        <w:pStyle w:val="Bibliography"/>
        <w:spacing w:line="240" w:lineRule="auto"/>
      </w:pPr>
      <w:r w:rsidRPr="001C4DF2">
        <w:lastRenderedPageBreak/>
        <w:t xml:space="preserve">Laroche, F. (2024). Efficient sampling designs to assess biodiversity spatial autocorrelation: Should we go fractal? </w:t>
      </w:r>
      <w:r w:rsidRPr="001C4DF2">
        <w:rPr>
          <w:i/>
          <w:iCs/>
        </w:rPr>
        <w:t>Peer Community Journal</w:t>
      </w:r>
      <w:r w:rsidRPr="001C4DF2">
        <w:t xml:space="preserve">, </w:t>
      </w:r>
      <w:r w:rsidRPr="001C4DF2">
        <w:rPr>
          <w:i/>
          <w:iCs/>
        </w:rPr>
        <w:t>4</w:t>
      </w:r>
      <w:r w:rsidRPr="001C4DF2">
        <w:t>, e76. https://doi.org/10.24072/pcjournal.454</w:t>
      </w:r>
    </w:p>
    <w:p w14:paraId="41B2D6D4" w14:textId="77777777" w:rsidR="001C4DF2" w:rsidRPr="001C4DF2" w:rsidRDefault="001C4DF2" w:rsidP="00623D17">
      <w:pPr>
        <w:pStyle w:val="Bibliography"/>
        <w:spacing w:line="240" w:lineRule="auto"/>
      </w:pPr>
      <w:r w:rsidRPr="001C4DF2">
        <w:t xml:space="preserve">Lewy, P., &amp; Kristensen, K. (2009). Modelling the distribution of fish accounting for spatial correlation and overdispersion. </w:t>
      </w:r>
      <w:r w:rsidRPr="001C4DF2">
        <w:rPr>
          <w:i/>
          <w:iCs/>
        </w:rPr>
        <w:t>Canadian Journal of Fisheries and Aquatic Sciences</w:t>
      </w:r>
      <w:r w:rsidRPr="001C4DF2">
        <w:t xml:space="preserve">, </w:t>
      </w:r>
      <w:r w:rsidRPr="001C4DF2">
        <w:rPr>
          <w:i/>
          <w:iCs/>
        </w:rPr>
        <w:t>66</w:t>
      </w:r>
      <w:r w:rsidRPr="001C4DF2">
        <w:t>(10), 1809–1820. https://doi.org/10.1139/F09-114</w:t>
      </w:r>
    </w:p>
    <w:p w14:paraId="04E86D58" w14:textId="77777777" w:rsidR="001C4DF2" w:rsidRPr="001C4DF2" w:rsidRDefault="001C4DF2" w:rsidP="00623D17">
      <w:pPr>
        <w:pStyle w:val="Bibliography"/>
        <w:spacing w:line="240" w:lineRule="auto"/>
      </w:pPr>
      <w:r w:rsidRPr="001C4DF2">
        <w:t>Liu, O. R., Shelton, A. O., Ramón-Laca, A., Nichols, K. M., Ward, E. J., Phillips, E. M., Zamon, J. E., Wells, A., &amp; Kelly, R. P. (2026). Mapping the marine distribution of eulachon (</w:t>
      </w:r>
      <w:proofErr w:type="spellStart"/>
      <w:r w:rsidRPr="001C4DF2">
        <w:t>Thaleichthys</w:t>
      </w:r>
      <w:proofErr w:type="spellEnd"/>
      <w:r w:rsidRPr="001C4DF2">
        <w:t xml:space="preserve"> pacificus) in the Northeast Pacific using environmental DNA. </w:t>
      </w:r>
      <w:r w:rsidRPr="001C4DF2">
        <w:rPr>
          <w:i/>
          <w:iCs/>
        </w:rPr>
        <w:t>Communications Biology</w:t>
      </w:r>
      <w:r w:rsidRPr="001C4DF2">
        <w:t xml:space="preserve">, </w:t>
      </w:r>
      <w:r w:rsidRPr="001C4DF2">
        <w:rPr>
          <w:i/>
          <w:iCs/>
        </w:rPr>
        <w:t>9</w:t>
      </w:r>
      <w:r w:rsidRPr="001C4DF2">
        <w:t>(1), 465. https://doi.org/10.1038/s42003-026-09733-5</w:t>
      </w:r>
    </w:p>
    <w:p w14:paraId="63B772C7" w14:textId="77777777" w:rsidR="001C4DF2" w:rsidRPr="001C4DF2" w:rsidRDefault="001C4DF2" w:rsidP="00623D17">
      <w:pPr>
        <w:pStyle w:val="Bibliography"/>
        <w:spacing w:line="240" w:lineRule="auto"/>
      </w:pPr>
      <w:r w:rsidRPr="001C4DF2">
        <w:t xml:space="preserve">Miya, M., Sato, Y., Fukunaga, T., Sado, T., Poulsen, J. Y., Sato, K., Minamoto, T., Yamamoto, S., Yamanaka, H., Araki, H., </w:t>
      </w:r>
      <w:proofErr w:type="spellStart"/>
      <w:r w:rsidRPr="001C4DF2">
        <w:t>Kondoh</w:t>
      </w:r>
      <w:proofErr w:type="spellEnd"/>
      <w:r w:rsidRPr="001C4DF2">
        <w:t xml:space="preserve">, M., &amp; Iwasaki, W. (2015). </w:t>
      </w:r>
      <w:proofErr w:type="spellStart"/>
      <w:r w:rsidRPr="001C4DF2">
        <w:t>MiFish</w:t>
      </w:r>
      <w:proofErr w:type="spellEnd"/>
      <w:r w:rsidRPr="001C4DF2">
        <w:t xml:space="preserve">, a set of universal PCR primers for metabarcoding environmental DNA from fishes: Detection of more than 230 subtropical marine species. </w:t>
      </w:r>
      <w:r w:rsidRPr="001C4DF2">
        <w:rPr>
          <w:i/>
          <w:iCs/>
        </w:rPr>
        <w:t>Royal Society Open Science</w:t>
      </w:r>
      <w:r w:rsidRPr="001C4DF2">
        <w:t>. https://doi.org/10.1098/rsos.150088</w:t>
      </w:r>
    </w:p>
    <w:p w14:paraId="0FBB23C6" w14:textId="77777777" w:rsidR="001C4DF2" w:rsidRPr="001C4DF2" w:rsidRDefault="001C4DF2" w:rsidP="00623D17">
      <w:pPr>
        <w:pStyle w:val="Bibliography"/>
        <w:spacing w:line="240" w:lineRule="auto"/>
      </w:pPr>
      <w:r w:rsidRPr="001C4DF2">
        <w:t xml:space="preserve">Paciorek, C. J. (2010). The Importance of Scale for Spatial-Confounding Bias and Precision of Spatial Regression Estimators. </w:t>
      </w:r>
      <w:r w:rsidRPr="001C4DF2">
        <w:rPr>
          <w:i/>
          <w:iCs/>
        </w:rPr>
        <w:t>Statistical Science</w:t>
      </w:r>
      <w:r w:rsidRPr="001C4DF2">
        <w:t xml:space="preserve">, </w:t>
      </w:r>
      <w:r w:rsidRPr="001C4DF2">
        <w:rPr>
          <w:i/>
          <w:iCs/>
        </w:rPr>
        <w:t>25</w:t>
      </w:r>
      <w:r w:rsidRPr="001C4DF2">
        <w:t>(1). https://doi.org/10.1214/10-STS326</w:t>
      </w:r>
    </w:p>
    <w:p w14:paraId="1958107D" w14:textId="77777777" w:rsidR="001C4DF2" w:rsidRPr="001C4DF2" w:rsidRDefault="001C4DF2" w:rsidP="00623D17">
      <w:pPr>
        <w:pStyle w:val="Bibliography"/>
        <w:spacing w:line="240" w:lineRule="auto"/>
      </w:pPr>
      <w:r w:rsidRPr="001C4DF2">
        <w:t xml:space="preserve">Paciorek, C. J., &amp; </w:t>
      </w:r>
      <w:proofErr w:type="spellStart"/>
      <w:r w:rsidRPr="001C4DF2">
        <w:t>Schervish</w:t>
      </w:r>
      <w:proofErr w:type="spellEnd"/>
      <w:r w:rsidRPr="001C4DF2">
        <w:t xml:space="preserve">, M. J. (2006). Spatial modelling using a new class of nonstationary covariance functions. </w:t>
      </w:r>
      <w:proofErr w:type="spellStart"/>
      <w:r w:rsidRPr="001C4DF2">
        <w:rPr>
          <w:i/>
          <w:iCs/>
        </w:rPr>
        <w:t>Environmetrics</w:t>
      </w:r>
      <w:proofErr w:type="spellEnd"/>
      <w:r w:rsidRPr="001C4DF2">
        <w:t xml:space="preserve">, </w:t>
      </w:r>
      <w:r w:rsidRPr="001C4DF2">
        <w:rPr>
          <w:i/>
          <w:iCs/>
        </w:rPr>
        <w:t>17</w:t>
      </w:r>
      <w:r w:rsidRPr="001C4DF2">
        <w:t>(5), 483–506. https://doi.org/10.1002/env.785</w:t>
      </w:r>
    </w:p>
    <w:p w14:paraId="627D4FAB" w14:textId="77777777" w:rsidR="001C4DF2" w:rsidRPr="001C4DF2" w:rsidRDefault="001C4DF2" w:rsidP="00623D17">
      <w:pPr>
        <w:pStyle w:val="Bibliography"/>
        <w:spacing w:line="240" w:lineRule="auto"/>
      </w:pPr>
      <w:r w:rsidRPr="001C4DF2">
        <w:t xml:space="preserve">Perkins, N. R., Prall, M., Chakraborty, A., White, J. W., Baskett, M. L., &amp; Morgan, S. G. (2021). Quantifying the statistical power of monitoring programs for marine protected areas. </w:t>
      </w:r>
      <w:r w:rsidRPr="001C4DF2">
        <w:rPr>
          <w:i/>
          <w:iCs/>
        </w:rPr>
        <w:t>Ecological Applications</w:t>
      </w:r>
      <w:r w:rsidRPr="001C4DF2">
        <w:t xml:space="preserve">, </w:t>
      </w:r>
      <w:r w:rsidRPr="001C4DF2">
        <w:rPr>
          <w:i/>
          <w:iCs/>
        </w:rPr>
        <w:t>31</w:t>
      </w:r>
      <w:r w:rsidRPr="001C4DF2">
        <w:t>(1), e2215. https://doi.org/10.1002/eap.2215</w:t>
      </w:r>
    </w:p>
    <w:p w14:paraId="7C663F2A" w14:textId="77777777" w:rsidR="001C4DF2" w:rsidRPr="001C4DF2" w:rsidRDefault="001C4DF2" w:rsidP="00623D17">
      <w:pPr>
        <w:pStyle w:val="Bibliography"/>
        <w:spacing w:line="240" w:lineRule="auto"/>
      </w:pPr>
      <w:r w:rsidRPr="001C4DF2">
        <w:t xml:space="preserve">Perret, J., Charpentier, A., Pradel, R., Papuga, G., &amp; Besnard, A. (2022). Spatially balanced sampling methods are always more precise than random ones for estimating the size of aggregated populations. </w:t>
      </w:r>
      <w:r w:rsidRPr="001C4DF2">
        <w:rPr>
          <w:i/>
          <w:iCs/>
        </w:rPr>
        <w:t>Methods in Ecology and Evolution</w:t>
      </w:r>
      <w:r w:rsidRPr="001C4DF2">
        <w:t xml:space="preserve">, </w:t>
      </w:r>
      <w:r w:rsidRPr="001C4DF2">
        <w:rPr>
          <w:i/>
          <w:iCs/>
        </w:rPr>
        <w:t>13</w:t>
      </w:r>
      <w:r w:rsidRPr="001C4DF2">
        <w:t>(12), 2743–2756. https://doi.org/10.1111/2041-210X.14015</w:t>
      </w:r>
    </w:p>
    <w:p w14:paraId="79922B9C" w14:textId="77777777" w:rsidR="001C4DF2" w:rsidRPr="001C4DF2" w:rsidRDefault="001C4DF2" w:rsidP="00623D17">
      <w:pPr>
        <w:pStyle w:val="Bibliography"/>
        <w:spacing w:line="240" w:lineRule="auto"/>
      </w:pPr>
      <w:r w:rsidRPr="001C4DF2">
        <w:t xml:space="preserve">Radinger, J., Britton, J. R., Carlson, S. M., </w:t>
      </w:r>
      <w:proofErr w:type="spellStart"/>
      <w:r w:rsidRPr="001C4DF2">
        <w:t>Magurran</w:t>
      </w:r>
      <w:proofErr w:type="spellEnd"/>
      <w:r w:rsidRPr="001C4DF2">
        <w:t xml:space="preserve">, A. E., Alcaraz‐Hernández, J. D., Almodóvar, A., </w:t>
      </w:r>
      <w:proofErr w:type="spellStart"/>
      <w:r w:rsidRPr="001C4DF2">
        <w:t>Benejam</w:t>
      </w:r>
      <w:proofErr w:type="spellEnd"/>
      <w:r w:rsidRPr="001C4DF2">
        <w:t xml:space="preserve">, L., Fernández‐Delgado, C., Nicola, G. G., Oliva‐Paterna, F. J., Torralva, M., &amp; García‐Berthou, E. (2019). Effective monitoring of freshwater fish. </w:t>
      </w:r>
      <w:r w:rsidRPr="001C4DF2">
        <w:rPr>
          <w:i/>
          <w:iCs/>
        </w:rPr>
        <w:t>Fish and Fisheries</w:t>
      </w:r>
      <w:r w:rsidRPr="001C4DF2">
        <w:t xml:space="preserve">, </w:t>
      </w:r>
      <w:r w:rsidRPr="001C4DF2">
        <w:rPr>
          <w:i/>
          <w:iCs/>
        </w:rPr>
        <w:t>20</w:t>
      </w:r>
      <w:r w:rsidRPr="001C4DF2">
        <w:t>(4), 729–747. https://doi.org/10.1111/faf.12373</w:t>
      </w:r>
    </w:p>
    <w:p w14:paraId="779FFB86" w14:textId="77777777" w:rsidR="001C4DF2" w:rsidRPr="001C4DF2" w:rsidRDefault="001C4DF2" w:rsidP="00623D17">
      <w:pPr>
        <w:pStyle w:val="Bibliography"/>
        <w:spacing w:line="240" w:lineRule="auto"/>
      </w:pPr>
      <w:r w:rsidRPr="001C4DF2">
        <w:t xml:space="preserve">Ramón-Laca, A., Wells, A., &amp; Park, L. (2021). A workflow for the relative quantification of multiple fish species from oceanic water samples using environmental DNA (eDNA) to support large-scale fishery surveys. </w:t>
      </w:r>
      <w:r w:rsidRPr="001C4DF2">
        <w:rPr>
          <w:i/>
          <w:iCs/>
        </w:rPr>
        <w:t>PLOS ONE</w:t>
      </w:r>
      <w:r w:rsidRPr="001C4DF2">
        <w:t xml:space="preserve">, </w:t>
      </w:r>
      <w:r w:rsidRPr="001C4DF2">
        <w:rPr>
          <w:i/>
          <w:iCs/>
        </w:rPr>
        <w:t>16</w:t>
      </w:r>
      <w:r w:rsidRPr="001C4DF2">
        <w:t>(9), e0257773. https://doi.org/10.1371/journal.pone.0257773</w:t>
      </w:r>
    </w:p>
    <w:p w14:paraId="4F814D9F" w14:textId="77777777" w:rsidR="001C4DF2" w:rsidRPr="001C4DF2" w:rsidRDefault="001C4DF2" w:rsidP="00623D17">
      <w:pPr>
        <w:pStyle w:val="Bibliography"/>
        <w:spacing w:line="240" w:lineRule="auto"/>
      </w:pPr>
      <w:r w:rsidRPr="001C4DF2">
        <w:t xml:space="preserve">Redfern, J., Ferguson, M., Becker, E., </w:t>
      </w:r>
      <w:proofErr w:type="spellStart"/>
      <w:r w:rsidRPr="001C4DF2">
        <w:t>Hyrenbach</w:t>
      </w:r>
      <w:proofErr w:type="spellEnd"/>
      <w:r w:rsidRPr="001C4DF2">
        <w:t xml:space="preserve">, K., Good, C., Barlow, J., Kaschner, K., Baumgartner, M., Forney, K., Ballance, L., </w:t>
      </w:r>
      <w:proofErr w:type="spellStart"/>
      <w:r w:rsidRPr="001C4DF2">
        <w:t>Fauchald</w:t>
      </w:r>
      <w:proofErr w:type="spellEnd"/>
      <w:r w:rsidRPr="001C4DF2">
        <w:t xml:space="preserve">, P., Halpin, P., Hamazaki, T., Pershing, A., Qian, S., Read, A., Reilly, S., Torres, L., &amp; Werne, F. (2006). Techniques for </w:t>
      </w:r>
      <w:proofErr w:type="spellStart"/>
      <w:r w:rsidRPr="001C4DF2">
        <w:t>cetaceanhabitat</w:t>
      </w:r>
      <w:proofErr w:type="spellEnd"/>
      <w:r w:rsidRPr="001C4DF2">
        <w:t xml:space="preserve"> modeling. </w:t>
      </w:r>
      <w:r w:rsidRPr="001C4DF2">
        <w:rPr>
          <w:i/>
          <w:iCs/>
        </w:rPr>
        <w:t>Marine Ecology Progress Series</w:t>
      </w:r>
      <w:r w:rsidRPr="001C4DF2">
        <w:t xml:space="preserve">, </w:t>
      </w:r>
      <w:r w:rsidRPr="001C4DF2">
        <w:rPr>
          <w:i/>
          <w:iCs/>
        </w:rPr>
        <w:t>310</w:t>
      </w:r>
      <w:r w:rsidRPr="001C4DF2">
        <w:t>, 271–295. https://doi.org/10.3354/meps310271</w:t>
      </w:r>
    </w:p>
    <w:p w14:paraId="2E8BB60A" w14:textId="77777777" w:rsidR="001C4DF2" w:rsidRPr="001C4DF2" w:rsidRDefault="001C4DF2" w:rsidP="00623D17">
      <w:pPr>
        <w:pStyle w:val="Bibliography"/>
        <w:spacing w:line="240" w:lineRule="auto"/>
      </w:pPr>
      <w:r w:rsidRPr="001C4DF2">
        <w:t xml:space="preserve">Rocha, A. D., Groen, T. A., Skidmore, A. K., &amp; </w:t>
      </w:r>
      <w:proofErr w:type="spellStart"/>
      <w:r w:rsidRPr="001C4DF2">
        <w:t>Willemen</w:t>
      </w:r>
      <w:proofErr w:type="spellEnd"/>
      <w:r w:rsidRPr="001C4DF2">
        <w:t xml:space="preserve">, L. (2021). Role of Sampling Design When Predicting Spatially Dependent Ecological Data </w:t>
      </w:r>
      <w:proofErr w:type="gramStart"/>
      <w:r w:rsidRPr="001C4DF2">
        <w:t>With</w:t>
      </w:r>
      <w:proofErr w:type="gramEnd"/>
      <w:r w:rsidRPr="001C4DF2">
        <w:t xml:space="preserve"> Remote Sensing. </w:t>
      </w:r>
      <w:r w:rsidRPr="001C4DF2">
        <w:rPr>
          <w:i/>
          <w:iCs/>
        </w:rPr>
        <w:t>IEEE Transactions on Geoscience and Remote Sensing</w:t>
      </w:r>
      <w:r w:rsidRPr="001C4DF2">
        <w:t xml:space="preserve">, </w:t>
      </w:r>
      <w:r w:rsidRPr="001C4DF2">
        <w:rPr>
          <w:i/>
          <w:iCs/>
        </w:rPr>
        <w:t>59</w:t>
      </w:r>
      <w:r w:rsidRPr="001C4DF2">
        <w:t>(1), 663–674. https://doi.org/10.1109/TGRS.2020.2989216</w:t>
      </w:r>
    </w:p>
    <w:p w14:paraId="40D358FA" w14:textId="77777777" w:rsidR="001C4DF2" w:rsidRPr="001C4DF2" w:rsidRDefault="001C4DF2" w:rsidP="00623D17">
      <w:pPr>
        <w:pStyle w:val="Bibliography"/>
        <w:spacing w:line="240" w:lineRule="auto"/>
      </w:pPr>
      <w:r w:rsidRPr="001C4DF2">
        <w:t xml:space="preserve">Salter, I., Brandner, M., Djurhuus, A., Præbel, K., &amp; Wangensteen, O. (2026). Comparison of Environmental </w:t>
      </w:r>
      <w:r w:rsidRPr="001C4DF2">
        <w:rPr>
          <w:smallCaps/>
        </w:rPr>
        <w:t>DNA</w:t>
      </w:r>
      <w:r w:rsidRPr="001C4DF2">
        <w:t xml:space="preserve"> Metabarcoding and Trawl Data Highlights Gear Selectivity of Marine Demersal Fish Surveys on the Faroese Plateau. </w:t>
      </w:r>
      <w:r w:rsidRPr="001C4DF2">
        <w:rPr>
          <w:i/>
          <w:iCs/>
        </w:rPr>
        <w:t>Environmental DNA</w:t>
      </w:r>
      <w:r w:rsidRPr="001C4DF2">
        <w:t xml:space="preserve">, </w:t>
      </w:r>
      <w:r w:rsidRPr="001C4DF2">
        <w:rPr>
          <w:i/>
          <w:iCs/>
        </w:rPr>
        <w:t>8</w:t>
      </w:r>
      <w:r w:rsidRPr="001C4DF2">
        <w:t>(2), e70253. https://doi.org/10.1002/edn3.70253</w:t>
      </w:r>
    </w:p>
    <w:p w14:paraId="07094345" w14:textId="77777777" w:rsidR="001C4DF2" w:rsidRPr="001C4DF2" w:rsidRDefault="001C4DF2" w:rsidP="00623D17">
      <w:pPr>
        <w:pStyle w:val="Bibliography"/>
        <w:spacing w:line="240" w:lineRule="auto"/>
      </w:pPr>
      <w:r w:rsidRPr="001C4DF2">
        <w:lastRenderedPageBreak/>
        <w:t xml:space="preserve">Schweiger, A. H., Irl, S. D. H., Steinbauer, M. J., Dengler, J., &amp; </w:t>
      </w:r>
      <w:proofErr w:type="spellStart"/>
      <w:r w:rsidRPr="001C4DF2">
        <w:t>Beierkuhnlein</w:t>
      </w:r>
      <w:proofErr w:type="spellEnd"/>
      <w:r w:rsidRPr="001C4DF2">
        <w:t xml:space="preserve">, C. (2016). Optimizing sampling approaches along ecological gradients. </w:t>
      </w:r>
      <w:r w:rsidRPr="001C4DF2">
        <w:rPr>
          <w:i/>
          <w:iCs/>
        </w:rPr>
        <w:t>Methods in Ecology and Evolution</w:t>
      </w:r>
      <w:r w:rsidRPr="001C4DF2">
        <w:t xml:space="preserve">, </w:t>
      </w:r>
      <w:r w:rsidRPr="001C4DF2">
        <w:rPr>
          <w:i/>
          <w:iCs/>
        </w:rPr>
        <w:t>7</w:t>
      </w:r>
      <w:r w:rsidRPr="001C4DF2">
        <w:t>(4), 463–471. https://doi.org/10.1111/2041-210X.12495</w:t>
      </w:r>
    </w:p>
    <w:p w14:paraId="09665662" w14:textId="77777777" w:rsidR="001C4DF2" w:rsidRPr="001C4DF2" w:rsidRDefault="001C4DF2" w:rsidP="00623D17">
      <w:pPr>
        <w:pStyle w:val="Bibliography"/>
        <w:spacing w:line="240" w:lineRule="auto"/>
      </w:pPr>
      <w:r w:rsidRPr="001C4DF2">
        <w:t xml:space="preserve">Shaffer, M. R., Andruszkiewicz Allan, E., Van Cise, A. M., Parsons, K. M., Shelton, A. O., &amp; Kelly, R. P. (2025). Observation Bias in Metabarcoding. </w:t>
      </w:r>
      <w:r w:rsidRPr="001C4DF2">
        <w:rPr>
          <w:i/>
          <w:iCs/>
        </w:rPr>
        <w:t>Molecular Ecology Resources</w:t>
      </w:r>
      <w:r w:rsidRPr="001C4DF2">
        <w:t xml:space="preserve">, </w:t>
      </w:r>
      <w:r w:rsidRPr="001C4DF2">
        <w:rPr>
          <w:i/>
          <w:iCs/>
        </w:rPr>
        <w:t>25</w:t>
      </w:r>
      <w:r w:rsidRPr="001C4DF2">
        <w:t>(7), e14119. https://doi.org/10.1111/1755-0998.14119</w:t>
      </w:r>
    </w:p>
    <w:p w14:paraId="360C9670" w14:textId="77777777" w:rsidR="001C4DF2" w:rsidRPr="001C4DF2" w:rsidRDefault="001C4DF2" w:rsidP="00623D17">
      <w:pPr>
        <w:pStyle w:val="Bibliography"/>
        <w:spacing w:line="240" w:lineRule="auto"/>
      </w:pPr>
      <w:r w:rsidRPr="001C4DF2">
        <w:t xml:space="preserve">Shelton, A. O., Ramón-Laca, A., Wells, A., Clemons, J., Chu, D., Feist, B. E., Kelly, R. P., Parker-Stetter, S. L., Thomas, R., Nichols, K. M., &amp; Park, L. (2022). Environmental DNA provides quantitative estimates of Pacific hake abundance and distribution in the open ocean. </w:t>
      </w:r>
      <w:r w:rsidRPr="001C4DF2">
        <w:rPr>
          <w:i/>
          <w:iCs/>
        </w:rPr>
        <w:t>Proceedings of the Royal Society B: Biological Sciences</w:t>
      </w:r>
      <w:r w:rsidRPr="001C4DF2">
        <w:t xml:space="preserve">, </w:t>
      </w:r>
      <w:r w:rsidRPr="001C4DF2">
        <w:rPr>
          <w:i/>
          <w:iCs/>
        </w:rPr>
        <w:t>289</w:t>
      </w:r>
      <w:r w:rsidRPr="001C4DF2">
        <w:t>(1971), 20212613. https://doi.org/https://doi.org/10.1098/rspb.2021.2613</w:t>
      </w:r>
    </w:p>
    <w:p w14:paraId="1BF4204E" w14:textId="77777777" w:rsidR="001C4DF2" w:rsidRPr="001C4DF2" w:rsidRDefault="001C4DF2" w:rsidP="00623D17">
      <w:pPr>
        <w:pStyle w:val="Bibliography"/>
        <w:spacing w:line="240" w:lineRule="auto"/>
      </w:pPr>
      <w:r w:rsidRPr="001C4DF2">
        <w:t xml:space="preserve">Stan Development Team. (2023). </w:t>
      </w:r>
      <w:r w:rsidRPr="001C4DF2">
        <w:rPr>
          <w:i/>
          <w:iCs/>
        </w:rPr>
        <w:t>Stan Modeling Language Users Guide and Reference Manual</w:t>
      </w:r>
      <w:r w:rsidRPr="001C4DF2">
        <w:t xml:space="preserve"> (Version 2.26.1) [Computer software]. https://mc-stan.org/</w:t>
      </w:r>
    </w:p>
    <w:p w14:paraId="7F880D19" w14:textId="77777777" w:rsidR="001C4DF2" w:rsidRPr="001C4DF2" w:rsidRDefault="001C4DF2" w:rsidP="00623D17">
      <w:pPr>
        <w:pStyle w:val="Bibliography"/>
        <w:spacing w:line="240" w:lineRule="auto"/>
      </w:pPr>
      <w:r w:rsidRPr="001C4DF2">
        <w:t xml:space="preserve">Stein, A., &amp; </w:t>
      </w:r>
      <w:proofErr w:type="spellStart"/>
      <w:r w:rsidRPr="001C4DF2">
        <w:t>Ettema</w:t>
      </w:r>
      <w:proofErr w:type="spellEnd"/>
      <w:r w:rsidRPr="001C4DF2">
        <w:t xml:space="preserve">, C. (2003). An overview of spatial sampling procedures and experimental design of spatial studies for ecosystem comparisons. </w:t>
      </w:r>
      <w:r w:rsidRPr="001C4DF2">
        <w:rPr>
          <w:i/>
          <w:iCs/>
        </w:rPr>
        <w:t>Agriculture, Ecosystems &amp; Environment</w:t>
      </w:r>
      <w:r w:rsidRPr="001C4DF2">
        <w:t xml:space="preserve">, </w:t>
      </w:r>
      <w:r w:rsidRPr="001C4DF2">
        <w:rPr>
          <w:i/>
          <w:iCs/>
        </w:rPr>
        <w:t>94</w:t>
      </w:r>
      <w:r w:rsidRPr="001C4DF2">
        <w:t>(1), 31–47. https://doi.org/10.1016/S0167-8809(02)00013-0</w:t>
      </w:r>
    </w:p>
    <w:p w14:paraId="216B8433" w14:textId="77777777" w:rsidR="001C4DF2" w:rsidRPr="001C4DF2" w:rsidRDefault="001C4DF2" w:rsidP="00623D17">
      <w:pPr>
        <w:pStyle w:val="Bibliography"/>
        <w:spacing w:line="240" w:lineRule="auto"/>
      </w:pPr>
      <w:proofErr w:type="spellStart"/>
      <w:r w:rsidRPr="001C4DF2">
        <w:t>Taberlet</w:t>
      </w:r>
      <w:proofErr w:type="spellEnd"/>
      <w:r w:rsidRPr="001C4DF2">
        <w:t xml:space="preserve">, P., </w:t>
      </w:r>
      <w:proofErr w:type="spellStart"/>
      <w:r w:rsidRPr="001C4DF2">
        <w:t>Coissac</w:t>
      </w:r>
      <w:proofErr w:type="spellEnd"/>
      <w:r w:rsidRPr="001C4DF2">
        <w:t xml:space="preserve">, E., </w:t>
      </w:r>
      <w:proofErr w:type="spellStart"/>
      <w:r w:rsidRPr="001C4DF2">
        <w:t>Hajibabaei</w:t>
      </w:r>
      <w:proofErr w:type="spellEnd"/>
      <w:r w:rsidRPr="001C4DF2">
        <w:t xml:space="preserve">, M., &amp; </w:t>
      </w:r>
      <w:proofErr w:type="spellStart"/>
      <w:r w:rsidRPr="001C4DF2">
        <w:t>Rieseberg</w:t>
      </w:r>
      <w:proofErr w:type="spellEnd"/>
      <w:r w:rsidRPr="001C4DF2">
        <w:t xml:space="preserve">, L. H. (2012). Environmental DNA. </w:t>
      </w:r>
      <w:r w:rsidRPr="001C4DF2">
        <w:rPr>
          <w:i/>
          <w:iCs/>
        </w:rPr>
        <w:t>Molecular Ecology</w:t>
      </w:r>
      <w:r w:rsidRPr="001C4DF2">
        <w:t xml:space="preserve">, </w:t>
      </w:r>
      <w:r w:rsidRPr="001C4DF2">
        <w:rPr>
          <w:i/>
          <w:iCs/>
        </w:rPr>
        <w:t>21</w:t>
      </w:r>
      <w:r w:rsidRPr="001C4DF2">
        <w:t>(8), 1789–1793. https://doi.org/10.1111/j.1365-294X.2012.05542.x</w:t>
      </w:r>
    </w:p>
    <w:p w14:paraId="34BB65A1" w14:textId="77777777" w:rsidR="001C4DF2" w:rsidRPr="001C4DF2" w:rsidRDefault="001C4DF2" w:rsidP="00623D17">
      <w:pPr>
        <w:pStyle w:val="Bibliography"/>
        <w:spacing w:line="240" w:lineRule="auto"/>
      </w:pPr>
      <w:r w:rsidRPr="001C4DF2">
        <w:t xml:space="preserve">Thorson, J. T., Shelton, A. O., Ward, E. J., &amp; Skaug, H. J. (2015). Geostatistical delta-generalized linear mixed models improve precision for estimated abundance indices for West Coast </w:t>
      </w:r>
      <w:proofErr w:type="spellStart"/>
      <w:r w:rsidRPr="001C4DF2">
        <w:t>groundfishes</w:t>
      </w:r>
      <w:proofErr w:type="spellEnd"/>
      <w:r w:rsidRPr="001C4DF2">
        <w:t xml:space="preserve">. </w:t>
      </w:r>
      <w:r w:rsidRPr="001C4DF2">
        <w:rPr>
          <w:i/>
          <w:iCs/>
        </w:rPr>
        <w:t>ICES Journal of Marine Science</w:t>
      </w:r>
      <w:r w:rsidRPr="001C4DF2">
        <w:t xml:space="preserve">, </w:t>
      </w:r>
      <w:r w:rsidRPr="001C4DF2">
        <w:rPr>
          <w:i/>
          <w:iCs/>
        </w:rPr>
        <w:t>72</w:t>
      </w:r>
      <w:r w:rsidRPr="001C4DF2">
        <w:t>(5), 1297–1310. https://doi.org/10.1093/icesjms/fsu243</w:t>
      </w:r>
    </w:p>
    <w:p w14:paraId="1436A7CF" w14:textId="77777777" w:rsidR="001C4DF2" w:rsidRPr="001C4DF2" w:rsidRDefault="001C4DF2" w:rsidP="00623D17">
      <w:pPr>
        <w:pStyle w:val="Bibliography"/>
        <w:spacing w:line="240" w:lineRule="auto"/>
      </w:pPr>
      <w:r w:rsidRPr="001C4DF2">
        <w:t xml:space="preserve">Wagner, H. H., &amp; Fortin, M.-J. (2005). Spatial analysis of landscapes: Concepts and statistics. </w:t>
      </w:r>
      <w:r w:rsidRPr="001C4DF2">
        <w:rPr>
          <w:i/>
          <w:iCs/>
        </w:rPr>
        <w:t>Ecology</w:t>
      </w:r>
      <w:r w:rsidRPr="001C4DF2">
        <w:t xml:space="preserve">, </w:t>
      </w:r>
      <w:r w:rsidRPr="001C4DF2">
        <w:rPr>
          <w:i/>
          <w:iCs/>
        </w:rPr>
        <w:t>86</w:t>
      </w:r>
      <w:r w:rsidRPr="001C4DF2">
        <w:t>(8), 1975–1987. https://doi.org/10.1890/04-0914</w:t>
      </w:r>
    </w:p>
    <w:p w14:paraId="0FD06D45" w14:textId="77777777" w:rsidR="001C4DF2" w:rsidRPr="001C4DF2" w:rsidRDefault="001C4DF2" w:rsidP="00623D17">
      <w:pPr>
        <w:pStyle w:val="Bibliography"/>
        <w:spacing w:line="240" w:lineRule="auto"/>
      </w:pPr>
      <w:r w:rsidRPr="001C4DF2">
        <w:t xml:space="preserve">Xu, B., Zhang, C., Xue, Y., Ren, Y., &amp; Chen, Y. (2015). Optimization of sampling effort for a fishery-independent survey with multiple goals. </w:t>
      </w:r>
      <w:r w:rsidRPr="001C4DF2">
        <w:rPr>
          <w:i/>
          <w:iCs/>
        </w:rPr>
        <w:t>Environmental Monitoring and Assessment</w:t>
      </w:r>
      <w:r w:rsidRPr="001C4DF2">
        <w:t xml:space="preserve">, </w:t>
      </w:r>
      <w:r w:rsidRPr="001C4DF2">
        <w:rPr>
          <w:i/>
          <w:iCs/>
        </w:rPr>
        <w:t>187</w:t>
      </w:r>
      <w:r w:rsidRPr="001C4DF2">
        <w:t>(5). https://doi.org/10.1007/s10661-015-4483-9</w:t>
      </w:r>
    </w:p>
    <w:p w14:paraId="49FCA4F7" w14:textId="77777777" w:rsidR="001C4DF2" w:rsidRPr="001C4DF2" w:rsidRDefault="001C4DF2" w:rsidP="00623D17">
      <w:pPr>
        <w:pStyle w:val="Bibliography"/>
        <w:spacing w:line="240" w:lineRule="auto"/>
      </w:pPr>
      <w:proofErr w:type="spellStart"/>
      <w:r w:rsidRPr="001C4DF2">
        <w:t>Yoccoz</w:t>
      </w:r>
      <w:proofErr w:type="spellEnd"/>
      <w:r w:rsidRPr="001C4DF2">
        <w:t xml:space="preserve">, N. G., Nichols, J. D., &amp; </w:t>
      </w:r>
      <w:proofErr w:type="spellStart"/>
      <w:r w:rsidRPr="001C4DF2">
        <w:t>Boulinier</w:t>
      </w:r>
      <w:proofErr w:type="spellEnd"/>
      <w:r w:rsidRPr="001C4DF2">
        <w:t xml:space="preserve">, T. (2001). Monitoring of biological diversity in space and time. </w:t>
      </w:r>
      <w:r w:rsidRPr="001C4DF2">
        <w:rPr>
          <w:i/>
          <w:iCs/>
        </w:rPr>
        <w:t>Trends in Ecology &amp; Evolution</w:t>
      </w:r>
      <w:r w:rsidRPr="001C4DF2">
        <w:t xml:space="preserve">, </w:t>
      </w:r>
      <w:r w:rsidRPr="001C4DF2">
        <w:rPr>
          <w:i/>
          <w:iCs/>
        </w:rPr>
        <w:t>16</w:t>
      </w:r>
      <w:r w:rsidRPr="001C4DF2">
        <w:t>(8), 446–453. https://doi.org/10.1016/S0169-5347(01)02205-4</w:t>
      </w:r>
    </w:p>
    <w:p w14:paraId="7C517AB5" w14:textId="77777777" w:rsidR="001C4DF2" w:rsidRPr="001C4DF2" w:rsidRDefault="001C4DF2" w:rsidP="00623D17">
      <w:pPr>
        <w:pStyle w:val="Bibliography"/>
        <w:spacing w:line="240" w:lineRule="auto"/>
      </w:pPr>
      <w:r w:rsidRPr="001C4DF2">
        <w:t xml:space="preserve">Zhao, J., Yang, K., &amp; Ma, J. (2022). Optimization of Sampling Effort for Different Fishery Groups in the Yangtze River Estuary, China. </w:t>
      </w:r>
      <w:r w:rsidRPr="001C4DF2">
        <w:rPr>
          <w:i/>
          <w:iCs/>
        </w:rPr>
        <w:t>Marine and Coastal Fisheries</w:t>
      </w:r>
      <w:r w:rsidRPr="001C4DF2">
        <w:t xml:space="preserve">, </w:t>
      </w:r>
      <w:r w:rsidRPr="001C4DF2">
        <w:rPr>
          <w:i/>
          <w:iCs/>
        </w:rPr>
        <w:t>14</w:t>
      </w:r>
      <w:r w:rsidRPr="001C4DF2">
        <w:t>(4). https://doi.org/10.1002/mcf2.10214</w:t>
      </w:r>
    </w:p>
    <w:p w14:paraId="5940244E" w14:textId="5CDD6FEF" w:rsidR="000974AE" w:rsidRDefault="00F553D1" w:rsidP="00623D17">
      <w:pPr>
        <w:pStyle w:val="Bibliography"/>
        <w:spacing w:line="240" w:lineRule="auto"/>
      </w:pPr>
      <w:r w:rsidRPr="007A589B">
        <w:rPr>
          <w:rFonts w:cs="Times New Roman"/>
        </w:rPr>
        <w:fldChar w:fldCharType="end"/>
      </w:r>
      <w:r w:rsidR="000974AE">
        <w:br w:type="page"/>
      </w:r>
    </w:p>
    <w:sectPr w:rsidR="000974AE" w:rsidSect="00FE50DF">
      <w:footerReference w:type="even" r:id="rId18"/>
      <w:footerReference w:type="default" r:id="rId19"/>
      <w:pgSz w:w="12240" w:h="15840"/>
      <w:pgMar w:top="1440" w:right="1440" w:bottom="1440" w:left="1440" w:header="720" w:footer="720" w:gutter="0"/>
      <w:lnNumType w:countBy="1" w:restart="continuous"/>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A31897A" w14:textId="77777777" w:rsidR="00595663" w:rsidRDefault="00595663" w:rsidP="009A2297">
      <w:pPr>
        <w:spacing w:after="0"/>
      </w:pPr>
      <w:r>
        <w:separator/>
      </w:r>
    </w:p>
  </w:endnote>
  <w:endnote w:type="continuationSeparator" w:id="0">
    <w:p w14:paraId="7AC34C3E" w14:textId="77777777" w:rsidR="00595663" w:rsidRDefault="00595663" w:rsidP="009A229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Times New Roman (Headings CS)">
    <w:altName w:val="Times New Roman"/>
    <w:panose1 w:val="020B0604020202020204"/>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Yu Mincho">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854079070"/>
      <w:docPartObj>
        <w:docPartGallery w:val="Page Numbers (Bottom of Page)"/>
        <w:docPartUnique/>
      </w:docPartObj>
    </w:sdtPr>
    <w:sdtContent>
      <w:p w14:paraId="7F6FEE35" w14:textId="6CAA3655" w:rsidR="00A66B15" w:rsidRDefault="00A66B15" w:rsidP="00091DD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sidR="002D4B65">
          <w:rPr>
            <w:rStyle w:val="PageNumber"/>
          </w:rPr>
          <w:fldChar w:fldCharType="separate"/>
        </w:r>
        <w:r w:rsidR="002D4B65">
          <w:rPr>
            <w:rStyle w:val="PageNumber"/>
            <w:noProof/>
          </w:rPr>
          <w:t>21</w:t>
        </w:r>
        <w:r>
          <w:rPr>
            <w:rStyle w:val="PageNumber"/>
          </w:rPr>
          <w:fldChar w:fldCharType="end"/>
        </w:r>
      </w:p>
    </w:sdtContent>
  </w:sdt>
  <w:p w14:paraId="3D8DAE99" w14:textId="77777777" w:rsidR="00A66B15" w:rsidRDefault="00A66B15" w:rsidP="00946E5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2008202315"/>
      <w:docPartObj>
        <w:docPartGallery w:val="Page Numbers (Bottom of Page)"/>
        <w:docPartUnique/>
      </w:docPartObj>
    </w:sdtPr>
    <w:sdtContent>
      <w:p w14:paraId="1CED7E85" w14:textId="2309D4AB" w:rsidR="00A66B15" w:rsidRDefault="00A66B15" w:rsidP="00091DD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53130D2E" w14:textId="77777777" w:rsidR="00A66B15" w:rsidRDefault="00A66B15" w:rsidP="00D16A1F">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57CC698" w14:textId="77777777" w:rsidR="00595663" w:rsidRDefault="00595663" w:rsidP="009A2297">
      <w:pPr>
        <w:spacing w:after="0"/>
      </w:pPr>
      <w:r>
        <w:separator/>
      </w:r>
    </w:p>
  </w:footnote>
  <w:footnote w:type="continuationSeparator" w:id="0">
    <w:p w14:paraId="4A67A8F6" w14:textId="77777777" w:rsidR="00595663" w:rsidRDefault="00595663" w:rsidP="009A2297">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9A98392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2654312B"/>
    <w:multiLevelType w:val="multilevel"/>
    <w:tmpl w:val="D7127FF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C6E7AC5"/>
    <w:multiLevelType w:val="hybridMultilevel"/>
    <w:tmpl w:val="9E76B3A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82614163">
    <w:abstractNumId w:val="0"/>
  </w:num>
  <w:num w:numId="2" w16cid:durableId="1306860192">
    <w:abstractNumId w:val="0"/>
  </w:num>
  <w:num w:numId="3" w16cid:durableId="1263225559">
    <w:abstractNumId w:val="0"/>
  </w:num>
  <w:num w:numId="4" w16cid:durableId="161286760">
    <w:abstractNumId w:val="0"/>
  </w:num>
  <w:num w:numId="5" w16cid:durableId="573314918">
    <w:abstractNumId w:val="0"/>
  </w:num>
  <w:num w:numId="6" w16cid:durableId="675156835">
    <w:abstractNumId w:val="0"/>
  </w:num>
  <w:num w:numId="7" w16cid:durableId="967902636">
    <w:abstractNumId w:val="2"/>
  </w:num>
  <w:num w:numId="8" w16cid:durableId="1077635464">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5"/>
  <w:embedSystemFonts/>
  <w:proofState w:spelling="clean" w:grammar="clean"/>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1125"/>
    <w:rsid w:val="00000AB6"/>
    <w:rsid w:val="00001B17"/>
    <w:rsid w:val="000022BE"/>
    <w:rsid w:val="00002ABD"/>
    <w:rsid w:val="00003A5F"/>
    <w:rsid w:val="00003D9A"/>
    <w:rsid w:val="000051F2"/>
    <w:rsid w:val="000056CB"/>
    <w:rsid w:val="0000574A"/>
    <w:rsid w:val="00005CB6"/>
    <w:rsid w:val="00005F2E"/>
    <w:rsid w:val="00006E74"/>
    <w:rsid w:val="00007C32"/>
    <w:rsid w:val="000114C2"/>
    <w:rsid w:val="00011A03"/>
    <w:rsid w:val="00012269"/>
    <w:rsid w:val="00012E21"/>
    <w:rsid w:val="00012E2F"/>
    <w:rsid w:val="000132DD"/>
    <w:rsid w:val="000139A5"/>
    <w:rsid w:val="000145BE"/>
    <w:rsid w:val="00014AE9"/>
    <w:rsid w:val="00014D18"/>
    <w:rsid w:val="000160E2"/>
    <w:rsid w:val="00016814"/>
    <w:rsid w:val="000168C8"/>
    <w:rsid w:val="00017B7F"/>
    <w:rsid w:val="00017D18"/>
    <w:rsid w:val="00020159"/>
    <w:rsid w:val="00020998"/>
    <w:rsid w:val="00020F2C"/>
    <w:rsid w:val="00021267"/>
    <w:rsid w:val="00022E59"/>
    <w:rsid w:val="00023927"/>
    <w:rsid w:val="00023FE6"/>
    <w:rsid w:val="00025451"/>
    <w:rsid w:val="00025F29"/>
    <w:rsid w:val="0002721B"/>
    <w:rsid w:val="000349CA"/>
    <w:rsid w:val="000353AD"/>
    <w:rsid w:val="0003719B"/>
    <w:rsid w:val="000409FF"/>
    <w:rsid w:val="0004240A"/>
    <w:rsid w:val="00042692"/>
    <w:rsid w:val="00042885"/>
    <w:rsid w:val="000432EB"/>
    <w:rsid w:val="0004417B"/>
    <w:rsid w:val="000443C6"/>
    <w:rsid w:val="000444A9"/>
    <w:rsid w:val="000461C1"/>
    <w:rsid w:val="00050DA2"/>
    <w:rsid w:val="00051F7D"/>
    <w:rsid w:val="00052F30"/>
    <w:rsid w:val="000534CC"/>
    <w:rsid w:val="0005416C"/>
    <w:rsid w:val="000547C5"/>
    <w:rsid w:val="00054D59"/>
    <w:rsid w:val="00056B67"/>
    <w:rsid w:val="00057B49"/>
    <w:rsid w:val="00057F90"/>
    <w:rsid w:val="000603A4"/>
    <w:rsid w:val="000607B1"/>
    <w:rsid w:val="00061044"/>
    <w:rsid w:val="00061203"/>
    <w:rsid w:val="0006210A"/>
    <w:rsid w:val="00063447"/>
    <w:rsid w:val="00063455"/>
    <w:rsid w:val="00063804"/>
    <w:rsid w:val="00063BBC"/>
    <w:rsid w:val="0007052E"/>
    <w:rsid w:val="00070A54"/>
    <w:rsid w:val="00071304"/>
    <w:rsid w:val="00071FD5"/>
    <w:rsid w:val="00072E63"/>
    <w:rsid w:val="00074790"/>
    <w:rsid w:val="00075111"/>
    <w:rsid w:val="000757FC"/>
    <w:rsid w:val="000775D1"/>
    <w:rsid w:val="00077B8E"/>
    <w:rsid w:val="00080653"/>
    <w:rsid w:val="00082BC7"/>
    <w:rsid w:val="00083D55"/>
    <w:rsid w:val="00084698"/>
    <w:rsid w:val="00085100"/>
    <w:rsid w:val="00086636"/>
    <w:rsid w:val="00087896"/>
    <w:rsid w:val="00091A1D"/>
    <w:rsid w:val="00091FFE"/>
    <w:rsid w:val="00092F55"/>
    <w:rsid w:val="00094214"/>
    <w:rsid w:val="0009447E"/>
    <w:rsid w:val="0009525D"/>
    <w:rsid w:val="00095871"/>
    <w:rsid w:val="000974AE"/>
    <w:rsid w:val="000A0340"/>
    <w:rsid w:val="000A1536"/>
    <w:rsid w:val="000A238A"/>
    <w:rsid w:val="000A29CA"/>
    <w:rsid w:val="000A2C60"/>
    <w:rsid w:val="000A3064"/>
    <w:rsid w:val="000A3533"/>
    <w:rsid w:val="000A475C"/>
    <w:rsid w:val="000A4CE6"/>
    <w:rsid w:val="000A685B"/>
    <w:rsid w:val="000A776D"/>
    <w:rsid w:val="000B021C"/>
    <w:rsid w:val="000B16AE"/>
    <w:rsid w:val="000B1746"/>
    <w:rsid w:val="000B3342"/>
    <w:rsid w:val="000B354D"/>
    <w:rsid w:val="000B48EE"/>
    <w:rsid w:val="000B4D5A"/>
    <w:rsid w:val="000B4F85"/>
    <w:rsid w:val="000B5E8A"/>
    <w:rsid w:val="000B632F"/>
    <w:rsid w:val="000B644D"/>
    <w:rsid w:val="000B7F3C"/>
    <w:rsid w:val="000C1D0D"/>
    <w:rsid w:val="000C1D95"/>
    <w:rsid w:val="000C1E9E"/>
    <w:rsid w:val="000C295A"/>
    <w:rsid w:val="000C4EFA"/>
    <w:rsid w:val="000C6147"/>
    <w:rsid w:val="000D0491"/>
    <w:rsid w:val="000D1A88"/>
    <w:rsid w:val="000D2BF7"/>
    <w:rsid w:val="000D4F79"/>
    <w:rsid w:val="000D6CB9"/>
    <w:rsid w:val="000D6DE8"/>
    <w:rsid w:val="000D7045"/>
    <w:rsid w:val="000D7AE0"/>
    <w:rsid w:val="000E028F"/>
    <w:rsid w:val="000E190D"/>
    <w:rsid w:val="000E1E0C"/>
    <w:rsid w:val="000E2992"/>
    <w:rsid w:val="000E2BF2"/>
    <w:rsid w:val="000E31BF"/>
    <w:rsid w:val="000E3632"/>
    <w:rsid w:val="000E3B51"/>
    <w:rsid w:val="000E3CB4"/>
    <w:rsid w:val="000F0CD4"/>
    <w:rsid w:val="000F23E9"/>
    <w:rsid w:val="000F2824"/>
    <w:rsid w:val="000F31EB"/>
    <w:rsid w:val="000F3DDE"/>
    <w:rsid w:val="000F40A8"/>
    <w:rsid w:val="000F510C"/>
    <w:rsid w:val="000F5585"/>
    <w:rsid w:val="000F5722"/>
    <w:rsid w:val="000F5B32"/>
    <w:rsid w:val="000F67DF"/>
    <w:rsid w:val="000F71FC"/>
    <w:rsid w:val="000F7C17"/>
    <w:rsid w:val="00100A8A"/>
    <w:rsid w:val="001012ED"/>
    <w:rsid w:val="001016A0"/>
    <w:rsid w:val="00101BFB"/>
    <w:rsid w:val="00102D80"/>
    <w:rsid w:val="00105071"/>
    <w:rsid w:val="00106163"/>
    <w:rsid w:val="001062D5"/>
    <w:rsid w:val="001063EA"/>
    <w:rsid w:val="00106A43"/>
    <w:rsid w:val="00107481"/>
    <w:rsid w:val="00107B96"/>
    <w:rsid w:val="001100C1"/>
    <w:rsid w:val="001101CA"/>
    <w:rsid w:val="001109C4"/>
    <w:rsid w:val="001116F3"/>
    <w:rsid w:val="00112FD6"/>
    <w:rsid w:val="0011343E"/>
    <w:rsid w:val="00114F2B"/>
    <w:rsid w:val="00115FE6"/>
    <w:rsid w:val="001170B8"/>
    <w:rsid w:val="001178FE"/>
    <w:rsid w:val="00117CD3"/>
    <w:rsid w:val="00120DF0"/>
    <w:rsid w:val="001247DB"/>
    <w:rsid w:val="00124A60"/>
    <w:rsid w:val="00124CBE"/>
    <w:rsid w:val="00125464"/>
    <w:rsid w:val="00126047"/>
    <w:rsid w:val="00127801"/>
    <w:rsid w:val="00127DFE"/>
    <w:rsid w:val="00131C1F"/>
    <w:rsid w:val="001331FA"/>
    <w:rsid w:val="00133DD4"/>
    <w:rsid w:val="00134076"/>
    <w:rsid w:val="001345B5"/>
    <w:rsid w:val="001365D9"/>
    <w:rsid w:val="00137DD4"/>
    <w:rsid w:val="00140286"/>
    <w:rsid w:val="00140D71"/>
    <w:rsid w:val="00140E57"/>
    <w:rsid w:val="001414C4"/>
    <w:rsid w:val="00141D37"/>
    <w:rsid w:val="001455E0"/>
    <w:rsid w:val="00146302"/>
    <w:rsid w:val="001465AC"/>
    <w:rsid w:val="00146A47"/>
    <w:rsid w:val="00150766"/>
    <w:rsid w:val="0015179F"/>
    <w:rsid w:val="001520AA"/>
    <w:rsid w:val="0015215E"/>
    <w:rsid w:val="001547DC"/>
    <w:rsid w:val="001550FE"/>
    <w:rsid w:val="00155244"/>
    <w:rsid w:val="00160297"/>
    <w:rsid w:val="00160CEF"/>
    <w:rsid w:val="00162082"/>
    <w:rsid w:val="00163498"/>
    <w:rsid w:val="00163DB8"/>
    <w:rsid w:val="001643E6"/>
    <w:rsid w:val="00164C62"/>
    <w:rsid w:val="00164CCE"/>
    <w:rsid w:val="001676A9"/>
    <w:rsid w:val="0017095B"/>
    <w:rsid w:val="00171483"/>
    <w:rsid w:val="00172440"/>
    <w:rsid w:val="00173E36"/>
    <w:rsid w:val="0017607E"/>
    <w:rsid w:val="00176D2B"/>
    <w:rsid w:val="00177159"/>
    <w:rsid w:val="001801E2"/>
    <w:rsid w:val="00180245"/>
    <w:rsid w:val="00180252"/>
    <w:rsid w:val="00180840"/>
    <w:rsid w:val="00180919"/>
    <w:rsid w:val="00180FAF"/>
    <w:rsid w:val="001814FF"/>
    <w:rsid w:val="001827F8"/>
    <w:rsid w:val="00182802"/>
    <w:rsid w:val="001831DF"/>
    <w:rsid w:val="00183B9A"/>
    <w:rsid w:val="00184B5A"/>
    <w:rsid w:val="0018545E"/>
    <w:rsid w:val="00185814"/>
    <w:rsid w:val="0018650C"/>
    <w:rsid w:val="001869ED"/>
    <w:rsid w:val="00187296"/>
    <w:rsid w:val="00190A03"/>
    <w:rsid w:val="00190EF5"/>
    <w:rsid w:val="001917E2"/>
    <w:rsid w:val="00192D8F"/>
    <w:rsid w:val="00192DF5"/>
    <w:rsid w:val="001934BA"/>
    <w:rsid w:val="00194686"/>
    <w:rsid w:val="00195990"/>
    <w:rsid w:val="001A0205"/>
    <w:rsid w:val="001A0C00"/>
    <w:rsid w:val="001A11AC"/>
    <w:rsid w:val="001A136C"/>
    <w:rsid w:val="001A150A"/>
    <w:rsid w:val="001A2542"/>
    <w:rsid w:val="001A48D1"/>
    <w:rsid w:val="001A6FCD"/>
    <w:rsid w:val="001B0E72"/>
    <w:rsid w:val="001B350D"/>
    <w:rsid w:val="001B3530"/>
    <w:rsid w:val="001B494C"/>
    <w:rsid w:val="001B4F2A"/>
    <w:rsid w:val="001B5275"/>
    <w:rsid w:val="001B55AB"/>
    <w:rsid w:val="001B5BD6"/>
    <w:rsid w:val="001B5C27"/>
    <w:rsid w:val="001B6091"/>
    <w:rsid w:val="001B65DC"/>
    <w:rsid w:val="001C0551"/>
    <w:rsid w:val="001C2382"/>
    <w:rsid w:val="001C3B95"/>
    <w:rsid w:val="001C4DF2"/>
    <w:rsid w:val="001C555F"/>
    <w:rsid w:val="001C5725"/>
    <w:rsid w:val="001C62FB"/>
    <w:rsid w:val="001D051D"/>
    <w:rsid w:val="001D0620"/>
    <w:rsid w:val="001D0A69"/>
    <w:rsid w:val="001D0B52"/>
    <w:rsid w:val="001D2FC7"/>
    <w:rsid w:val="001D6294"/>
    <w:rsid w:val="001D73F9"/>
    <w:rsid w:val="001D7445"/>
    <w:rsid w:val="001D778A"/>
    <w:rsid w:val="001E0F76"/>
    <w:rsid w:val="001E1246"/>
    <w:rsid w:val="001E155A"/>
    <w:rsid w:val="001E199E"/>
    <w:rsid w:val="001E2349"/>
    <w:rsid w:val="001E33A3"/>
    <w:rsid w:val="001E33B9"/>
    <w:rsid w:val="001E37E0"/>
    <w:rsid w:val="001E4A9B"/>
    <w:rsid w:val="001E4C8D"/>
    <w:rsid w:val="001E53A7"/>
    <w:rsid w:val="001E5B76"/>
    <w:rsid w:val="001E644C"/>
    <w:rsid w:val="001E6470"/>
    <w:rsid w:val="001E6BF2"/>
    <w:rsid w:val="001E7948"/>
    <w:rsid w:val="001F10CE"/>
    <w:rsid w:val="001F38F5"/>
    <w:rsid w:val="001F3AA3"/>
    <w:rsid w:val="001F3BC5"/>
    <w:rsid w:val="001F47EB"/>
    <w:rsid w:val="001F5339"/>
    <w:rsid w:val="001F55A1"/>
    <w:rsid w:val="001F698C"/>
    <w:rsid w:val="001F6996"/>
    <w:rsid w:val="001F72E9"/>
    <w:rsid w:val="001F75CE"/>
    <w:rsid w:val="00201B6D"/>
    <w:rsid w:val="00201F17"/>
    <w:rsid w:val="002027BA"/>
    <w:rsid w:val="00202E65"/>
    <w:rsid w:val="00207177"/>
    <w:rsid w:val="00210499"/>
    <w:rsid w:val="00212093"/>
    <w:rsid w:val="0021269A"/>
    <w:rsid w:val="00213174"/>
    <w:rsid w:val="00213C5F"/>
    <w:rsid w:val="0021529A"/>
    <w:rsid w:val="00216EE9"/>
    <w:rsid w:val="002170DA"/>
    <w:rsid w:val="002225C5"/>
    <w:rsid w:val="00222B88"/>
    <w:rsid w:val="002237C6"/>
    <w:rsid w:val="002238B3"/>
    <w:rsid w:val="0022466F"/>
    <w:rsid w:val="002255F5"/>
    <w:rsid w:val="00225CCC"/>
    <w:rsid w:val="002261F5"/>
    <w:rsid w:val="00226A6E"/>
    <w:rsid w:val="00227795"/>
    <w:rsid w:val="00227975"/>
    <w:rsid w:val="0023039B"/>
    <w:rsid w:val="00230A40"/>
    <w:rsid w:val="002316A1"/>
    <w:rsid w:val="00231724"/>
    <w:rsid w:val="00231AC7"/>
    <w:rsid w:val="00231CCD"/>
    <w:rsid w:val="00232D1E"/>
    <w:rsid w:val="002331E6"/>
    <w:rsid w:val="00233AAB"/>
    <w:rsid w:val="00233C32"/>
    <w:rsid w:val="002342B6"/>
    <w:rsid w:val="002347AB"/>
    <w:rsid w:val="002357D8"/>
    <w:rsid w:val="00235923"/>
    <w:rsid w:val="00235B7B"/>
    <w:rsid w:val="00236259"/>
    <w:rsid w:val="002362C0"/>
    <w:rsid w:val="00236C3C"/>
    <w:rsid w:val="00237B5F"/>
    <w:rsid w:val="00241EEE"/>
    <w:rsid w:val="00242929"/>
    <w:rsid w:val="00242A24"/>
    <w:rsid w:val="00242A5D"/>
    <w:rsid w:val="00244944"/>
    <w:rsid w:val="0024606E"/>
    <w:rsid w:val="00246E74"/>
    <w:rsid w:val="002478A8"/>
    <w:rsid w:val="00247B17"/>
    <w:rsid w:val="00247D59"/>
    <w:rsid w:val="00247F05"/>
    <w:rsid w:val="00250A59"/>
    <w:rsid w:val="00251B03"/>
    <w:rsid w:val="00251D34"/>
    <w:rsid w:val="0025394F"/>
    <w:rsid w:val="00254D82"/>
    <w:rsid w:val="00256746"/>
    <w:rsid w:val="002574EE"/>
    <w:rsid w:val="002601E5"/>
    <w:rsid w:val="002609C5"/>
    <w:rsid w:val="00260B0B"/>
    <w:rsid w:val="00260EF4"/>
    <w:rsid w:val="00261DD5"/>
    <w:rsid w:val="00262B24"/>
    <w:rsid w:val="00262DAD"/>
    <w:rsid w:val="00264629"/>
    <w:rsid w:val="002657B8"/>
    <w:rsid w:val="002658EB"/>
    <w:rsid w:val="00266A9B"/>
    <w:rsid w:val="002704B8"/>
    <w:rsid w:val="002704E3"/>
    <w:rsid w:val="00270F24"/>
    <w:rsid w:val="00271AA0"/>
    <w:rsid w:val="00272066"/>
    <w:rsid w:val="00273737"/>
    <w:rsid w:val="00273825"/>
    <w:rsid w:val="00273A20"/>
    <w:rsid w:val="00273FC3"/>
    <w:rsid w:val="0027453B"/>
    <w:rsid w:val="00274F05"/>
    <w:rsid w:val="00275178"/>
    <w:rsid w:val="002758D3"/>
    <w:rsid w:val="00276F54"/>
    <w:rsid w:val="00277263"/>
    <w:rsid w:val="002809EF"/>
    <w:rsid w:val="0028136B"/>
    <w:rsid w:val="00281679"/>
    <w:rsid w:val="002820B7"/>
    <w:rsid w:val="002821B3"/>
    <w:rsid w:val="002837DB"/>
    <w:rsid w:val="00283B21"/>
    <w:rsid w:val="00284675"/>
    <w:rsid w:val="00284737"/>
    <w:rsid w:val="0028513F"/>
    <w:rsid w:val="0028551E"/>
    <w:rsid w:val="002868ED"/>
    <w:rsid w:val="00286ADA"/>
    <w:rsid w:val="002877EE"/>
    <w:rsid w:val="00290F94"/>
    <w:rsid w:val="002911E5"/>
    <w:rsid w:val="00291D04"/>
    <w:rsid w:val="00291EB6"/>
    <w:rsid w:val="0029301E"/>
    <w:rsid w:val="002937E8"/>
    <w:rsid w:val="00293DC4"/>
    <w:rsid w:val="002945EA"/>
    <w:rsid w:val="00294A57"/>
    <w:rsid w:val="00294B01"/>
    <w:rsid w:val="00294CBC"/>
    <w:rsid w:val="00295077"/>
    <w:rsid w:val="00295A9F"/>
    <w:rsid w:val="00295D54"/>
    <w:rsid w:val="0029719D"/>
    <w:rsid w:val="0029731D"/>
    <w:rsid w:val="002975EB"/>
    <w:rsid w:val="00297BBE"/>
    <w:rsid w:val="00297F83"/>
    <w:rsid w:val="002A17F8"/>
    <w:rsid w:val="002A1A2C"/>
    <w:rsid w:val="002A1B4E"/>
    <w:rsid w:val="002A1F7B"/>
    <w:rsid w:val="002A222B"/>
    <w:rsid w:val="002A2798"/>
    <w:rsid w:val="002A2B18"/>
    <w:rsid w:val="002A2EC9"/>
    <w:rsid w:val="002A3954"/>
    <w:rsid w:val="002A3C50"/>
    <w:rsid w:val="002A4C2B"/>
    <w:rsid w:val="002A75F7"/>
    <w:rsid w:val="002A779A"/>
    <w:rsid w:val="002B0661"/>
    <w:rsid w:val="002B096B"/>
    <w:rsid w:val="002B1A11"/>
    <w:rsid w:val="002B2019"/>
    <w:rsid w:val="002B4352"/>
    <w:rsid w:val="002B45C6"/>
    <w:rsid w:val="002B71F7"/>
    <w:rsid w:val="002B79AB"/>
    <w:rsid w:val="002B7AB4"/>
    <w:rsid w:val="002C0403"/>
    <w:rsid w:val="002C103E"/>
    <w:rsid w:val="002C1DFA"/>
    <w:rsid w:val="002C4FC7"/>
    <w:rsid w:val="002C53EB"/>
    <w:rsid w:val="002C6985"/>
    <w:rsid w:val="002C75B4"/>
    <w:rsid w:val="002D1904"/>
    <w:rsid w:val="002D3E7E"/>
    <w:rsid w:val="002D4B65"/>
    <w:rsid w:val="002D51E9"/>
    <w:rsid w:val="002D6BB3"/>
    <w:rsid w:val="002D7877"/>
    <w:rsid w:val="002D7BA9"/>
    <w:rsid w:val="002E0279"/>
    <w:rsid w:val="002E0A3F"/>
    <w:rsid w:val="002E117D"/>
    <w:rsid w:val="002E1709"/>
    <w:rsid w:val="002E285D"/>
    <w:rsid w:val="002E32DB"/>
    <w:rsid w:val="002E3786"/>
    <w:rsid w:val="002E3B44"/>
    <w:rsid w:val="002E5D63"/>
    <w:rsid w:val="002E5FD7"/>
    <w:rsid w:val="002E69CF"/>
    <w:rsid w:val="002E6AE6"/>
    <w:rsid w:val="002E75FE"/>
    <w:rsid w:val="002E7667"/>
    <w:rsid w:val="002F0A7E"/>
    <w:rsid w:val="002F0C0B"/>
    <w:rsid w:val="002F11A4"/>
    <w:rsid w:val="002F4694"/>
    <w:rsid w:val="002F53D4"/>
    <w:rsid w:val="002F68A8"/>
    <w:rsid w:val="002F6B9D"/>
    <w:rsid w:val="003004DE"/>
    <w:rsid w:val="00300B06"/>
    <w:rsid w:val="0030120A"/>
    <w:rsid w:val="00301CEE"/>
    <w:rsid w:val="003029C3"/>
    <w:rsid w:val="00304A30"/>
    <w:rsid w:val="00304C4E"/>
    <w:rsid w:val="003073DE"/>
    <w:rsid w:val="00310F24"/>
    <w:rsid w:val="00311B63"/>
    <w:rsid w:val="0031241E"/>
    <w:rsid w:val="003124D1"/>
    <w:rsid w:val="00312DD0"/>
    <w:rsid w:val="00312DFE"/>
    <w:rsid w:val="00313D68"/>
    <w:rsid w:val="00314630"/>
    <w:rsid w:val="00314830"/>
    <w:rsid w:val="00317C6C"/>
    <w:rsid w:val="0032076E"/>
    <w:rsid w:val="0032117F"/>
    <w:rsid w:val="00321A5E"/>
    <w:rsid w:val="00322184"/>
    <w:rsid w:val="00322F87"/>
    <w:rsid w:val="00323FE2"/>
    <w:rsid w:val="00325272"/>
    <w:rsid w:val="00325627"/>
    <w:rsid w:val="00325EAD"/>
    <w:rsid w:val="00326045"/>
    <w:rsid w:val="003261F1"/>
    <w:rsid w:val="003268A6"/>
    <w:rsid w:val="00326BE2"/>
    <w:rsid w:val="00326E80"/>
    <w:rsid w:val="003271D0"/>
    <w:rsid w:val="00327BD2"/>
    <w:rsid w:val="00330D63"/>
    <w:rsid w:val="003329B8"/>
    <w:rsid w:val="00333361"/>
    <w:rsid w:val="00336225"/>
    <w:rsid w:val="00336E69"/>
    <w:rsid w:val="00340F6A"/>
    <w:rsid w:val="003438BD"/>
    <w:rsid w:val="00344228"/>
    <w:rsid w:val="003443CF"/>
    <w:rsid w:val="00345B8C"/>
    <w:rsid w:val="00345EBB"/>
    <w:rsid w:val="0035007B"/>
    <w:rsid w:val="00350360"/>
    <w:rsid w:val="003504FB"/>
    <w:rsid w:val="0035085A"/>
    <w:rsid w:val="00350ED5"/>
    <w:rsid w:val="00350F57"/>
    <w:rsid w:val="00352DBF"/>
    <w:rsid w:val="00352F9A"/>
    <w:rsid w:val="00353F64"/>
    <w:rsid w:val="00354503"/>
    <w:rsid w:val="003546AC"/>
    <w:rsid w:val="00355107"/>
    <w:rsid w:val="0035609F"/>
    <w:rsid w:val="0035656A"/>
    <w:rsid w:val="00356B4A"/>
    <w:rsid w:val="00360698"/>
    <w:rsid w:val="003607A8"/>
    <w:rsid w:val="00360F50"/>
    <w:rsid w:val="003625D6"/>
    <w:rsid w:val="00362805"/>
    <w:rsid w:val="00362CFD"/>
    <w:rsid w:val="00362FAD"/>
    <w:rsid w:val="003634C7"/>
    <w:rsid w:val="00364929"/>
    <w:rsid w:val="00364C2B"/>
    <w:rsid w:val="00364F75"/>
    <w:rsid w:val="003665D2"/>
    <w:rsid w:val="003676DB"/>
    <w:rsid w:val="00367DC4"/>
    <w:rsid w:val="00370B78"/>
    <w:rsid w:val="00373AC6"/>
    <w:rsid w:val="00374B89"/>
    <w:rsid w:val="003755B5"/>
    <w:rsid w:val="00375E4C"/>
    <w:rsid w:val="0037611A"/>
    <w:rsid w:val="00376731"/>
    <w:rsid w:val="00376CAC"/>
    <w:rsid w:val="0037779D"/>
    <w:rsid w:val="00377E38"/>
    <w:rsid w:val="0038067C"/>
    <w:rsid w:val="00380807"/>
    <w:rsid w:val="00380BDE"/>
    <w:rsid w:val="0038147C"/>
    <w:rsid w:val="0038235A"/>
    <w:rsid w:val="00382F46"/>
    <w:rsid w:val="0038376D"/>
    <w:rsid w:val="0038376F"/>
    <w:rsid w:val="00383999"/>
    <w:rsid w:val="00383D92"/>
    <w:rsid w:val="00383EED"/>
    <w:rsid w:val="00387504"/>
    <w:rsid w:val="00387697"/>
    <w:rsid w:val="00387956"/>
    <w:rsid w:val="00390A6F"/>
    <w:rsid w:val="0039223E"/>
    <w:rsid w:val="003922E3"/>
    <w:rsid w:val="00392A56"/>
    <w:rsid w:val="0039332C"/>
    <w:rsid w:val="0039370D"/>
    <w:rsid w:val="003939B7"/>
    <w:rsid w:val="00393D33"/>
    <w:rsid w:val="00394D94"/>
    <w:rsid w:val="003954A2"/>
    <w:rsid w:val="003957E3"/>
    <w:rsid w:val="003965A0"/>
    <w:rsid w:val="0039668F"/>
    <w:rsid w:val="003A0592"/>
    <w:rsid w:val="003A0D51"/>
    <w:rsid w:val="003A0DF7"/>
    <w:rsid w:val="003A1477"/>
    <w:rsid w:val="003A20CB"/>
    <w:rsid w:val="003A21AC"/>
    <w:rsid w:val="003A35CE"/>
    <w:rsid w:val="003A3D79"/>
    <w:rsid w:val="003A4273"/>
    <w:rsid w:val="003A49B0"/>
    <w:rsid w:val="003A553C"/>
    <w:rsid w:val="003A5846"/>
    <w:rsid w:val="003A6403"/>
    <w:rsid w:val="003A777A"/>
    <w:rsid w:val="003A7C60"/>
    <w:rsid w:val="003A7D9C"/>
    <w:rsid w:val="003B0195"/>
    <w:rsid w:val="003B103B"/>
    <w:rsid w:val="003B13B6"/>
    <w:rsid w:val="003B1954"/>
    <w:rsid w:val="003B2437"/>
    <w:rsid w:val="003B471B"/>
    <w:rsid w:val="003B55BF"/>
    <w:rsid w:val="003B5D12"/>
    <w:rsid w:val="003B601D"/>
    <w:rsid w:val="003B64C7"/>
    <w:rsid w:val="003B7514"/>
    <w:rsid w:val="003B7D9D"/>
    <w:rsid w:val="003C12FA"/>
    <w:rsid w:val="003C1462"/>
    <w:rsid w:val="003C151B"/>
    <w:rsid w:val="003C3CFF"/>
    <w:rsid w:val="003C4FC4"/>
    <w:rsid w:val="003C522B"/>
    <w:rsid w:val="003C6767"/>
    <w:rsid w:val="003C7EA9"/>
    <w:rsid w:val="003C7F95"/>
    <w:rsid w:val="003D11B0"/>
    <w:rsid w:val="003D1914"/>
    <w:rsid w:val="003D32D9"/>
    <w:rsid w:val="003D3C28"/>
    <w:rsid w:val="003D4C50"/>
    <w:rsid w:val="003D5CCB"/>
    <w:rsid w:val="003D6E81"/>
    <w:rsid w:val="003D748C"/>
    <w:rsid w:val="003E008F"/>
    <w:rsid w:val="003E0C6C"/>
    <w:rsid w:val="003E3BD8"/>
    <w:rsid w:val="003E6C81"/>
    <w:rsid w:val="003E773E"/>
    <w:rsid w:val="003F0620"/>
    <w:rsid w:val="003F06B9"/>
    <w:rsid w:val="003F07F0"/>
    <w:rsid w:val="003F0D81"/>
    <w:rsid w:val="003F0FD0"/>
    <w:rsid w:val="003F14FA"/>
    <w:rsid w:val="003F2203"/>
    <w:rsid w:val="003F2687"/>
    <w:rsid w:val="003F285E"/>
    <w:rsid w:val="003F2D02"/>
    <w:rsid w:val="003F2E26"/>
    <w:rsid w:val="003F3546"/>
    <w:rsid w:val="003F5DC2"/>
    <w:rsid w:val="00401410"/>
    <w:rsid w:val="004024BF"/>
    <w:rsid w:val="00402FA3"/>
    <w:rsid w:val="00403804"/>
    <w:rsid w:val="00403D4C"/>
    <w:rsid w:val="00404F34"/>
    <w:rsid w:val="0040527D"/>
    <w:rsid w:val="00405996"/>
    <w:rsid w:val="00406068"/>
    <w:rsid w:val="004062E1"/>
    <w:rsid w:val="00406B42"/>
    <w:rsid w:val="004075CF"/>
    <w:rsid w:val="00410B1F"/>
    <w:rsid w:val="004113C3"/>
    <w:rsid w:val="00411992"/>
    <w:rsid w:val="00412E7B"/>
    <w:rsid w:val="0041384E"/>
    <w:rsid w:val="0041396A"/>
    <w:rsid w:val="00420AB4"/>
    <w:rsid w:val="00421DDF"/>
    <w:rsid w:val="0042202C"/>
    <w:rsid w:val="00422CF9"/>
    <w:rsid w:val="00423C14"/>
    <w:rsid w:val="00423F6B"/>
    <w:rsid w:val="004242D5"/>
    <w:rsid w:val="004249EA"/>
    <w:rsid w:val="00424C45"/>
    <w:rsid w:val="00425F7A"/>
    <w:rsid w:val="004264E8"/>
    <w:rsid w:val="00426B30"/>
    <w:rsid w:val="004270A1"/>
    <w:rsid w:val="004271BE"/>
    <w:rsid w:val="00427A26"/>
    <w:rsid w:val="00427EAF"/>
    <w:rsid w:val="004306D0"/>
    <w:rsid w:val="00431D87"/>
    <w:rsid w:val="0043272B"/>
    <w:rsid w:val="00432EEE"/>
    <w:rsid w:val="00433F89"/>
    <w:rsid w:val="0043617E"/>
    <w:rsid w:val="00437B7B"/>
    <w:rsid w:val="00437C6E"/>
    <w:rsid w:val="00440FF2"/>
    <w:rsid w:val="0044189E"/>
    <w:rsid w:val="00442124"/>
    <w:rsid w:val="00443AB2"/>
    <w:rsid w:val="00445021"/>
    <w:rsid w:val="0044656E"/>
    <w:rsid w:val="0044757D"/>
    <w:rsid w:val="004475F1"/>
    <w:rsid w:val="00450034"/>
    <w:rsid w:val="00450784"/>
    <w:rsid w:val="004507D0"/>
    <w:rsid w:val="00452BD9"/>
    <w:rsid w:val="00460098"/>
    <w:rsid w:val="0046181E"/>
    <w:rsid w:val="0046242E"/>
    <w:rsid w:val="00462848"/>
    <w:rsid w:val="00464007"/>
    <w:rsid w:val="004641CE"/>
    <w:rsid w:val="00464A32"/>
    <w:rsid w:val="00465B48"/>
    <w:rsid w:val="004660B7"/>
    <w:rsid w:val="0046620B"/>
    <w:rsid w:val="004674CC"/>
    <w:rsid w:val="00467958"/>
    <w:rsid w:val="004714FD"/>
    <w:rsid w:val="00471569"/>
    <w:rsid w:val="00472742"/>
    <w:rsid w:val="0047298B"/>
    <w:rsid w:val="00473D0C"/>
    <w:rsid w:val="00474904"/>
    <w:rsid w:val="00474C5E"/>
    <w:rsid w:val="00474DF4"/>
    <w:rsid w:val="0047549D"/>
    <w:rsid w:val="004762FC"/>
    <w:rsid w:val="00476949"/>
    <w:rsid w:val="00476D1F"/>
    <w:rsid w:val="0047788E"/>
    <w:rsid w:val="00480831"/>
    <w:rsid w:val="00480A2D"/>
    <w:rsid w:val="004821CC"/>
    <w:rsid w:val="00482ECB"/>
    <w:rsid w:val="004834A6"/>
    <w:rsid w:val="004837D4"/>
    <w:rsid w:val="00484E10"/>
    <w:rsid w:val="004850D9"/>
    <w:rsid w:val="004851FF"/>
    <w:rsid w:val="0048526C"/>
    <w:rsid w:val="0048588F"/>
    <w:rsid w:val="004861FF"/>
    <w:rsid w:val="00486E70"/>
    <w:rsid w:val="00487038"/>
    <w:rsid w:val="004907A7"/>
    <w:rsid w:val="00490862"/>
    <w:rsid w:val="00490D8B"/>
    <w:rsid w:val="00492963"/>
    <w:rsid w:val="00492DAE"/>
    <w:rsid w:val="004931E3"/>
    <w:rsid w:val="004951AA"/>
    <w:rsid w:val="00495449"/>
    <w:rsid w:val="004961BF"/>
    <w:rsid w:val="00497D73"/>
    <w:rsid w:val="004A103A"/>
    <w:rsid w:val="004A11DE"/>
    <w:rsid w:val="004A2688"/>
    <w:rsid w:val="004A30E5"/>
    <w:rsid w:val="004A324F"/>
    <w:rsid w:val="004A3D17"/>
    <w:rsid w:val="004A3E38"/>
    <w:rsid w:val="004A4351"/>
    <w:rsid w:val="004A4601"/>
    <w:rsid w:val="004A6683"/>
    <w:rsid w:val="004A7175"/>
    <w:rsid w:val="004B04C3"/>
    <w:rsid w:val="004B0607"/>
    <w:rsid w:val="004B089B"/>
    <w:rsid w:val="004B0C01"/>
    <w:rsid w:val="004B0F2E"/>
    <w:rsid w:val="004B2B6E"/>
    <w:rsid w:val="004B4B3E"/>
    <w:rsid w:val="004B6CC9"/>
    <w:rsid w:val="004B70A0"/>
    <w:rsid w:val="004B7DEA"/>
    <w:rsid w:val="004C0EC9"/>
    <w:rsid w:val="004C349C"/>
    <w:rsid w:val="004C35CB"/>
    <w:rsid w:val="004C483F"/>
    <w:rsid w:val="004C52FD"/>
    <w:rsid w:val="004C5337"/>
    <w:rsid w:val="004C53D4"/>
    <w:rsid w:val="004C554A"/>
    <w:rsid w:val="004C5967"/>
    <w:rsid w:val="004C5C57"/>
    <w:rsid w:val="004C61C5"/>
    <w:rsid w:val="004C6942"/>
    <w:rsid w:val="004C731D"/>
    <w:rsid w:val="004C790D"/>
    <w:rsid w:val="004C7D1E"/>
    <w:rsid w:val="004D0AE1"/>
    <w:rsid w:val="004D0F65"/>
    <w:rsid w:val="004D13A1"/>
    <w:rsid w:val="004D1659"/>
    <w:rsid w:val="004D2E90"/>
    <w:rsid w:val="004D2ED4"/>
    <w:rsid w:val="004D2F70"/>
    <w:rsid w:val="004D3BB4"/>
    <w:rsid w:val="004D478B"/>
    <w:rsid w:val="004D4B81"/>
    <w:rsid w:val="004D720F"/>
    <w:rsid w:val="004E0718"/>
    <w:rsid w:val="004E1359"/>
    <w:rsid w:val="004E2EC7"/>
    <w:rsid w:val="004E507D"/>
    <w:rsid w:val="004E6188"/>
    <w:rsid w:val="004F023A"/>
    <w:rsid w:val="004F02F0"/>
    <w:rsid w:val="004F0C90"/>
    <w:rsid w:val="004F2612"/>
    <w:rsid w:val="004F37BC"/>
    <w:rsid w:val="004F3B4C"/>
    <w:rsid w:val="004F4D02"/>
    <w:rsid w:val="004F4D04"/>
    <w:rsid w:val="004F5128"/>
    <w:rsid w:val="004F5130"/>
    <w:rsid w:val="004F53C2"/>
    <w:rsid w:val="004F6C23"/>
    <w:rsid w:val="004F767A"/>
    <w:rsid w:val="004F7D9E"/>
    <w:rsid w:val="004F7F89"/>
    <w:rsid w:val="0050170C"/>
    <w:rsid w:val="00506160"/>
    <w:rsid w:val="005068E0"/>
    <w:rsid w:val="0050692D"/>
    <w:rsid w:val="00506C1B"/>
    <w:rsid w:val="00506CA9"/>
    <w:rsid w:val="005079A4"/>
    <w:rsid w:val="00510010"/>
    <w:rsid w:val="0051057B"/>
    <w:rsid w:val="00511DDF"/>
    <w:rsid w:val="0051211B"/>
    <w:rsid w:val="005123FE"/>
    <w:rsid w:val="005126D7"/>
    <w:rsid w:val="005130A3"/>
    <w:rsid w:val="0051383D"/>
    <w:rsid w:val="00513BCB"/>
    <w:rsid w:val="00513ECA"/>
    <w:rsid w:val="00514687"/>
    <w:rsid w:val="00516AB2"/>
    <w:rsid w:val="00516CB5"/>
    <w:rsid w:val="00517959"/>
    <w:rsid w:val="00517AB4"/>
    <w:rsid w:val="00520231"/>
    <w:rsid w:val="0052051A"/>
    <w:rsid w:val="005209D0"/>
    <w:rsid w:val="00520ECF"/>
    <w:rsid w:val="00524F5B"/>
    <w:rsid w:val="00525775"/>
    <w:rsid w:val="005258FE"/>
    <w:rsid w:val="0052612F"/>
    <w:rsid w:val="0052745E"/>
    <w:rsid w:val="005275B2"/>
    <w:rsid w:val="00527630"/>
    <w:rsid w:val="0053009E"/>
    <w:rsid w:val="0053022A"/>
    <w:rsid w:val="005310E1"/>
    <w:rsid w:val="00531C8F"/>
    <w:rsid w:val="00533207"/>
    <w:rsid w:val="005353A5"/>
    <w:rsid w:val="00541A82"/>
    <w:rsid w:val="00542402"/>
    <w:rsid w:val="0054285B"/>
    <w:rsid w:val="00542E4E"/>
    <w:rsid w:val="00543456"/>
    <w:rsid w:val="0054550B"/>
    <w:rsid w:val="00545527"/>
    <w:rsid w:val="0054659D"/>
    <w:rsid w:val="00547BEA"/>
    <w:rsid w:val="00550A28"/>
    <w:rsid w:val="0055212A"/>
    <w:rsid w:val="005532E2"/>
    <w:rsid w:val="005533BC"/>
    <w:rsid w:val="00553DDA"/>
    <w:rsid w:val="00553E55"/>
    <w:rsid w:val="00554801"/>
    <w:rsid w:val="005549AD"/>
    <w:rsid w:val="0055605F"/>
    <w:rsid w:val="00556224"/>
    <w:rsid w:val="0055692D"/>
    <w:rsid w:val="00556BFF"/>
    <w:rsid w:val="0056203B"/>
    <w:rsid w:val="00562A0E"/>
    <w:rsid w:val="00563265"/>
    <w:rsid w:val="00566998"/>
    <w:rsid w:val="00567979"/>
    <w:rsid w:val="00567BAC"/>
    <w:rsid w:val="0057157E"/>
    <w:rsid w:val="00573389"/>
    <w:rsid w:val="00574715"/>
    <w:rsid w:val="00574BB1"/>
    <w:rsid w:val="0057566A"/>
    <w:rsid w:val="005756A8"/>
    <w:rsid w:val="00575728"/>
    <w:rsid w:val="00576F8D"/>
    <w:rsid w:val="00580F68"/>
    <w:rsid w:val="00582732"/>
    <w:rsid w:val="00582FDF"/>
    <w:rsid w:val="005839D3"/>
    <w:rsid w:val="00583DF4"/>
    <w:rsid w:val="00585E96"/>
    <w:rsid w:val="0058681B"/>
    <w:rsid w:val="0058731C"/>
    <w:rsid w:val="00587753"/>
    <w:rsid w:val="00591651"/>
    <w:rsid w:val="00592A3B"/>
    <w:rsid w:val="00593FCD"/>
    <w:rsid w:val="00594CDF"/>
    <w:rsid w:val="00594E42"/>
    <w:rsid w:val="00595663"/>
    <w:rsid w:val="00596C9B"/>
    <w:rsid w:val="00596EE8"/>
    <w:rsid w:val="00596FE3"/>
    <w:rsid w:val="0059760B"/>
    <w:rsid w:val="00597849"/>
    <w:rsid w:val="00597E5A"/>
    <w:rsid w:val="005A0669"/>
    <w:rsid w:val="005A085E"/>
    <w:rsid w:val="005A1D6F"/>
    <w:rsid w:val="005A2C98"/>
    <w:rsid w:val="005A2D43"/>
    <w:rsid w:val="005A387E"/>
    <w:rsid w:val="005A48FF"/>
    <w:rsid w:val="005A4BD9"/>
    <w:rsid w:val="005A5E64"/>
    <w:rsid w:val="005A6DEF"/>
    <w:rsid w:val="005B03F9"/>
    <w:rsid w:val="005B12B8"/>
    <w:rsid w:val="005B29AF"/>
    <w:rsid w:val="005B37A0"/>
    <w:rsid w:val="005B3B32"/>
    <w:rsid w:val="005B3D32"/>
    <w:rsid w:val="005B6094"/>
    <w:rsid w:val="005B68F4"/>
    <w:rsid w:val="005B6AEA"/>
    <w:rsid w:val="005B74FF"/>
    <w:rsid w:val="005C1CB9"/>
    <w:rsid w:val="005C1F3A"/>
    <w:rsid w:val="005C35B8"/>
    <w:rsid w:val="005C4753"/>
    <w:rsid w:val="005C475E"/>
    <w:rsid w:val="005C56BE"/>
    <w:rsid w:val="005C7824"/>
    <w:rsid w:val="005D0125"/>
    <w:rsid w:val="005D09F4"/>
    <w:rsid w:val="005D0A22"/>
    <w:rsid w:val="005D0C53"/>
    <w:rsid w:val="005D1553"/>
    <w:rsid w:val="005D175B"/>
    <w:rsid w:val="005D1908"/>
    <w:rsid w:val="005D261D"/>
    <w:rsid w:val="005D2625"/>
    <w:rsid w:val="005D2998"/>
    <w:rsid w:val="005D4137"/>
    <w:rsid w:val="005D4724"/>
    <w:rsid w:val="005D52BE"/>
    <w:rsid w:val="005D6D8F"/>
    <w:rsid w:val="005E0EE9"/>
    <w:rsid w:val="005E3F20"/>
    <w:rsid w:val="005E42EA"/>
    <w:rsid w:val="005E4FB7"/>
    <w:rsid w:val="005E64EB"/>
    <w:rsid w:val="005E6B87"/>
    <w:rsid w:val="005E765B"/>
    <w:rsid w:val="005F24BA"/>
    <w:rsid w:val="005F2DAF"/>
    <w:rsid w:val="005F3525"/>
    <w:rsid w:val="005F50C9"/>
    <w:rsid w:val="005F5413"/>
    <w:rsid w:val="005F6804"/>
    <w:rsid w:val="005F788B"/>
    <w:rsid w:val="005F7A16"/>
    <w:rsid w:val="00601827"/>
    <w:rsid w:val="00601E1C"/>
    <w:rsid w:val="00601EE9"/>
    <w:rsid w:val="00601EEA"/>
    <w:rsid w:val="006025A0"/>
    <w:rsid w:val="006041E1"/>
    <w:rsid w:val="00604F8F"/>
    <w:rsid w:val="006059ED"/>
    <w:rsid w:val="00606FB2"/>
    <w:rsid w:val="0060712A"/>
    <w:rsid w:val="00607A55"/>
    <w:rsid w:val="00607BF6"/>
    <w:rsid w:val="00607D7B"/>
    <w:rsid w:val="00610351"/>
    <w:rsid w:val="00611ABC"/>
    <w:rsid w:val="00612CFF"/>
    <w:rsid w:val="006131E1"/>
    <w:rsid w:val="006143E9"/>
    <w:rsid w:val="00614CE6"/>
    <w:rsid w:val="00615429"/>
    <w:rsid w:val="00615E5D"/>
    <w:rsid w:val="00616925"/>
    <w:rsid w:val="00616D32"/>
    <w:rsid w:val="00616E8D"/>
    <w:rsid w:val="006170C4"/>
    <w:rsid w:val="0062136B"/>
    <w:rsid w:val="0062165E"/>
    <w:rsid w:val="00621FA7"/>
    <w:rsid w:val="00622601"/>
    <w:rsid w:val="0062318B"/>
    <w:rsid w:val="006231EB"/>
    <w:rsid w:val="00623D17"/>
    <w:rsid w:val="00625110"/>
    <w:rsid w:val="00625FC0"/>
    <w:rsid w:val="006260FA"/>
    <w:rsid w:val="0062718F"/>
    <w:rsid w:val="00627C7B"/>
    <w:rsid w:val="00627E69"/>
    <w:rsid w:val="0063190F"/>
    <w:rsid w:val="0063346B"/>
    <w:rsid w:val="00633845"/>
    <w:rsid w:val="0063455A"/>
    <w:rsid w:val="00634F5A"/>
    <w:rsid w:val="006354DD"/>
    <w:rsid w:val="006366E5"/>
    <w:rsid w:val="0063681B"/>
    <w:rsid w:val="00636E60"/>
    <w:rsid w:val="00640CD9"/>
    <w:rsid w:val="00641A2C"/>
    <w:rsid w:val="006425A2"/>
    <w:rsid w:val="00642A98"/>
    <w:rsid w:val="00644264"/>
    <w:rsid w:val="0064556D"/>
    <w:rsid w:val="006464A9"/>
    <w:rsid w:val="0064739E"/>
    <w:rsid w:val="006502A4"/>
    <w:rsid w:val="0065046F"/>
    <w:rsid w:val="00650A50"/>
    <w:rsid w:val="00651354"/>
    <w:rsid w:val="0065240A"/>
    <w:rsid w:val="006533DC"/>
    <w:rsid w:val="006538A7"/>
    <w:rsid w:val="0065487C"/>
    <w:rsid w:val="006549D2"/>
    <w:rsid w:val="00655E33"/>
    <w:rsid w:val="00656E61"/>
    <w:rsid w:val="0065718E"/>
    <w:rsid w:val="0065738A"/>
    <w:rsid w:val="0065783C"/>
    <w:rsid w:val="00657E40"/>
    <w:rsid w:val="0066059F"/>
    <w:rsid w:val="006605EA"/>
    <w:rsid w:val="00661664"/>
    <w:rsid w:val="00661E57"/>
    <w:rsid w:val="00662998"/>
    <w:rsid w:val="0066438E"/>
    <w:rsid w:val="00664BD6"/>
    <w:rsid w:val="00664F00"/>
    <w:rsid w:val="0066533A"/>
    <w:rsid w:val="00665699"/>
    <w:rsid w:val="00665F02"/>
    <w:rsid w:val="0066664D"/>
    <w:rsid w:val="00666D36"/>
    <w:rsid w:val="006671B5"/>
    <w:rsid w:val="006717D8"/>
    <w:rsid w:val="00672D69"/>
    <w:rsid w:val="006739D4"/>
    <w:rsid w:val="00674C8F"/>
    <w:rsid w:val="0067503E"/>
    <w:rsid w:val="00675859"/>
    <w:rsid w:val="00675FD2"/>
    <w:rsid w:val="00676296"/>
    <w:rsid w:val="0068039E"/>
    <w:rsid w:val="00680F51"/>
    <w:rsid w:val="00680F6C"/>
    <w:rsid w:val="00683088"/>
    <w:rsid w:val="00683426"/>
    <w:rsid w:val="00683868"/>
    <w:rsid w:val="006841C3"/>
    <w:rsid w:val="006850A2"/>
    <w:rsid w:val="006853ED"/>
    <w:rsid w:val="0068555D"/>
    <w:rsid w:val="006859DD"/>
    <w:rsid w:val="00686350"/>
    <w:rsid w:val="006873C9"/>
    <w:rsid w:val="00687C73"/>
    <w:rsid w:val="006907D5"/>
    <w:rsid w:val="00690893"/>
    <w:rsid w:val="00690C1C"/>
    <w:rsid w:val="00691980"/>
    <w:rsid w:val="0069340A"/>
    <w:rsid w:val="0069342F"/>
    <w:rsid w:val="00693712"/>
    <w:rsid w:val="00693C81"/>
    <w:rsid w:val="00693DEA"/>
    <w:rsid w:val="00693F6D"/>
    <w:rsid w:val="00694BBD"/>
    <w:rsid w:val="00694D1A"/>
    <w:rsid w:val="00694E6A"/>
    <w:rsid w:val="00695BE6"/>
    <w:rsid w:val="00697741"/>
    <w:rsid w:val="00697749"/>
    <w:rsid w:val="006A2624"/>
    <w:rsid w:val="006A2E89"/>
    <w:rsid w:val="006A2F1A"/>
    <w:rsid w:val="006A3AA4"/>
    <w:rsid w:val="006A3BF7"/>
    <w:rsid w:val="006A47D8"/>
    <w:rsid w:val="006A5C4E"/>
    <w:rsid w:val="006A69E6"/>
    <w:rsid w:val="006A6F92"/>
    <w:rsid w:val="006A719F"/>
    <w:rsid w:val="006A78FC"/>
    <w:rsid w:val="006B0BE6"/>
    <w:rsid w:val="006B0E81"/>
    <w:rsid w:val="006B15E7"/>
    <w:rsid w:val="006B1CD9"/>
    <w:rsid w:val="006B3B7F"/>
    <w:rsid w:val="006B4A75"/>
    <w:rsid w:val="006B639E"/>
    <w:rsid w:val="006B6E65"/>
    <w:rsid w:val="006B70C8"/>
    <w:rsid w:val="006C1A9C"/>
    <w:rsid w:val="006C232D"/>
    <w:rsid w:val="006C4969"/>
    <w:rsid w:val="006C612A"/>
    <w:rsid w:val="006D06DD"/>
    <w:rsid w:val="006D0A8D"/>
    <w:rsid w:val="006D0F2D"/>
    <w:rsid w:val="006D1701"/>
    <w:rsid w:val="006D2E09"/>
    <w:rsid w:val="006D3ED1"/>
    <w:rsid w:val="006D4F79"/>
    <w:rsid w:val="006D5877"/>
    <w:rsid w:val="006D5917"/>
    <w:rsid w:val="006E0309"/>
    <w:rsid w:val="006E066B"/>
    <w:rsid w:val="006E09B8"/>
    <w:rsid w:val="006E1FBD"/>
    <w:rsid w:val="006E22D0"/>
    <w:rsid w:val="006E2BD9"/>
    <w:rsid w:val="006E4E43"/>
    <w:rsid w:val="006E5251"/>
    <w:rsid w:val="006E579A"/>
    <w:rsid w:val="006E5AC8"/>
    <w:rsid w:val="006E7C7F"/>
    <w:rsid w:val="006F09B4"/>
    <w:rsid w:val="006F0DEA"/>
    <w:rsid w:val="006F2273"/>
    <w:rsid w:val="006F2CDA"/>
    <w:rsid w:val="006F4FFD"/>
    <w:rsid w:val="006F78A5"/>
    <w:rsid w:val="006F7918"/>
    <w:rsid w:val="00700CCC"/>
    <w:rsid w:val="0070347A"/>
    <w:rsid w:val="00704122"/>
    <w:rsid w:val="007043FF"/>
    <w:rsid w:val="00705D45"/>
    <w:rsid w:val="007071AB"/>
    <w:rsid w:val="00707857"/>
    <w:rsid w:val="0070789F"/>
    <w:rsid w:val="007112A5"/>
    <w:rsid w:val="00711C4F"/>
    <w:rsid w:val="00713520"/>
    <w:rsid w:val="00713C13"/>
    <w:rsid w:val="00714585"/>
    <w:rsid w:val="007216FD"/>
    <w:rsid w:val="00721766"/>
    <w:rsid w:val="00722382"/>
    <w:rsid w:val="007226DE"/>
    <w:rsid w:val="007227C3"/>
    <w:rsid w:val="00724ADD"/>
    <w:rsid w:val="007259B3"/>
    <w:rsid w:val="00726274"/>
    <w:rsid w:val="00730F4E"/>
    <w:rsid w:val="00731460"/>
    <w:rsid w:val="00731A39"/>
    <w:rsid w:val="0073265F"/>
    <w:rsid w:val="00732BFD"/>
    <w:rsid w:val="00732F3E"/>
    <w:rsid w:val="0073326A"/>
    <w:rsid w:val="00734FD1"/>
    <w:rsid w:val="00735B02"/>
    <w:rsid w:val="00735F52"/>
    <w:rsid w:val="00736BA1"/>
    <w:rsid w:val="00740607"/>
    <w:rsid w:val="007412BD"/>
    <w:rsid w:val="00741A6A"/>
    <w:rsid w:val="0074382A"/>
    <w:rsid w:val="00743D12"/>
    <w:rsid w:val="0074409A"/>
    <w:rsid w:val="007453BA"/>
    <w:rsid w:val="007456C7"/>
    <w:rsid w:val="00746B91"/>
    <w:rsid w:val="00747DBD"/>
    <w:rsid w:val="00750644"/>
    <w:rsid w:val="00750845"/>
    <w:rsid w:val="00753176"/>
    <w:rsid w:val="0075545D"/>
    <w:rsid w:val="00755626"/>
    <w:rsid w:val="007566A0"/>
    <w:rsid w:val="00760AB6"/>
    <w:rsid w:val="00761B11"/>
    <w:rsid w:val="007620D2"/>
    <w:rsid w:val="0076249D"/>
    <w:rsid w:val="00762C7D"/>
    <w:rsid w:val="00763141"/>
    <w:rsid w:val="00763E24"/>
    <w:rsid w:val="0076494A"/>
    <w:rsid w:val="007649BA"/>
    <w:rsid w:val="00765078"/>
    <w:rsid w:val="007655D7"/>
    <w:rsid w:val="007657A2"/>
    <w:rsid w:val="00765D4E"/>
    <w:rsid w:val="007664E1"/>
    <w:rsid w:val="00766B84"/>
    <w:rsid w:val="00767965"/>
    <w:rsid w:val="00770648"/>
    <w:rsid w:val="007706FA"/>
    <w:rsid w:val="00771760"/>
    <w:rsid w:val="007718FD"/>
    <w:rsid w:val="00771ED9"/>
    <w:rsid w:val="00772D50"/>
    <w:rsid w:val="00773AFD"/>
    <w:rsid w:val="007743E4"/>
    <w:rsid w:val="0077456F"/>
    <w:rsid w:val="00774EEB"/>
    <w:rsid w:val="00774FC5"/>
    <w:rsid w:val="00775423"/>
    <w:rsid w:val="00775A43"/>
    <w:rsid w:val="00776B66"/>
    <w:rsid w:val="0077757F"/>
    <w:rsid w:val="00777676"/>
    <w:rsid w:val="00777CFB"/>
    <w:rsid w:val="007801CF"/>
    <w:rsid w:val="007824A2"/>
    <w:rsid w:val="00782BE1"/>
    <w:rsid w:val="00783A0B"/>
    <w:rsid w:val="007841AD"/>
    <w:rsid w:val="00784237"/>
    <w:rsid w:val="007857FF"/>
    <w:rsid w:val="00786A2B"/>
    <w:rsid w:val="00786EB1"/>
    <w:rsid w:val="00787383"/>
    <w:rsid w:val="00791447"/>
    <w:rsid w:val="00791B0C"/>
    <w:rsid w:val="00791BB0"/>
    <w:rsid w:val="0079200A"/>
    <w:rsid w:val="00792AAF"/>
    <w:rsid w:val="00792F2D"/>
    <w:rsid w:val="007933DE"/>
    <w:rsid w:val="0079556E"/>
    <w:rsid w:val="0079593E"/>
    <w:rsid w:val="007962AD"/>
    <w:rsid w:val="007A1738"/>
    <w:rsid w:val="007A1D54"/>
    <w:rsid w:val="007A23FC"/>
    <w:rsid w:val="007A26C3"/>
    <w:rsid w:val="007A2DC0"/>
    <w:rsid w:val="007A319A"/>
    <w:rsid w:val="007A35C1"/>
    <w:rsid w:val="007A589B"/>
    <w:rsid w:val="007A5A7E"/>
    <w:rsid w:val="007A5C24"/>
    <w:rsid w:val="007A5CE2"/>
    <w:rsid w:val="007A7099"/>
    <w:rsid w:val="007A76E7"/>
    <w:rsid w:val="007B0B48"/>
    <w:rsid w:val="007B2115"/>
    <w:rsid w:val="007B3E21"/>
    <w:rsid w:val="007B44B1"/>
    <w:rsid w:val="007B5395"/>
    <w:rsid w:val="007C0615"/>
    <w:rsid w:val="007C0AAD"/>
    <w:rsid w:val="007C0D45"/>
    <w:rsid w:val="007C3549"/>
    <w:rsid w:val="007C4C73"/>
    <w:rsid w:val="007C5BA3"/>
    <w:rsid w:val="007C6363"/>
    <w:rsid w:val="007C65F2"/>
    <w:rsid w:val="007D006B"/>
    <w:rsid w:val="007D0105"/>
    <w:rsid w:val="007D094B"/>
    <w:rsid w:val="007D14CF"/>
    <w:rsid w:val="007D1DD5"/>
    <w:rsid w:val="007D272A"/>
    <w:rsid w:val="007D39EF"/>
    <w:rsid w:val="007D49E0"/>
    <w:rsid w:val="007D4A82"/>
    <w:rsid w:val="007D5508"/>
    <w:rsid w:val="007D5634"/>
    <w:rsid w:val="007D5E5E"/>
    <w:rsid w:val="007D69D8"/>
    <w:rsid w:val="007D7244"/>
    <w:rsid w:val="007E1D5D"/>
    <w:rsid w:val="007E20EB"/>
    <w:rsid w:val="007E4203"/>
    <w:rsid w:val="007E537A"/>
    <w:rsid w:val="007E54B1"/>
    <w:rsid w:val="007E646A"/>
    <w:rsid w:val="007E653F"/>
    <w:rsid w:val="007E69B6"/>
    <w:rsid w:val="007E6DD0"/>
    <w:rsid w:val="007E7C3F"/>
    <w:rsid w:val="007E7F39"/>
    <w:rsid w:val="007F090A"/>
    <w:rsid w:val="007F1B35"/>
    <w:rsid w:val="007F347A"/>
    <w:rsid w:val="007F4A1D"/>
    <w:rsid w:val="007F667E"/>
    <w:rsid w:val="007F7AC2"/>
    <w:rsid w:val="008009C0"/>
    <w:rsid w:val="008013AC"/>
    <w:rsid w:val="008019A3"/>
    <w:rsid w:val="00801B43"/>
    <w:rsid w:val="008024A9"/>
    <w:rsid w:val="00803F05"/>
    <w:rsid w:val="008049E8"/>
    <w:rsid w:val="008061F2"/>
    <w:rsid w:val="00806AE0"/>
    <w:rsid w:val="00806B87"/>
    <w:rsid w:val="00807644"/>
    <w:rsid w:val="00807822"/>
    <w:rsid w:val="008127D4"/>
    <w:rsid w:val="0081327D"/>
    <w:rsid w:val="00813E80"/>
    <w:rsid w:val="008154B7"/>
    <w:rsid w:val="00815D9F"/>
    <w:rsid w:val="008177B5"/>
    <w:rsid w:val="0082063D"/>
    <w:rsid w:val="00820F4B"/>
    <w:rsid w:val="00823035"/>
    <w:rsid w:val="00823944"/>
    <w:rsid w:val="00823DA9"/>
    <w:rsid w:val="008241B0"/>
    <w:rsid w:val="00826938"/>
    <w:rsid w:val="008274C3"/>
    <w:rsid w:val="00830D45"/>
    <w:rsid w:val="008323BE"/>
    <w:rsid w:val="00832C2E"/>
    <w:rsid w:val="00832FE4"/>
    <w:rsid w:val="00833843"/>
    <w:rsid w:val="008345FD"/>
    <w:rsid w:val="008360A2"/>
    <w:rsid w:val="00840904"/>
    <w:rsid w:val="008412CA"/>
    <w:rsid w:val="00841FCA"/>
    <w:rsid w:val="008474E1"/>
    <w:rsid w:val="008474F5"/>
    <w:rsid w:val="00847BB8"/>
    <w:rsid w:val="008509DE"/>
    <w:rsid w:val="00850D9B"/>
    <w:rsid w:val="0085160B"/>
    <w:rsid w:val="00851ACE"/>
    <w:rsid w:val="00851FE7"/>
    <w:rsid w:val="00852B43"/>
    <w:rsid w:val="00854BFE"/>
    <w:rsid w:val="008560AB"/>
    <w:rsid w:val="008568C2"/>
    <w:rsid w:val="00857A3B"/>
    <w:rsid w:val="00857F50"/>
    <w:rsid w:val="008608EB"/>
    <w:rsid w:val="008615C1"/>
    <w:rsid w:val="008624AB"/>
    <w:rsid w:val="00864D91"/>
    <w:rsid w:val="00864E1A"/>
    <w:rsid w:val="00865B9D"/>
    <w:rsid w:val="00866250"/>
    <w:rsid w:val="00866D23"/>
    <w:rsid w:val="00866F91"/>
    <w:rsid w:val="00866FA5"/>
    <w:rsid w:val="00867891"/>
    <w:rsid w:val="00870E33"/>
    <w:rsid w:val="00870EEE"/>
    <w:rsid w:val="00871E3F"/>
    <w:rsid w:val="0087355A"/>
    <w:rsid w:val="00875E2B"/>
    <w:rsid w:val="008766A3"/>
    <w:rsid w:val="00881145"/>
    <w:rsid w:val="00881589"/>
    <w:rsid w:val="0088371E"/>
    <w:rsid w:val="00884D0E"/>
    <w:rsid w:val="0088579E"/>
    <w:rsid w:val="00885E30"/>
    <w:rsid w:val="00886BC5"/>
    <w:rsid w:val="00886F97"/>
    <w:rsid w:val="00891056"/>
    <w:rsid w:val="008937A3"/>
    <w:rsid w:val="0089388B"/>
    <w:rsid w:val="00893972"/>
    <w:rsid w:val="00894047"/>
    <w:rsid w:val="008946CC"/>
    <w:rsid w:val="00894932"/>
    <w:rsid w:val="0089517C"/>
    <w:rsid w:val="00895A6B"/>
    <w:rsid w:val="00897788"/>
    <w:rsid w:val="008A071D"/>
    <w:rsid w:val="008A0788"/>
    <w:rsid w:val="008A1125"/>
    <w:rsid w:val="008A183A"/>
    <w:rsid w:val="008A22DD"/>
    <w:rsid w:val="008A2651"/>
    <w:rsid w:val="008A26AD"/>
    <w:rsid w:val="008A2863"/>
    <w:rsid w:val="008A291F"/>
    <w:rsid w:val="008A29AD"/>
    <w:rsid w:val="008A2B55"/>
    <w:rsid w:val="008A3D80"/>
    <w:rsid w:val="008A3F1F"/>
    <w:rsid w:val="008A3F3D"/>
    <w:rsid w:val="008A5961"/>
    <w:rsid w:val="008A6B05"/>
    <w:rsid w:val="008A6B47"/>
    <w:rsid w:val="008A7A26"/>
    <w:rsid w:val="008B1586"/>
    <w:rsid w:val="008B1CE5"/>
    <w:rsid w:val="008B2811"/>
    <w:rsid w:val="008B42C2"/>
    <w:rsid w:val="008B46AB"/>
    <w:rsid w:val="008B5351"/>
    <w:rsid w:val="008B66B7"/>
    <w:rsid w:val="008B7A6B"/>
    <w:rsid w:val="008C05CD"/>
    <w:rsid w:val="008C1538"/>
    <w:rsid w:val="008C1720"/>
    <w:rsid w:val="008C594B"/>
    <w:rsid w:val="008C6422"/>
    <w:rsid w:val="008C6514"/>
    <w:rsid w:val="008C6843"/>
    <w:rsid w:val="008C6C01"/>
    <w:rsid w:val="008C75A1"/>
    <w:rsid w:val="008C779D"/>
    <w:rsid w:val="008C7A16"/>
    <w:rsid w:val="008D0C67"/>
    <w:rsid w:val="008D32BC"/>
    <w:rsid w:val="008D3921"/>
    <w:rsid w:val="008D46C0"/>
    <w:rsid w:val="008D73E1"/>
    <w:rsid w:val="008D7CE1"/>
    <w:rsid w:val="008E2BC3"/>
    <w:rsid w:val="008E2D09"/>
    <w:rsid w:val="008E3C93"/>
    <w:rsid w:val="008E4574"/>
    <w:rsid w:val="008E5735"/>
    <w:rsid w:val="008E61C0"/>
    <w:rsid w:val="008E6BDE"/>
    <w:rsid w:val="008E6F06"/>
    <w:rsid w:val="008F108E"/>
    <w:rsid w:val="008F2CC0"/>
    <w:rsid w:val="008F2EE8"/>
    <w:rsid w:val="008F345B"/>
    <w:rsid w:val="008F35CC"/>
    <w:rsid w:val="008F3C69"/>
    <w:rsid w:val="008F4FF2"/>
    <w:rsid w:val="008F6356"/>
    <w:rsid w:val="009005DE"/>
    <w:rsid w:val="0090168C"/>
    <w:rsid w:val="009037CA"/>
    <w:rsid w:val="00904831"/>
    <w:rsid w:val="009074DC"/>
    <w:rsid w:val="00907625"/>
    <w:rsid w:val="00907638"/>
    <w:rsid w:val="00911A47"/>
    <w:rsid w:val="00913F92"/>
    <w:rsid w:val="00915163"/>
    <w:rsid w:val="009154C9"/>
    <w:rsid w:val="00916555"/>
    <w:rsid w:val="00917116"/>
    <w:rsid w:val="009177BC"/>
    <w:rsid w:val="00917CBA"/>
    <w:rsid w:val="00917D42"/>
    <w:rsid w:val="00920328"/>
    <w:rsid w:val="00920C11"/>
    <w:rsid w:val="00921324"/>
    <w:rsid w:val="00921886"/>
    <w:rsid w:val="009231CF"/>
    <w:rsid w:val="00924509"/>
    <w:rsid w:val="00927FDD"/>
    <w:rsid w:val="0093039C"/>
    <w:rsid w:val="009315C7"/>
    <w:rsid w:val="009317F7"/>
    <w:rsid w:val="0093307C"/>
    <w:rsid w:val="00933B61"/>
    <w:rsid w:val="009355CD"/>
    <w:rsid w:val="0093764E"/>
    <w:rsid w:val="00937D72"/>
    <w:rsid w:val="009413CC"/>
    <w:rsid w:val="0094213A"/>
    <w:rsid w:val="0094271A"/>
    <w:rsid w:val="0094323E"/>
    <w:rsid w:val="00944BEF"/>
    <w:rsid w:val="00944C32"/>
    <w:rsid w:val="0094537C"/>
    <w:rsid w:val="0094589F"/>
    <w:rsid w:val="00945EDE"/>
    <w:rsid w:val="00946E57"/>
    <w:rsid w:val="009512A0"/>
    <w:rsid w:val="00954327"/>
    <w:rsid w:val="00955746"/>
    <w:rsid w:val="00955B15"/>
    <w:rsid w:val="00957362"/>
    <w:rsid w:val="00957D46"/>
    <w:rsid w:val="00957FA2"/>
    <w:rsid w:val="009609F5"/>
    <w:rsid w:val="00961C62"/>
    <w:rsid w:val="0096274C"/>
    <w:rsid w:val="00962977"/>
    <w:rsid w:val="00964075"/>
    <w:rsid w:val="009641AA"/>
    <w:rsid w:val="00964759"/>
    <w:rsid w:val="009653AF"/>
    <w:rsid w:val="00965D5B"/>
    <w:rsid w:val="00966400"/>
    <w:rsid w:val="00966BB9"/>
    <w:rsid w:val="009673AC"/>
    <w:rsid w:val="0097055C"/>
    <w:rsid w:val="00970EEF"/>
    <w:rsid w:val="0097253A"/>
    <w:rsid w:val="00972F90"/>
    <w:rsid w:val="009738C9"/>
    <w:rsid w:val="00973AB8"/>
    <w:rsid w:val="009753F2"/>
    <w:rsid w:val="009764AE"/>
    <w:rsid w:val="00977055"/>
    <w:rsid w:val="009802F9"/>
    <w:rsid w:val="00980FFF"/>
    <w:rsid w:val="00982370"/>
    <w:rsid w:val="00982787"/>
    <w:rsid w:val="009833ED"/>
    <w:rsid w:val="009841AD"/>
    <w:rsid w:val="00984290"/>
    <w:rsid w:val="00984B0A"/>
    <w:rsid w:val="00984C89"/>
    <w:rsid w:val="00986D08"/>
    <w:rsid w:val="00987325"/>
    <w:rsid w:val="00987AE0"/>
    <w:rsid w:val="009908BE"/>
    <w:rsid w:val="00992265"/>
    <w:rsid w:val="0099337B"/>
    <w:rsid w:val="00993721"/>
    <w:rsid w:val="00994043"/>
    <w:rsid w:val="00994C26"/>
    <w:rsid w:val="00995B9D"/>
    <w:rsid w:val="00995F58"/>
    <w:rsid w:val="0099609F"/>
    <w:rsid w:val="00996125"/>
    <w:rsid w:val="0099693C"/>
    <w:rsid w:val="009969C7"/>
    <w:rsid w:val="00996A79"/>
    <w:rsid w:val="009A0E2C"/>
    <w:rsid w:val="009A110E"/>
    <w:rsid w:val="009A1435"/>
    <w:rsid w:val="009A2297"/>
    <w:rsid w:val="009A229D"/>
    <w:rsid w:val="009A2AEE"/>
    <w:rsid w:val="009A35F4"/>
    <w:rsid w:val="009A36EB"/>
    <w:rsid w:val="009A5D04"/>
    <w:rsid w:val="009A5D91"/>
    <w:rsid w:val="009A5E84"/>
    <w:rsid w:val="009A606B"/>
    <w:rsid w:val="009A7F42"/>
    <w:rsid w:val="009B0958"/>
    <w:rsid w:val="009B39BE"/>
    <w:rsid w:val="009B4804"/>
    <w:rsid w:val="009B4FC7"/>
    <w:rsid w:val="009B5174"/>
    <w:rsid w:val="009B5A96"/>
    <w:rsid w:val="009B5D62"/>
    <w:rsid w:val="009B6855"/>
    <w:rsid w:val="009B6E03"/>
    <w:rsid w:val="009B70D9"/>
    <w:rsid w:val="009C10F8"/>
    <w:rsid w:val="009C1CC9"/>
    <w:rsid w:val="009C26DD"/>
    <w:rsid w:val="009C5B2C"/>
    <w:rsid w:val="009C61C5"/>
    <w:rsid w:val="009C65C1"/>
    <w:rsid w:val="009C689B"/>
    <w:rsid w:val="009C75C9"/>
    <w:rsid w:val="009C7DED"/>
    <w:rsid w:val="009D136D"/>
    <w:rsid w:val="009D2167"/>
    <w:rsid w:val="009D278C"/>
    <w:rsid w:val="009D2805"/>
    <w:rsid w:val="009D3544"/>
    <w:rsid w:val="009D65AB"/>
    <w:rsid w:val="009D6A45"/>
    <w:rsid w:val="009D7BDF"/>
    <w:rsid w:val="009E0D6B"/>
    <w:rsid w:val="009E1270"/>
    <w:rsid w:val="009E14EE"/>
    <w:rsid w:val="009E4EA7"/>
    <w:rsid w:val="009E52EF"/>
    <w:rsid w:val="009E5D45"/>
    <w:rsid w:val="009E6E53"/>
    <w:rsid w:val="009E7F8D"/>
    <w:rsid w:val="009F032A"/>
    <w:rsid w:val="009F110C"/>
    <w:rsid w:val="009F3C75"/>
    <w:rsid w:val="009F3F56"/>
    <w:rsid w:val="009F475A"/>
    <w:rsid w:val="009F5EDA"/>
    <w:rsid w:val="009F6320"/>
    <w:rsid w:val="009F6D07"/>
    <w:rsid w:val="009F752F"/>
    <w:rsid w:val="009F782B"/>
    <w:rsid w:val="009F78D5"/>
    <w:rsid w:val="00A003D1"/>
    <w:rsid w:val="00A010A9"/>
    <w:rsid w:val="00A0318B"/>
    <w:rsid w:val="00A0357E"/>
    <w:rsid w:val="00A03F1E"/>
    <w:rsid w:val="00A04226"/>
    <w:rsid w:val="00A044B1"/>
    <w:rsid w:val="00A04964"/>
    <w:rsid w:val="00A06D6B"/>
    <w:rsid w:val="00A1044F"/>
    <w:rsid w:val="00A109FD"/>
    <w:rsid w:val="00A10F22"/>
    <w:rsid w:val="00A116CB"/>
    <w:rsid w:val="00A1201E"/>
    <w:rsid w:val="00A12658"/>
    <w:rsid w:val="00A1272A"/>
    <w:rsid w:val="00A14311"/>
    <w:rsid w:val="00A15ACC"/>
    <w:rsid w:val="00A162ED"/>
    <w:rsid w:val="00A1657C"/>
    <w:rsid w:val="00A17019"/>
    <w:rsid w:val="00A206CB"/>
    <w:rsid w:val="00A241A0"/>
    <w:rsid w:val="00A24888"/>
    <w:rsid w:val="00A24A9E"/>
    <w:rsid w:val="00A24C23"/>
    <w:rsid w:val="00A26FEB"/>
    <w:rsid w:val="00A27262"/>
    <w:rsid w:val="00A27F72"/>
    <w:rsid w:val="00A309E9"/>
    <w:rsid w:val="00A31620"/>
    <w:rsid w:val="00A318B1"/>
    <w:rsid w:val="00A3319D"/>
    <w:rsid w:val="00A339B0"/>
    <w:rsid w:val="00A34072"/>
    <w:rsid w:val="00A343E2"/>
    <w:rsid w:val="00A372CE"/>
    <w:rsid w:val="00A3769F"/>
    <w:rsid w:val="00A37E98"/>
    <w:rsid w:val="00A40769"/>
    <w:rsid w:val="00A40B74"/>
    <w:rsid w:val="00A40CE6"/>
    <w:rsid w:val="00A41BD2"/>
    <w:rsid w:val="00A422E3"/>
    <w:rsid w:val="00A42D0E"/>
    <w:rsid w:val="00A43BA2"/>
    <w:rsid w:val="00A45D3E"/>
    <w:rsid w:val="00A45FDE"/>
    <w:rsid w:val="00A464A5"/>
    <w:rsid w:val="00A46D72"/>
    <w:rsid w:val="00A4706A"/>
    <w:rsid w:val="00A50FF7"/>
    <w:rsid w:val="00A5156C"/>
    <w:rsid w:val="00A51671"/>
    <w:rsid w:val="00A53779"/>
    <w:rsid w:val="00A5380A"/>
    <w:rsid w:val="00A5404E"/>
    <w:rsid w:val="00A5519B"/>
    <w:rsid w:val="00A56C7E"/>
    <w:rsid w:val="00A5731C"/>
    <w:rsid w:val="00A579D1"/>
    <w:rsid w:val="00A60478"/>
    <w:rsid w:val="00A620EC"/>
    <w:rsid w:val="00A62458"/>
    <w:rsid w:val="00A63CF3"/>
    <w:rsid w:val="00A64B22"/>
    <w:rsid w:val="00A65979"/>
    <w:rsid w:val="00A66B15"/>
    <w:rsid w:val="00A66B72"/>
    <w:rsid w:val="00A677B4"/>
    <w:rsid w:val="00A67FA1"/>
    <w:rsid w:val="00A7333E"/>
    <w:rsid w:val="00A746D2"/>
    <w:rsid w:val="00A747E9"/>
    <w:rsid w:val="00A76402"/>
    <w:rsid w:val="00A76669"/>
    <w:rsid w:val="00A77B77"/>
    <w:rsid w:val="00A77C02"/>
    <w:rsid w:val="00A817FC"/>
    <w:rsid w:val="00A818B5"/>
    <w:rsid w:val="00A81B3C"/>
    <w:rsid w:val="00A820DF"/>
    <w:rsid w:val="00A820FB"/>
    <w:rsid w:val="00A82B2A"/>
    <w:rsid w:val="00A83248"/>
    <w:rsid w:val="00A838BF"/>
    <w:rsid w:val="00A84BB8"/>
    <w:rsid w:val="00A913F1"/>
    <w:rsid w:val="00A9330B"/>
    <w:rsid w:val="00A938A1"/>
    <w:rsid w:val="00A93C07"/>
    <w:rsid w:val="00A93D6C"/>
    <w:rsid w:val="00A93E1B"/>
    <w:rsid w:val="00A95BE5"/>
    <w:rsid w:val="00A95DAF"/>
    <w:rsid w:val="00A96715"/>
    <w:rsid w:val="00A967CA"/>
    <w:rsid w:val="00AA096F"/>
    <w:rsid w:val="00AA1886"/>
    <w:rsid w:val="00AA1EA2"/>
    <w:rsid w:val="00AA3297"/>
    <w:rsid w:val="00AA3BA0"/>
    <w:rsid w:val="00AA3C4F"/>
    <w:rsid w:val="00AA576D"/>
    <w:rsid w:val="00AA6C90"/>
    <w:rsid w:val="00AA6F77"/>
    <w:rsid w:val="00AB13C4"/>
    <w:rsid w:val="00AB1E1B"/>
    <w:rsid w:val="00AB32E3"/>
    <w:rsid w:val="00AB4F53"/>
    <w:rsid w:val="00AB6D43"/>
    <w:rsid w:val="00AC0267"/>
    <w:rsid w:val="00AC1537"/>
    <w:rsid w:val="00AC1942"/>
    <w:rsid w:val="00AC1A94"/>
    <w:rsid w:val="00AC1F0A"/>
    <w:rsid w:val="00AC1F8B"/>
    <w:rsid w:val="00AC2706"/>
    <w:rsid w:val="00AC3697"/>
    <w:rsid w:val="00AC3FB7"/>
    <w:rsid w:val="00AC47EE"/>
    <w:rsid w:val="00AC566A"/>
    <w:rsid w:val="00AC6083"/>
    <w:rsid w:val="00AC791C"/>
    <w:rsid w:val="00AD04EE"/>
    <w:rsid w:val="00AD0717"/>
    <w:rsid w:val="00AD0AD2"/>
    <w:rsid w:val="00AD0D3D"/>
    <w:rsid w:val="00AD0E59"/>
    <w:rsid w:val="00AD12C3"/>
    <w:rsid w:val="00AD2EDD"/>
    <w:rsid w:val="00AD3A27"/>
    <w:rsid w:val="00AD411F"/>
    <w:rsid w:val="00AD427C"/>
    <w:rsid w:val="00AD4544"/>
    <w:rsid w:val="00AD6AA7"/>
    <w:rsid w:val="00AD6B7D"/>
    <w:rsid w:val="00AD7403"/>
    <w:rsid w:val="00AE01EE"/>
    <w:rsid w:val="00AE07DE"/>
    <w:rsid w:val="00AE1698"/>
    <w:rsid w:val="00AE3A0A"/>
    <w:rsid w:val="00AE4601"/>
    <w:rsid w:val="00AE48A0"/>
    <w:rsid w:val="00AE5C45"/>
    <w:rsid w:val="00AE5F4D"/>
    <w:rsid w:val="00AF1BB7"/>
    <w:rsid w:val="00AF1C72"/>
    <w:rsid w:val="00AF1F02"/>
    <w:rsid w:val="00AF2D8F"/>
    <w:rsid w:val="00AF316D"/>
    <w:rsid w:val="00AF3581"/>
    <w:rsid w:val="00AF746C"/>
    <w:rsid w:val="00AF7656"/>
    <w:rsid w:val="00B00592"/>
    <w:rsid w:val="00B02A6B"/>
    <w:rsid w:val="00B02B8A"/>
    <w:rsid w:val="00B05DA0"/>
    <w:rsid w:val="00B07B64"/>
    <w:rsid w:val="00B11167"/>
    <w:rsid w:val="00B11CA2"/>
    <w:rsid w:val="00B132F5"/>
    <w:rsid w:val="00B137D3"/>
    <w:rsid w:val="00B144DA"/>
    <w:rsid w:val="00B144F3"/>
    <w:rsid w:val="00B15162"/>
    <w:rsid w:val="00B20CD1"/>
    <w:rsid w:val="00B21B8E"/>
    <w:rsid w:val="00B21E6B"/>
    <w:rsid w:val="00B22215"/>
    <w:rsid w:val="00B230FB"/>
    <w:rsid w:val="00B23300"/>
    <w:rsid w:val="00B2392F"/>
    <w:rsid w:val="00B2433B"/>
    <w:rsid w:val="00B252D4"/>
    <w:rsid w:val="00B26BA4"/>
    <w:rsid w:val="00B30D2B"/>
    <w:rsid w:val="00B320D5"/>
    <w:rsid w:val="00B32ED8"/>
    <w:rsid w:val="00B330E5"/>
    <w:rsid w:val="00B337A5"/>
    <w:rsid w:val="00B353DF"/>
    <w:rsid w:val="00B35DB9"/>
    <w:rsid w:val="00B36A72"/>
    <w:rsid w:val="00B37FED"/>
    <w:rsid w:val="00B4170D"/>
    <w:rsid w:val="00B418AC"/>
    <w:rsid w:val="00B427B8"/>
    <w:rsid w:val="00B42F28"/>
    <w:rsid w:val="00B44103"/>
    <w:rsid w:val="00B44360"/>
    <w:rsid w:val="00B44D15"/>
    <w:rsid w:val="00B44DC5"/>
    <w:rsid w:val="00B44F60"/>
    <w:rsid w:val="00B454BA"/>
    <w:rsid w:val="00B45547"/>
    <w:rsid w:val="00B45F97"/>
    <w:rsid w:val="00B47A6E"/>
    <w:rsid w:val="00B51AB8"/>
    <w:rsid w:val="00B532B4"/>
    <w:rsid w:val="00B5366E"/>
    <w:rsid w:val="00B542B9"/>
    <w:rsid w:val="00B542E6"/>
    <w:rsid w:val="00B54981"/>
    <w:rsid w:val="00B54B8E"/>
    <w:rsid w:val="00B54FAB"/>
    <w:rsid w:val="00B55E3C"/>
    <w:rsid w:val="00B565D2"/>
    <w:rsid w:val="00B60B57"/>
    <w:rsid w:val="00B61B02"/>
    <w:rsid w:val="00B61C16"/>
    <w:rsid w:val="00B61CF5"/>
    <w:rsid w:val="00B62303"/>
    <w:rsid w:val="00B62541"/>
    <w:rsid w:val="00B65977"/>
    <w:rsid w:val="00B65A9C"/>
    <w:rsid w:val="00B677ED"/>
    <w:rsid w:val="00B67D0F"/>
    <w:rsid w:val="00B700BA"/>
    <w:rsid w:val="00B7045F"/>
    <w:rsid w:val="00B7212C"/>
    <w:rsid w:val="00B72A74"/>
    <w:rsid w:val="00B73005"/>
    <w:rsid w:val="00B73353"/>
    <w:rsid w:val="00B74108"/>
    <w:rsid w:val="00B74C5E"/>
    <w:rsid w:val="00B7618B"/>
    <w:rsid w:val="00B818D0"/>
    <w:rsid w:val="00B82ACF"/>
    <w:rsid w:val="00B832D0"/>
    <w:rsid w:val="00B85003"/>
    <w:rsid w:val="00B8611D"/>
    <w:rsid w:val="00B878D8"/>
    <w:rsid w:val="00B878F7"/>
    <w:rsid w:val="00B87F20"/>
    <w:rsid w:val="00B93F70"/>
    <w:rsid w:val="00B95C1A"/>
    <w:rsid w:val="00B95FFB"/>
    <w:rsid w:val="00B96118"/>
    <w:rsid w:val="00B9718F"/>
    <w:rsid w:val="00B97B65"/>
    <w:rsid w:val="00BA1382"/>
    <w:rsid w:val="00BA2847"/>
    <w:rsid w:val="00BA4360"/>
    <w:rsid w:val="00BA4BFA"/>
    <w:rsid w:val="00BA4DE0"/>
    <w:rsid w:val="00BA530C"/>
    <w:rsid w:val="00BA60DB"/>
    <w:rsid w:val="00BA6C8F"/>
    <w:rsid w:val="00BA6DDD"/>
    <w:rsid w:val="00BA711A"/>
    <w:rsid w:val="00BB0388"/>
    <w:rsid w:val="00BB09E3"/>
    <w:rsid w:val="00BB0C7F"/>
    <w:rsid w:val="00BB4676"/>
    <w:rsid w:val="00BB4C31"/>
    <w:rsid w:val="00BB5672"/>
    <w:rsid w:val="00BB671C"/>
    <w:rsid w:val="00BB690B"/>
    <w:rsid w:val="00BB6F93"/>
    <w:rsid w:val="00BB7844"/>
    <w:rsid w:val="00BC0081"/>
    <w:rsid w:val="00BC0542"/>
    <w:rsid w:val="00BC0903"/>
    <w:rsid w:val="00BC0A0E"/>
    <w:rsid w:val="00BC26D1"/>
    <w:rsid w:val="00BC2A6B"/>
    <w:rsid w:val="00BC2A9B"/>
    <w:rsid w:val="00BC31E5"/>
    <w:rsid w:val="00BC3F86"/>
    <w:rsid w:val="00BC4F42"/>
    <w:rsid w:val="00BC509E"/>
    <w:rsid w:val="00BC550E"/>
    <w:rsid w:val="00BC5693"/>
    <w:rsid w:val="00BC5907"/>
    <w:rsid w:val="00BC5CC1"/>
    <w:rsid w:val="00BC5E98"/>
    <w:rsid w:val="00BC6D1B"/>
    <w:rsid w:val="00BC7C75"/>
    <w:rsid w:val="00BC7F95"/>
    <w:rsid w:val="00BD04AF"/>
    <w:rsid w:val="00BD053F"/>
    <w:rsid w:val="00BD0F30"/>
    <w:rsid w:val="00BD11D0"/>
    <w:rsid w:val="00BD1D41"/>
    <w:rsid w:val="00BD31ED"/>
    <w:rsid w:val="00BD3376"/>
    <w:rsid w:val="00BD5952"/>
    <w:rsid w:val="00BD7222"/>
    <w:rsid w:val="00BD72B7"/>
    <w:rsid w:val="00BD739D"/>
    <w:rsid w:val="00BD7AEA"/>
    <w:rsid w:val="00BD7F2B"/>
    <w:rsid w:val="00BE06C5"/>
    <w:rsid w:val="00BE214C"/>
    <w:rsid w:val="00BE239A"/>
    <w:rsid w:val="00BE245B"/>
    <w:rsid w:val="00BE3A37"/>
    <w:rsid w:val="00BE4210"/>
    <w:rsid w:val="00BE4B03"/>
    <w:rsid w:val="00BE4D8B"/>
    <w:rsid w:val="00BE5154"/>
    <w:rsid w:val="00BE570C"/>
    <w:rsid w:val="00BE7285"/>
    <w:rsid w:val="00BF0057"/>
    <w:rsid w:val="00BF28E6"/>
    <w:rsid w:val="00BF3685"/>
    <w:rsid w:val="00BF3857"/>
    <w:rsid w:val="00BF4A9D"/>
    <w:rsid w:val="00BF5B02"/>
    <w:rsid w:val="00BF601E"/>
    <w:rsid w:val="00BF6236"/>
    <w:rsid w:val="00BF6477"/>
    <w:rsid w:val="00BF6900"/>
    <w:rsid w:val="00BF6E87"/>
    <w:rsid w:val="00BF6F31"/>
    <w:rsid w:val="00C00263"/>
    <w:rsid w:val="00C0077A"/>
    <w:rsid w:val="00C02218"/>
    <w:rsid w:val="00C0475B"/>
    <w:rsid w:val="00C048BE"/>
    <w:rsid w:val="00C04B31"/>
    <w:rsid w:val="00C053C4"/>
    <w:rsid w:val="00C05C4C"/>
    <w:rsid w:val="00C0694F"/>
    <w:rsid w:val="00C069E0"/>
    <w:rsid w:val="00C07052"/>
    <w:rsid w:val="00C10175"/>
    <w:rsid w:val="00C10985"/>
    <w:rsid w:val="00C10BA1"/>
    <w:rsid w:val="00C11CF1"/>
    <w:rsid w:val="00C122AD"/>
    <w:rsid w:val="00C12D57"/>
    <w:rsid w:val="00C13CEF"/>
    <w:rsid w:val="00C14E00"/>
    <w:rsid w:val="00C15E52"/>
    <w:rsid w:val="00C165C1"/>
    <w:rsid w:val="00C17112"/>
    <w:rsid w:val="00C210C6"/>
    <w:rsid w:val="00C2175D"/>
    <w:rsid w:val="00C22C74"/>
    <w:rsid w:val="00C25351"/>
    <w:rsid w:val="00C25FD6"/>
    <w:rsid w:val="00C2782F"/>
    <w:rsid w:val="00C30246"/>
    <w:rsid w:val="00C3078A"/>
    <w:rsid w:val="00C308EA"/>
    <w:rsid w:val="00C30AB3"/>
    <w:rsid w:val="00C30AD9"/>
    <w:rsid w:val="00C31296"/>
    <w:rsid w:val="00C32A67"/>
    <w:rsid w:val="00C352E6"/>
    <w:rsid w:val="00C35D2E"/>
    <w:rsid w:val="00C3652C"/>
    <w:rsid w:val="00C36A7C"/>
    <w:rsid w:val="00C37E9E"/>
    <w:rsid w:val="00C40337"/>
    <w:rsid w:val="00C403C4"/>
    <w:rsid w:val="00C40601"/>
    <w:rsid w:val="00C412FE"/>
    <w:rsid w:val="00C416FB"/>
    <w:rsid w:val="00C4181F"/>
    <w:rsid w:val="00C446E8"/>
    <w:rsid w:val="00C44C20"/>
    <w:rsid w:val="00C4581E"/>
    <w:rsid w:val="00C46AE7"/>
    <w:rsid w:val="00C47431"/>
    <w:rsid w:val="00C476AF"/>
    <w:rsid w:val="00C50719"/>
    <w:rsid w:val="00C5139A"/>
    <w:rsid w:val="00C52B31"/>
    <w:rsid w:val="00C535D8"/>
    <w:rsid w:val="00C53AEA"/>
    <w:rsid w:val="00C5471F"/>
    <w:rsid w:val="00C55B9C"/>
    <w:rsid w:val="00C560C0"/>
    <w:rsid w:val="00C56809"/>
    <w:rsid w:val="00C568AC"/>
    <w:rsid w:val="00C5758D"/>
    <w:rsid w:val="00C578B8"/>
    <w:rsid w:val="00C57955"/>
    <w:rsid w:val="00C63AB2"/>
    <w:rsid w:val="00C63DFA"/>
    <w:rsid w:val="00C65608"/>
    <w:rsid w:val="00C65663"/>
    <w:rsid w:val="00C65783"/>
    <w:rsid w:val="00C67E6E"/>
    <w:rsid w:val="00C702F6"/>
    <w:rsid w:val="00C720A3"/>
    <w:rsid w:val="00C72FBD"/>
    <w:rsid w:val="00C732CE"/>
    <w:rsid w:val="00C73729"/>
    <w:rsid w:val="00C73F7E"/>
    <w:rsid w:val="00C74135"/>
    <w:rsid w:val="00C75E34"/>
    <w:rsid w:val="00C80094"/>
    <w:rsid w:val="00C808FE"/>
    <w:rsid w:val="00C816CB"/>
    <w:rsid w:val="00C83116"/>
    <w:rsid w:val="00C83611"/>
    <w:rsid w:val="00C85E51"/>
    <w:rsid w:val="00C86410"/>
    <w:rsid w:val="00C87744"/>
    <w:rsid w:val="00C879D1"/>
    <w:rsid w:val="00C915DD"/>
    <w:rsid w:val="00C9230A"/>
    <w:rsid w:val="00C93224"/>
    <w:rsid w:val="00C93E0B"/>
    <w:rsid w:val="00C960DD"/>
    <w:rsid w:val="00CA06F2"/>
    <w:rsid w:val="00CA09FB"/>
    <w:rsid w:val="00CA0A3C"/>
    <w:rsid w:val="00CA1067"/>
    <w:rsid w:val="00CA17E1"/>
    <w:rsid w:val="00CA1C4F"/>
    <w:rsid w:val="00CA22F3"/>
    <w:rsid w:val="00CA273D"/>
    <w:rsid w:val="00CA2CF5"/>
    <w:rsid w:val="00CA4AD2"/>
    <w:rsid w:val="00CA4C01"/>
    <w:rsid w:val="00CA5963"/>
    <w:rsid w:val="00CA5D0F"/>
    <w:rsid w:val="00CA6289"/>
    <w:rsid w:val="00CA6CCC"/>
    <w:rsid w:val="00CB1FA1"/>
    <w:rsid w:val="00CB41BF"/>
    <w:rsid w:val="00CB48E2"/>
    <w:rsid w:val="00CB4E48"/>
    <w:rsid w:val="00CB50AA"/>
    <w:rsid w:val="00CB7B2C"/>
    <w:rsid w:val="00CC01B4"/>
    <w:rsid w:val="00CC0335"/>
    <w:rsid w:val="00CC11D9"/>
    <w:rsid w:val="00CC1D39"/>
    <w:rsid w:val="00CC24BD"/>
    <w:rsid w:val="00CC263A"/>
    <w:rsid w:val="00CC29E7"/>
    <w:rsid w:val="00CC3174"/>
    <w:rsid w:val="00CC477F"/>
    <w:rsid w:val="00CC5C64"/>
    <w:rsid w:val="00CC5D06"/>
    <w:rsid w:val="00CC5E60"/>
    <w:rsid w:val="00CC630E"/>
    <w:rsid w:val="00CC72E8"/>
    <w:rsid w:val="00CC7677"/>
    <w:rsid w:val="00CD0175"/>
    <w:rsid w:val="00CD03B5"/>
    <w:rsid w:val="00CD073F"/>
    <w:rsid w:val="00CD0C14"/>
    <w:rsid w:val="00CD25F9"/>
    <w:rsid w:val="00CD2CCC"/>
    <w:rsid w:val="00CD3652"/>
    <w:rsid w:val="00CD3E18"/>
    <w:rsid w:val="00CD4185"/>
    <w:rsid w:val="00CD427F"/>
    <w:rsid w:val="00CD480C"/>
    <w:rsid w:val="00CD4CE6"/>
    <w:rsid w:val="00CD523D"/>
    <w:rsid w:val="00CD563E"/>
    <w:rsid w:val="00CD5E9F"/>
    <w:rsid w:val="00CE06D5"/>
    <w:rsid w:val="00CE0914"/>
    <w:rsid w:val="00CE0B77"/>
    <w:rsid w:val="00CE1997"/>
    <w:rsid w:val="00CE2A1B"/>
    <w:rsid w:val="00CE2CA0"/>
    <w:rsid w:val="00CE3208"/>
    <w:rsid w:val="00CE3CC2"/>
    <w:rsid w:val="00CE3CE4"/>
    <w:rsid w:val="00CE4515"/>
    <w:rsid w:val="00CE4FD6"/>
    <w:rsid w:val="00CE54B9"/>
    <w:rsid w:val="00CE57BF"/>
    <w:rsid w:val="00CE641B"/>
    <w:rsid w:val="00CE6B24"/>
    <w:rsid w:val="00CF103D"/>
    <w:rsid w:val="00CF1B98"/>
    <w:rsid w:val="00CF2FA6"/>
    <w:rsid w:val="00CF3197"/>
    <w:rsid w:val="00CF32DF"/>
    <w:rsid w:val="00CF3C2A"/>
    <w:rsid w:val="00CF49E6"/>
    <w:rsid w:val="00CF5B2C"/>
    <w:rsid w:val="00CF6917"/>
    <w:rsid w:val="00CF6B91"/>
    <w:rsid w:val="00CF709A"/>
    <w:rsid w:val="00CF7855"/>
    <w:rsid w:val="00D00BC1"/>
    <w:rsid w:val="00D0175D"/>
    <w:rsid w:val="00D020BE"/>
    <w:rsid w:val="00D0383A"/>
    <w:rsid w:val="00D0383F"/>
    <w:rsid w:val="00D04708"/>
    <w:rsid w:val="00D05BE1"/>
    <w:rsid w:val="00D06983"/>
    <w:rsid w:val="00D06A6D"/>
    <w:rsid w:val="00D06D96"/>
    <w:rsid w:val="00D07218"/>
    <w:rsid w:val="00D109D3"/>
    <w:rsid w:val="00D11C02"/>
    <w:rsid w:val="00D123C5"/>
    <w:rsid w:val="00D12D23"/>
    <w:rsid w:val="00D12F22"/>
    <w:rsid w:val="00D12FC8"/>
    <w:rsid w:val="00D15894"/>
    <w:rsid w:val="00D15A4E"/>
    <w:rsid w:val="00D15F1E"/>
    <w:rsid w:val="00D15F71"/>
    <w:rsid w:val="00D16A1F"/>
    <w:rsid w:val="00D1724D"/>
    <w:rsid w:val="00D1781D"/>
    <w:rsid w:val="00D209C7"/>
    <w:rsid w:val="00D23D4E"/>
    <w:rsid w:val="00D2547E"/>
    <w:rsid w:val="00D2585C"/>
    <w:rsid w:val="00D25D98"/>
    <w:rsid w:val="00D265B9"/>
    <w:rsid w:val="00D26859"/>
    <w:rsid w:val="00D2688E"/>
    <w:rsid w:val="00D3001E"/>
    <w:rsid w:val="00D31C68"/>
    <w:rsid w:val="00D33560"/>
    <w:rsid w:val="00D33900"/>
    <w:rsid w:val="00D34A36"/>
    <w:rsid w:val="00D34C42"/>
    <w:rsid w:val="00D34F4D"/>
    <w:rsid w:val="00D35746"/>
    <w:rsid w:val="00D366A8"/>
    <w:rsid w:val="00D36B91"/>
    <w:rsid w:val="00D36F49"/>
    <w:rsid w:val="00D43B22"/>
    <w:rsid w:val="00D43E6C"/>
    <w:rsid w:val="00D44A4F"/>
    <w:rsid w:val="00D456EC"/>
    <w:rsid w:val="00D45FF1"/>
    <w:rsid w:val="00D46036"/>
    <w:rsid w:val="00D46DB3"/>
    <w:rsid w:val="00D477E6"/>
    <w:rsid w:val="00D50406"/>
    <w:rsid w:val="00D51BF3"/>
    <w:rsid w:val="00D52F4C"/>
    <w:rsid w:val="00D54E04"/>
    <w:rsid w:val="00D56D34"/>
    <w:rsid w:val="00D57033"/>
    <w:rsid w:val="00D57B4B"/>
    <w:rsid w:val="00D606A3"/>
    <w:rsid w:val="00D60E98"/>
    <w:rsid w:val="00D620F8"/>
    <w:rsid w:val="00D6220D"/>
    <w:rsid w:val="00D62DEA"/>
    <w:rsid w:val="00D63954"/>
    <w:rsid w:val="00D64712"/>
    <w:rsid w:val="00D65E5F"/>
    <w:rsid w:val="00D672C6"/>
    <w:rsid w:val="00D704C1"/>
    <w:rsid w:val="00D7104B"/>
    <w:rsid w:val="00D7124C"/>
    <w:rsid w:val="00D71941"/>
    <w:rsid w:val="00D71E05"/>
    <w:rsid w:val="00D722FA"/>
    <w:rsid w:val="00D72462"/>
    <w:rsid w:val="00D734D6"/>
    <w:rsid w:val="00D736BC"/>
    <w:rsid w:val="00D743C7"/>
    <w:rsid w:val="00D74919"/>
    <w:rsid w:val="00D74DCD"/>
    <w:rsid w:val="00D754E4"/>
    <w:rsid w:val="00D7573B"/>
    <w:rsid w:val="00D76335"/>
    <w:rsid w:val="00D77684"/>
    <w:rsid w:val="00D7778D"/>
    <w:rsid w:val="00D77F50"/>
    <w:rsid w:val="00D803B6"/>
    <w:rsid w:val="00D80FBB"/>
    <w:rsid w:val="00D8163B"/>
    <w:rsid w:val="00D81B1A"/>
    <w:rsid w:val="00D81CAE"/>
    <w:rsid w:val="00D81CF0"/>
    <w:rsid w:val="00D81E02"/>
    <w:rsid w:val="00D829D6"/>
    <w:rsid w:val="00D833D6"/>
    <w:rsid w:val="00D83A97"/>
    <w:rsid w:val="00D83BC6"/>
    <w:rsid w:val="00D83D04"/>
    <w:rsid w:val="00D83DE0"/>
    <w:rsid w:val="00D8522F"/>
    <w:rsid w:val="00D852AD"/>
    <w:rsid w:val="00D85365"/>
    <w:rsid w:val="00D879B2"/>
    <w:rsid w:val="00D9033C"/>
    <w:rsid w:val="00D905C8"/>
    <w:rsid w:val="00D90BF1"/>
    <w:rsid w:val="00D90F18"/>
    <w:rsid w:val="00D912F0"/>
    <w:rsid w:val="00D92540"/>
    <w:rsid w:val="00D926E4"/>
    <w:rsid w:val="00D93671"/>
    <w:rsid w:val="00D93751"/>
    <w:rsid w:val="00D9430D"/>
    <w:rsid w:val="00D9465F"/>
    <w:rsid w:val="00D94931"/>
    <w:rsid w:val="00D94C80"/>
    <w:rsid w:val="00D95B49"/>
    <w:rsid w:val="00D965CE"/>
    <w:rsid w:val="00D974B6"/>
    <w:rsid w:val="00D97A51"/>
    <w:rsid w:val="00DA1875"/>
    <w:rsid w:val="00DA26A9"/>
    <w:rsid w:val="00DA37BB"/>
    <w:rsid w:val="00DA5D2E"/>
    <w:rsid w:val="00DA680D"/>
    <w:rsid w:val="00DA68C2"/>
    <w:rsid w:val="00DA76AB"/>
    <w:rsid w:val="00DB1B7A"/>
    <w:rsid w:val="00DB2CB7"/>
    <w:rsid w:val="00DB2F43"/>
    <w:rsid w:val="00DB53EA"/>
    <w:rsid w:val="00DB60A8"/>
    <w:rsid w:val="00DB654B"/>
    <w:rsid w:val="00DB73B0"/>
    <w:rsid w:val="00DB7D6A"/>
    <w:rsid w:val="00DB7E94"/>
    <w:rsid w:val="00DC09FD"/>
    <w:rsid w:val="00DC0E33"/>
    <w:rsid w:val="00DC0E83"/>
    <w:rsid w:val="00DC0EDA"/>
    <w:rsid w:val="00DC1663"/>
    <w:rsid w:val="00DC19F2"/>
    <w:rsid w:val="00DC2D69"/>
    <w:rsid w:val="00DC328C"/>
    <w:rsid w:val="00DC3333"/>
    <w:rsid w:val="00DC3E48"/>
    <w:rsid w:val="00DC4890"/>
    <w:rsid w:val="00DC5E03"/>
    <w:rsid w:val="00DC6C78"/>
    <w:rsid w:val="00DD0071"/>
    <w:rsid w:val="00DD0BE3"/>
    <w:rsid w:val="00DD19C5"/>
    <w:rsid w:val="00DD2080"/>
    <w:rsid w:val="00DD2960"/>
    <w:rsid w:val="00DD43B7"/>
    <w:rsid w:val="00DD5633"/>
    <w:rsid w:val="00DD7455"/>
    <w:rsid w:val="00DE0C1E"/>
    <w:rsid w:val="00DE1492"/>
    <w:rsid w:val="00DE3392"/>
    <w:rsid w:val="00DE3973"/>
    <w:rsid w:val="00DE43E5"/>
    <w:rsid w:val="00DE4E8A"/>
    <w:rsid w:val="00DE510E"/>
    <w:rsid w:val="00DE5AA2"/>
    <w:rsid w:val="00DE5C00"/>
    <w:rsid w:val="00DE6053"/>
    <w:rsid w:val="00DE6C90"/>
    <w:rsid w:val="00DE719A"/>
    <w:rsid w:val="00DE7F2C"/>
    <w:rsid w:val="00DF0185"/>
    <w:rsid w:val="00DF0259"/>
    <w:rsid w:val="00DF1333"/>
    <w:rsid w:val="00DF2301"/>
    <w:rsid w:val="00DF3574"/>
    <w:rsid w:val="00DF37E0"/>
    <w:rsid w:val="00DF3E7E"/>
    <w:rsid w:val="00DF427B"/>
    <w:rsid w:val="00DF45D1"/>
    <w:rsid w:val="00DF4BED"/>
    <w:rsid w:val="00DF4F1C"/>
    <w:rsid w:val="00DF518A"/>
    <w:rsid w:val="00DF52A7"/>
    <w:rsid w:val="00DF52B6"/>
    <w:rsid w:val="00E00F59"/>
    <w:rsid w:val="00E018CA"/>
    <w:rsid w:val="00E01BE6"/>
    <w:rsid w:val="00E024D7"/>
    <w:rsid w:val="00E026B7"/>
    <w:rsid w:val="00E034D3"/>
    <w:rsid w:val="00E03C93"/>
    <w:rsid w:val="00E04BDC"/>
    <w:rsid w:val="00E054AE"/>
    <w:rsid w:val="00E0592E"/>
    <w:rsid w:val="00E05D8F"/>
    <w:rsid w:val="00E06994"/>
    <w:rsid w:val="00E07B1C"/>
    <w:rsid w:val="00E10025"/>
    <w:rsid w:val="00E1009B"/>
    <w:rsid w:val="00E112A7"/>
    <w:rsid w:val="00E114B4"/>
    <w:rsid w:val="00E13A6F"/>
    <w:rsid w:val="00E1401A"/>
    <w:rsid w:val="00E157C3"/>
    <w:rsid w:val="00E15924"/>
    <w:rsid w:val="00E20738"/>
    <w:rsid w:val="00E21848"/>
    <w:rsid w:val="00E25D94"/>
    <w:rsid w:val="00E2699F"/>
    <w:rsid w:val="00E26F88"/>
    <w:rsid w:val="00E27661"/>
    <w:rsid w:val="00E27C38"/>
    <w:rsid w:val="00E303CB"/>
    <w:rsid w:val="00E307F4"/>
    <w:rsid w:val="00E3170C"/>
    <w:rsid w:val="00E33EA0"/>
    <w:rsid w:val="00E344D5"/>
    <w:rsid w:val="00E3475E"/>
    <w:rsid w:val="00E36023"/>
    <w:rsid w:val="00E364A6"/>
    <w:rsid w:val="00E36663"/>
    <w:rsid w:val="00E37308"/>
    <w:rsid w:val="00E37436"/>
    <w:rsid w:val="00E37E9A"/>
    <w:rsid w:val="00E41431"/>
    <w:rsid w:val="00E422D2"/>
    <w:rsid w:val="00E428C6"/>
    <w:rsid w:val="00E42AD7"/>
    <w:rsid w:val="00E4333F"/>
    <w:rsid w:val="00E440AE"/>
    <w:rsid w:val="00E456BF"/>
    <w:rsid w:val="00E465A2"/>
    <w:rsid w:val="00E46B84"/>
    <w:rsid w:val="00E47F5A"/>
    <w:rsid w:val="00E5000E"/>
    <w:rsid w:val="00E501C2"/>
    <w:rsid w:val="00E50BAC"/>
    <w:rsid w:val="00E51B6F"/>
    <w:rsid w:val="00E53F66"/>
    <w:rsid w:val="00E54130"/>
    <w:rsid w:val="00E54BD9"/>
    <w:rsid w:val="00E5696D"/>
    <w:rsid w:val="00E60699"/>
    <w:rsid w:val="00E6088A"/>
    <w:rsid w:val="00E608AD"/>
    <w:rsid w:val="00E6092D"/>
    <w:rsid w:val="00E621EE"/>
    <w:rsid w:val="00E63CD5"/>
    <w:rsid w:val="00E64C53"/>
    <w:rsid w:val="00E64FF6"/>
    <w:rsid w:val="00E656D3"/>
    <w:rsid w:val="00E65E36"/>
    <w:rsid w:val="00E664E2"/>
    <w:rsid w:val="00E6776B"/>
    <w:rsid w:val="00E70C87"/>
    <w:rsid w:val="00E72873"/>
    <w:rsid w:val="00E738BA"/>
    <w:rsid w:val="00E73E27"/>
    <w:rsid w:val="00E755CC"/>
    <w:rsid w:val="00E76242"/>
    <w:rsid w:val="00E76BC7"/>
    <w:rsid w:val="00E76E6F"/>
    <w:rsid w:val="00E76FAD"/>
    <w:rsid w:val="00E7740A"/>
    <w:rsid w:val="00E810CC"/>
    <w:rsid w:val="00E812EC"/>
    <w:rsid w:val="00E81CD2"/>
    <w:rsid w:val="00E83200"/>
    <w:rsid w:val="00E834D4"/>
    <w:rsid w:val="00E8669D"/>
    <w:rsid w:val="00E86F83"/>
    <w:rsid w:val="00E8716E"/>
    <w:rsid w:val="00E91363"/>
    <w:rsid w:val="00E92698"/>
    <w:rsid w:val="00E935DB"/>
    <w:rsid w:val="00E935EC"/>
    <w:rsid w:val="00E93A41"/>
    <w:rsid w:val="00E956D0"/>
    <w:rsid w:val="00E95FBE"/>
    <w:rsid w:val="00E96333"/>
    <w:rsid w:val="00E96826"/>
    <w:rsid w:val="00E96BA1"/>
    <w:rsid w:val="00E96C5B"/>
    <w:rsid w:val="00E9739D"/>
    <w:rsid w:val="00E973E9"/>
    <w:rsid w:val="00E9763E"/>
    <w:rsid w:val="00E9795C"/>
    <w:rsid w:val="00EA150A"/>
    <w:rsid w:val="00EA2262"/>
    <w:rsid w:val="00EA2F99"/>
    <w:rsid w:val="00EA3B3B"/>
    <w:rsid w:val="00EA4039"/>
    <w:rsid w:val="00EA42A5"/>
    <w:rsid w:val="00EA4F22"/>
    <w:rsid w:val="00EA4F75"/>
    <w:rsid w:val="00EA5440"/>
    <w:rsid w:val="00EA5D16"/>
    <w:rsid w:val="00EA6850"/>
    <w:rsid w:val="00EA6B69"/>
    <w:rsid w:val="00EA6C57"/>
    <w:rsid w:val="00EA7B48"/>
    <w:rsid w:val="00EA7D2A"/>
    <w:rsid w:val="00EB008A"/>
    <w:rsid w:val="00EB0491"/>
    <w:rsid w:val="00EB0E3E"/>
    <w:rsid w:val="00EB38BB"/>
    <w:rsid w:val="00EB403D"/>
    <w:rsid w:val="00EB4284"/>
    <w:rsid w:val="00EB49D2"/>
    <w:rsid w:val="00EB49D4"/>
    <w:rsid w:val="00EB55D5"/>
    <w:rsid w:val="00EB7D8B"/>
    <w:rsid w:val="00EC0F93"/>
    <w:rsid w:val="00EC16C1"/>
    <w:rsid w:val="00EC1EEA"/>
    <w:rsid w:val="00EC1F08"/>
    <w:rsid w:val="00EC334D"/>
    <w:rsid w:val="00EC33F0"/>
    <w:rsid w:val="00EC343E"/>
    <w:rsid w:val="00EC3CE6"/>
    <w:rsid w:val="00EC6C00"/>
    <w:rsid w:val="00EC7A2A"/>
    <w:rsid w:val="00ED1962"/>
    <w:rsid w:val="00ED1A95"/>
    <w:rsid w:val="00ED20A2"/>
    <w:rsid w:val="00ED2404"/>
    <w:rsid w:val="00ED2A18"/>
    <w:rsid w:val="00ED2C92"/>
    <w:rsid w:val="00ED2D62"/>
    <w:rsid w:val="00ED33A5"/>
    <w:rsid w:val="00ED3904"/>
    <w:rsid w:val="00ED671E"/>
    <w:rsid w:val="00ED70B9"/>
    <w:rsid w:val="00ED70C0"/>
    <w:rsid w:val="00ED721B"/>
    <w:rsid w:val="00ED72AE"/>
    <w:rsid w:val="00EE10DE"/>
    <w:rsid w:val="00EE2B8D"/>
    <w:rsid w:val="00EE319C"/>
    <w:rsid w:val="00EE38B3"/>
    <w:rsid w:val="00EE4A83"/>
    <w:rsid w:val="00EE605B"/>
    <w:rsid w:val="00EE63D1"/>
    <w:rsid w:val="00EE7C74"/>
    <w:rsid w:val="00EF0D01"/>
    <w:rsid w:val="00EF2BEF"/>
    <w:rsid w:val="00EF344D"/>
    <w:rsid w:val="00EF3BEF"/>
    <w:rsid w:val="00EF40E0"/>
    <w:rsid w:val="00EF4D1F"/>
    <w:rsid w:val="00EF4E5D"/>
    <w:rsid w:val="00EF678B"/>
    <w:rsid w:val="00EF7D10"/>
    <w:rsid w:val="00F00310"/>
    <w:rsid w:val="00F01B50"/>
    <w:rsid w:val="00F01C7C"/>
    <w:rsid w:val="00F02012"/>
    <w:rsid w:val="00F03029"/>
    <w:rsid w:val="00F038B8"/>
    <w:rsid w:val="00F03F4A"/>
    <w:rsid w:val="00F04F50"/>
    <w:rsid w:val="00F0518E"/>
    <w:rsid w:val="00F059D3"/>
    <w:rsid w:val="00F05D8D"/>
    <w:rsid w:val="00F11138"/>
    <w:rsid w:val="00F11B71"/>
    <w:rsid w:val="00F12156"/>
    <w:rsid w:val="00F12962"/>
    <w:rsid w:val="00F13DD4"/>
    <w:rsid w:val="00F16ABD"/>
    <w:rsid w:val="00F16D8C"/>
    <w:rsid w:val="00F178FE"/>
    <w:rsid w:val="00F21027"/>
    <w:rsid w:val="00F210DD"/>
    <w:rsid w:val="00F23F9A"/>
    <w:rsid w:val="00F241B3"/>
    <w:rsid w:val="00F24505"/>
    <w:rsid w:val="00F250DA"/>
    <w:rsid w:val="00F253ED"/>
    <w:rsid w:val="00F267C0"/>
    <w:rsid w:val="00F27AA5"/>
    <w:rsid w:val="00F31208"/>
    <w:rsid w:val="00F3143E"/>
    <w:rsid w:val="00F325A5"/>
    <w:rsid w:val="00F32842"/>
    <w:rsid w:val="00F32AE0"/>
    <w:rsid w:val="00F33270"/>
    <w:rsid w:val="00F3410A"/>
    <w:rsid w:val="00F34993"/>
    <w:rsid w:val="00F353B7"/>
    <w:rsid w:val="00F35716"/>
    <w:rsid w:val="00F407AD"/>
    <w:rsid w:val="00F4347D"/>
    <w:rsid w:val="00F44773"/>
    <w:rsid w:val="00F46AE4"/>
    <w:rsid w:val="00F51361"/>
    <w:rsid w:val="00F51797"/>
    <w:rsid w:val="00F51C50"/>
    <w:rsid w:val="00F52A22"/>
    <w:rsid w:val="00F5391E"/>
    <w:rsid w:val="00F53CA7"/>
    <w:rsid w:val="00F553D1"/>
    <w:rsid w:val="00F55E88"/>
    <w:rsid w:val="00F56993"/>
    <w:rsid w:val="00F57B8A"/>
    <w:rsid w:val="00F60295"/>
    <w:rsid w:val="00F622B3"/>
    <w:rsid w:val="00F632A1"/>
    <w:rsid w:val="00F632D6"/>
    <w:rsid w:val="00F64082"/>
    <w:rsid w:val="00F64227"/>
    <w:rsid w:val="00F645CC"/>
    <w:rsid w:val="00F648B6"/>
    <w:rsid w:val="00F65492"/>
    <w:rsid w:val="00F65D5F"/>
    <w:rsid w:val="00F663CB"/>
    <w:rsid w:val="00F67F82"/>
    <w:rsid w:val="00F7064C"/>
    <w:rsid w:val="00F70DB9"/>
    <w:rsid w:val="00F71AC9"/>
    <w:rsid w:val="00F72DCF"/>
    <w:rsid w:val="00F72E23"/>
    <w:rsid w:val="00F74473"/>
    <w:rsid w:val="00F76665"/>
    <w:rsid w:val="00F776C3"/>
    <w:rsid w:val="00F778AF"/>
    <w:rsid w:val="00F80925"/>
    <w:rsid w:val="00F81883"/>
    <w:rsid w:val="00F82035"/>
    <w:rsid w:val="00F82B88"/>
    <w:rsid w:val="00F82C02"/>
    <w:rsid w:val="00F8348C"/>
    <w:rsid w:val="00F844BA"/>
    <w:rsid w:val="00F8493D"/>
    <w:rsid w:val="00F8575A"/>
    <w:rsid w:val="00F869DE"/>
    <w:rsid w:val="00F86CCF"/>
    <w:rsid w:val="00F86E3D"/>
    <w:rsid w:val="00F87E90"/>
    <w:rsid w:val="00F90495"/>
    <w:rsid w:val="00F905C7"/>
    <w:rsid w:val="00F905E0"/>
    <w:rsid w:val="00F92B57"/>
    <w:rsid w:val="00F92FBC"/>
    <w:rsid w:val="00F9313D"/>
    <w:rsid w:val="00F9341D"/>
    <w:rsid w:val="00F93441"/>
    <w:rsid w:val="00F93B4D"/>
    <w:rsid w:val="00F95A68"/>
    <w:rsid w:val="00F96E8D"/>
    <w:rsid w:val="00FA07DA"/>
    <w:rsid w:val="00FA2995"/>
    <w:rsid w:val="00FA2F1A"/>
    <w:rsid w:val="00FA3259"/>
    <w:rsid w:val="00FA7364"/>
    <w:rsid w:val="00FB072C"/>
    <w:rsid w:val="00FB27EA"/>
    <w:rsid w:val="00FB2A28"/>
    <w:rsid w:val="00FB361A"/>
    <w:rsid w:val="00FB3E11"/>
    <w:rsid w:val="00FB6991"/>
    <w:rsid w:val="00FB7171"/>
    <w:rsid w:val="00FB75C5"/>
    <w:rsid w:val="00FC08FD"/>
    <w:rsid w:val="00FC112F"/>
    <w:rsid w:val="00FC2991"/>
    <w:rsid w:val="00FC3664"/>
    <w:rsid w:val="00FC4AB9"/>
    <w:rsid w:val="00FC5977"/>
    <w:rsid w:val="00FC59CA"/>
    <w:rsid w:val="00FC5E1D"/>
    <w:rsid w:val="00FC6883"/>
    <w:rsid w:val="00FC76D7"/>
    <w:rsid w:val="00FD0232"/>
    <w:rsid w:val="00FD1ED3"/>
    <w:rsid w:val="00FD308E"/>
    <w:rsid w:val="00FD3307"/>
    <w:rsid w:val="00FD334A"/>
    <w:rsid w:val="00FD39CA"/>
    <w:rsid w:val="00FD3FB2"/>
    <w:rsid w:val="00FD470E"/>
    <w:rsid w:val="00FD53EE"/>
    <w:rsid w:val="00FE0E33"/>
    <w:rsid w:val="00FE191A"/>
    <w:rsid w:val="00FE24FB"/>
    <w:rsid w:val="00FE2AD5"/>
    <w:rsid w:val="00FE4261"/>
    <w:rsid w:val="00FE4F07"/>
    <w:rsid w:val="00FE50DF"/>
    <w:rsid w:val="00FE5B2C"/>
    <w:rsid w:val="00FE7800"/>
    <w:rsid w:val="00FF0911"/>
    <w:rsid w:val="00FF09F6"/>
    <w:rsid w:val="00FF1409"/>
    <w:rsid w:val="00FF207D"/>
    <w:rsid w:val="00FF27F4"/>
    <w:rsid w:val="00FF39CA"/>
    <w:rsid w:val="00FF44BB"/>
    <w:rsid w:val="00FF4C9C"/>
    <w:rsid w:val="00FF5201"/>
    <w:rsid w:val="00FF6BFF"/>
    <w:rsid w:val="00FF711B"/>
    <w:rsid w:val="00FF770D"/>
    <w:rsid w:val="00FF7D1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16F162"/>
  <w15:docId w15:val="{0E75E828-9B8D-4789-B100-CF0D8CF027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DD0071"/>
    <w:pPr>
      <w:keepNext/>
      <w:keepLines/>
      <w:spacing w:before="360" w:after="80"/>
      <w:outlineLvl w:val="0"/>
    </w:pPr>
    <w:rPr>
      <w:rFonts w:ascii="Times New Roman" w:eastAsiaTheme="majorEastAsia" w:hAnsi="Times New Roman" w:cstheme="majorBidi"/>
      <w:b/>
      <w:sz w:val="28"/>
      <w:szCs w:val="40"/>
    </w:rPr>
  </w:style>
  <w:style w:type="paragraph" w:styleId="Heading2">
    <w:name w:val="heading 2"/>
    <w:basedOn w:val="Normal"/>
    <w:next w:val="BodyText"/>
    <w:link w:val="Heading2Char"/>
    <w:uiPriority w:val="9"/>
    <w:unhideWhenUsed/>
    <w:qFormat/>
    <w:rsid w:val="00DD0071"/>
    <w:pPr>
      <w:keepNext/>
      <w:keepLines/>
      <w:spacing w:before="160" w:after="80"/>
      <w:jc w:val="both"/>
      <w:outlineLvl w:val="1"/>
    </w:pPr>
    <w:rPr>
      <w:rFonts w:ascii="Times New Roman" w:eastAsiaTheme="majorEastAsia" w:hAnsi="Times New Roman" w:cstheme="majorBidi"/>
      <w:b/>
      <w:szCs w:val="32"/>
    </w:rPr>
  </w:style>
  <w:style w:type="paragraph" w:styleId="Heading3">
    <w:name w:val="heading 3"/>
    <w:basedOn w:val="Normal"/>
    <w:next w:val="BodyText"/>
    <w:link w:val="Heading3Char"/>
    <w:uiPriority w:val="9"/>
    <w:unhideWhenUsed/>
    <w:qFormat/>
    <w:rsid w:val="00B565D2"/>
    <w:pPr>
      <w:keepNext/>
      <w:keepLines/>
      <w:spacing w:before="160" w:after="80"/>
      <w:outlineLvl w:val="2"/>
    </w:pPr>
    <w:rPr>
      <w:rFonts w:ascii="Times New Roman" w:eastAsiaTheme="majorEastAsia" w:hAnsi="Times New Roman" w:cstheme="majorBidi"/>
      <w:b/>
      <w:i/>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Spacing"/>
    <w:link w:val="BodyTextChar"/>
    <w:autoRedefine/>
    <w:qFormat/>
    <w:rsid w:val="00101BFB"/>
    <w:pPr>
      <w:spacing w:line="360" w:lineRule="auto"/>
      <w:jc w:val="both"/>
    </w:pPr>
    <w:rPr>
      <w:rFonts w:ascii="Times New Roman" w:hAnsi="Times New Roman"/>
      <w:bCs/>
    </w:rPr>
  </w:style>
  <w:style w:type="paragraph" w:customStyle="1" w:styleId="FirstParagraph">
    <w:name w:val="First Paragraph"/>
    <w:basedOn w:val="BodyText"/>
    <w:next w:val="BodyText"/>
    <w:qFormat/>
    <w:rsid w:val="00B565D2"/>
  </w:style>
  <w:style w:type="paragraph" w:customStyle="1" w:styleId="Compact">
    <w:name w:val="Compact"/>
    <w:basedOn w:val="BodyText"/>
    <w:qFormat/>
    <w:rsid w:val="00DD0071"/>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Spacing"/>
    <w:qFormat/>
    <w:rsid w:val="00D81B1A"/>
    <w:pPr>
      <w:spacing w:before="240" w:line="480" w:lineRule="auto"/>
      <w:ind w:left="720" w:hanging="720"/>
    </w:pPr>
    <w:rPr>
      <w:rFonts w:ascii="Times New Roman" w:hAnsi="Times New Roman"/>
      <w:sz w:val="20"/>
    </w:rPr>
  </w:style>
  <w:style w:type="character" w:customStyle="1" w:styleId="Heading1Char">
    <w:name w:val="Heading 1 Char"/>
    <w:basedOn w:val="DefaultParagraphFont"/>
    <w:link w:val="Heading1"/>
    <w:uiPriority w:val="9"/>
    <w:rsid w:val="00DD0071"/>
    <w:rPr>
      <w:rFonts w:ascii="Times New Roman" w:eastAsiaTheme="majorEastAsia" w:hAnsi="Times New Roman" w:cstheme="majorBidi"/>
      <w:b/>
      <w:sz w:val="28"/>
      <w:szCs w:val="40"/>
    </w:rPr>
  </w:style>
  <w:style w:type="character" w:customStyle="1" w:styleId="Heading2Char">
    <w:name w:val="Heading 2 Char"/>
    <w:basedOn w:val="DefaultParagraphFont"/>
    <w:link w:val="Heading2"/>
    <w:uiPriority w:val="9"/>
    <w:rsid w:val="00DD0071"/>
    <w:rPr>
      <w:rFonts w:ascii="Times New Roman" w:eastAsiaTheme="majorEastAsia" w:hAnsi="Times New Roman" w:cstheme="majorBidi"/>
      <w:b/>
      <w:szCs w:val="32"/>
    </w:rPr>
  </w:style>
  <w:style w:type="character" w:customStyle="1" w:styleId="Heading3Char">
    <w:name w:val="Heading 3 Char"/>
    <w:basedOn w:val="DefaultParagraphFont"/>
    <w:link w:val="Heading3"/>
    <w:uiPriority w:val="9"/>
    <w:rsid w:val="00B565D2"/>
    <w:rPr>
      <w:rFonts w:ascii="Times New Roman" w:eastAsiaTheme="majorEastAsia" w:hAnsi="Times New Roman" w:cstheme="majorBidi"/>
      <w:b/>
      <w:i/>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rsid w:val="00D852AD"/>
    <w:pPr>
      <w:jc w:val="both"/>
    </w:pPr>
    <w:rPr>
      <w:rFonts w:ascii="Times New Roman" w:hAnsi="Times New Roman"/>
      <w:sz w:val="22"/>
    </w:rPr>
  </w:style>
  <w:style w:type="paragraph" w:customStyle="1" w:styleId="Figure">
    <w:name w:val="Figure"/>
    <w:basedOn w:val="Normal"/>
  </w:style>
  <w:style w:type="paragraph" w:customStyle="1" w:styleId="CaptionedFigure">
    <w:name w:val="Captioned Figure"/>
    <w:basedOn w:val="Figure"/>
    <w:rsid w:val="00D852AD"/>
    <w:pPr>
      <w:keepNext/>
    </w:pPr>
    <w:rPr>
      <w:rFonts w:ascii="Times New Roman" w:hAnsi="Times New Roman"/>
      <w:i/>
      <w:sz w:val="22"/>
    </w:r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hAnsiTheme="majorHAnsi"/>
      <w:color w:val="0F476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FollowedHyperlink">
    <w:name w:val="FollowedHyperlink"/>
    <w:basedOn w:val="DefaultParagraphFont"/>
    <w:rsid w:val="00DD0071"/>
    <w:rPr>
      <w:color w:val="96607D" w:themeColor="followedHyperlink"/>
      <w:u w:val="single"/>
    </w:rPr>
  </w:style>
  <w:style w:type="paragraph" w:customStyle="1" w:styleId="Style1">
    <w:name w:val="Style1"/>
    <w:basedOn w:val="Heading2"/>
    <w:qFormat/>
    <w:rsid w:val="00DD0071"/>
    <w:rPr>
      <w:b w:val="0"/>
    </w:rPr>
  </w:style>
  <w:style w:type="paragraph" w:customStyle="1" w:styleId="Style2">
    <w:name w:val="Style2"/>
    <w:basedOn w:val="Heading2"/>
    <w:qFormat/>
    <w:rsid w:val="00DD0071"/>
    <w:rPr>
      <w:rFonts w:cs="Times New Roman (Headings CS)"/>
      <w:b w:val="0"/>
    </w:rPr>
  </w:style>
  <w:style w:type="paragraph" w:styleId="NoSpacing">
    <w:name w:val="No Spacing"/>
    <w:rsid w:val="00D81B1A"/>
    <w:pPr>
      <w:spacing w:after="0"/>
    </w:pPr>
  </w:style>
  <w:style w:type="character" w:styleId="CommentReference">
    <w:name w:val="annotation reference"/>
    <w:basedOn w:val="DefaultParagraphFont"/>
    <w:rsid w:val="002A2EC9"/>
    <w:rPr>
      <w:sz w:val="16"/>
      <w:szCs w:val="16"/>
    </w:rPr>
  </w:style>
  <w:style w:type="paragraph" w:styleId="CommentText">
    <w:name w:val="annotation text"/>
    <w:basedOn w:val="Normal"/>
    <w:link w:val="CommentTextChar"/>
    <w:rsid w:val="002A2EC9"/>
    <w:rPr>
      <w:sz w:val="20"/>
      <w:szCs w:val="20"/>
    </w:rPr>
  </w:style>
  <w:style w:type="character" w:customStyle="1" w:styleId="CommentTextChar">
    <w:name w:val="Comment Text Char"/>
    <w:basedOn w:val="DefaultParagraphFont"/>
    <w:link w:val="CommentText"/>
    <w:rsid w:val="002A2EC9"/>
    <w:rPr>
      <w:sz w:val="20"/>
      <w:szCs w:val="20"/>
    </w:rPr>
  </w:style>
  <w:style w:type="paragraph" w:styleId="CommentSubject">
    <w:name w:val="annotation subject"/>
    <w:basedOn w:val="CommentText"/>
    <w:next w:val="CommentText"/>
    <w:link w:val="CommentSubjectChar"/>
    <w:rsid w:val="002A2EC9"/>
    <w:rPr>
      <w:b/>
      <w:bCs/>
    </w:rPr>
  </w:style>
  <w:style w:type="character" w:customStyle="1" w:styleId="CommentSubjectChar">
    <w:name w:val="Comment Subject Char"/>
    <w:basedOn w:val="CommentTextChar"/>
    <w:link w:val="CommentSubject"/>
    <w:rsid w:val="002A2EC9"/>
    <w:rPr>
      <w:b/>
      <w:bCs/>
      <w:sz w:val="20"/>
      <w:szCs w:val="20"/>
    </w:rPr>
  </w:style>
  <w:style w:type="paragraph" w:styleId="Revision">
    <w:name w:val="Revision"/>
    <w:hidden/>
    <w:rsid w:val="000C1E9E"/>
    <w:pPr>
      <w:spacing w:after="0"/>
    </w:pPr>
  </w:style>
  <w:style w:type="character" w:customStyle="1" w:styleId="BodyTextChar">
    <w:name w:val="Body Text Char"/>
    <w:basedOn w:val="DefaultParagraphFont"/>
    <w:link w:val="BodyText"/>
    <w:rsid w:val="00101BFB"/>
    <w:rPr>
      <w:rFonts w:ascii="Times New Roman" w:hAnsi="Times New Roman"/>
      <w:bCs/>
    </w:rPr>
  </w:style>
  <w:style w:type="character" w:customStyle="1" w:styleId="s1">
    <w:name w:val="s1"/>
    <w:basedOn w:val="DefaultParagraphFont"/>
    <w:rsid w:val="00A318B1"/>
  </w:style>
  <w:style w:type="paragraph" w:customStyle="1" w:styleId="p2">
    <w:name w:val="p2"/>
    <w:basedOn w:val="Normal"/>
    <w:rsid w:val="00A318B1"/>
    <w:pPr>
      <w:spacing w:before="100" w:beforeAutospacing="1" w:after="100" w:afterAutospacing="1"/>
    </w:pPr>
    <w:rPr>
      <w:rFonts w:ascii="Times New Roman" w:eastAsia="Times New Roman" w:hAnsi="Times New Roman" w:cs="Times New Roman"/>
    </w:rPr>
  </w:style>
  <w:style w:type="paragraph" w:customStyle="1" w:styleId="p3">
    <w:name w:val="p3"/>
    <w:basedOn w:val="Normal"/>
    <w:rsid w:val="00A318B1"/>
    <w:pPr>
      <w:spacing w:before="100" w:beforeAutospacing="1" w:after="100" w:afterAutospacing="1"/>
    </w:pPr>
    <w:rPr>
      <w:rFonts w:ascii="Times New Roman" w:eastAsia="Times New Roman" w:hAnsi="Times New Roman" w:cs="Times New Roman"/>
    </w:rPr>
  </w:style>
  <w:style w:type="character" w:customStyle="1" w:styleId="s2">
    <w:name w:val="s2"/>
    <w:basedOn w:val="DefaultParagraphFont"/>
    <w:rsid w:val="00A318B1"/>
  </w:style>
  <w:style w:type="paragraph" w:customStyle="1" w:styleId="p1">
    <w:name w:val="p1"/>
    <w:basedOn w:val="Normal"/>
    <w:rsid w:val="009A36EB"/>
    <w:pPr>
      <w:spacing w:before="100" w:beforeAutospacing="1" w:after="100" w:afterAutospacing="1"/>
    </w:pPr>
    <w:rPr>
      <w:rFonts w:ascii="Times New Roman" w:eastAsia="Times New Roman" w:hAnsi="Times New Roman" w:cs="Times New Roman"/>
    </w:rPr>
  </w:style>
  <w:style w:type="character" w:customStyle="1" w:styleId="apple-converted-space">
    <w:name w:val="apple-converted-space"/>
    <w:basedOn w:val="DefaultParagraphFont"/>
    <w:rsid w:val="00CB48E2"/>
  </w:style>
  <w:style w:type="character" w:styleId="PlaceholderText">
    <w:name w:val="Placeholder Text"/>
    <w:basedOn w:val="DefaultParagraphFont"/>
    <w:rsid w:val="00506C1B"/>
    <w:rPr>
      <w:color w:val="666666"/>
    </w:rPr>
  </w:style>
  <w:style w:type="character" w:styleId="LineNumber">
    <w:name w:val="line number"/>
    <w:basedOn w:val="DefaultParagraphFont"/>
    <w:rsid w:val="00FE50DF"/>
  </w:style>
  <w:style w:type="character" w:styleId="UnresolvedMention">
    <w:name w:val="Unresolved Mention"/>
    <w:basedOn w:val="DefaultParagraphFont"/>
    <w:uiPriority w:val="99"/>
    <w:semiHidden/>
    <w:unhideWhenUsed/>
    <w:rsid w:val="00D477E6"/>
    <w:rPr>
      <w:color w:val="605E5C"/>
      <w:shd w:val="clear" w:color="auto" w:fill="E1DFDD"/>
    </w:rPr>
  </w:style>
  <w:style w:type="table" w:styleId="TableGrid">
    <w:name w:val="Table Grid"/>
    <w:basedOn w:val="TableNormal"/>
    <w:uiPriority w:val="39"/>
    <w:rsid w:val="000974AE"/>
    <w:pPr>
      <w:spacing w:after="0"/>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9A2297"/>
    <w:pPr>
      <w:tabs>
        <w:tab w:val="center" w:pos="4680"/>
        <w:tab w:val="right" w:pos="9360"/>
      </w:tabs>
      <w:spacing w:after="0"/>
    </w:pPr>
  </w:style>
  <w:style w:type="character" w:customStyle="1" w:styleId="HeaderChar">
    <w:name w:val="Header Char"/>
    <w:basedOn w:val="DefaultParagraphFont"/>
    <w:link w:val="Header"/>
    <w:rsid w:val="009A2297"/>
  </w:style>
  <w:style w:type="paragraph" w:styleId="Footer">
    <w:name w:val="footer"/>
    <w:basedOn w:val="Normal"/>
    <w:link w:val="FooterChar"/>
    <w:rsid w:val="009A2297"/>
    <w:pPr>
      <w:tabs>
        <w:tab w:val="center" w:pos="4680"/>
        <w:tab w:val="right" w:pos="9360"/>
      </w:tabs>
      <w:spacing w:after="0"/>
    </w:pPr>
  </w:style>
  <w:style w:type="character" w:customStyle="1" w:styleId="FooterChar">
    <w:name w:val="Footer Char"/>
    <w:basedOn w:val="DefaultParagraphFont"/>
    <w:link w:val="Footer"/>
    <w:rsid w:val="009A2297"/>
  </w:style>
  <w:style w:type="character" w:styleId="PageNumber">
    <w:name w:val="page number"/>
    <w:basedOn w:val="DefaultParagraphFont"/>
    <w:rsid w:val="00A66B1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jpeg"/><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1.jpeg"/><Relationship Id="rId17" Type="http://schemas.openxmlformats.org/officeDocument/2006/relationships/hyperlink" Target="https://github.com/gledguri/Smart-eDNA-sampling" TargetMode="External"/><Relationship Id="rId2" Type="http://schemas.openxmlformats.org/officeDocument/2006/relationships/customXml" Target="../customXml/item2.xml"/><Relationship Id="rId16" Type="http://schemas.openxmlformats.org/officeDocument/2006/relationships/image" Target="media/image5.jpe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gguri@uw.edu" TargetMode="External"/><Relationship Id="rId5" Type="http://schemas.openxmlformats.org/officeDocument/2006/relationships/numbering" Target="numbering.xml"/><Relationship Id="rId15" Type="http://schemas.openxmlformats.org/officeDocument/2006/relationships/image" Target="media/image4.jpeg"/><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TaxCatchAll xmlns="e5463dcc-74d8-4a6a-b833-5b6a5bf6ac74" xsi:nil="true"/>
    <lcf76f155ced4ddcb4097134ff3c332f xmlns="80a59180-a799-4de9-8487-2667bf4ebbcc">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61903E692AEAAC4B9B6DC6F5FC7582B7" ma:contentTypeVersion="15" ma:contentTypeDescription="Create a new document." ma:contentTypeScope="" ma:versionID="881e56ae7d790864f035c11254ad00b0">
  <xsd:schema xmlns:xsd="http://www.w3.org/2001/XMLSchema" xmlns:xs="http://www.w3.org/2001/XMLSchema" xmlns:p="http://schemas.microsoft.com/office/2006/metadata/properties" xmlns:ns2="80a59180-a799-4de9-8487-2667bf4ebbcc" xmlns:ns3="e5463dcc-74d8-4a6a-b833-5b6a5bf6ac74" targetNamespace="http://schemas.microsoft.com/office/2006/metadata/properties" ma:root="true" ma:fieldsID="a7baf26f5b12e980b6e6393f12949fee" ns2:_="" ns3:_="">
    <xsd:import namespace="80a59180-a799-4de9-8487-2667bf4ebbcc"/>
    <xsd:import namespace="e5463dcc-74d8-4a6a-b833-5b6a5bf6ac7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Locatio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0a59180-a799-4de9-8487-2667bf4ebbc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Location" ma:index="13" nillable="true" ma:displayName="Location" ma:indexed="true" ma:internalName="MediaServiceLocatio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e20148b9-20a4-48a0-acba-ba52d68a37a3"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5463dcc-74d8-4a6a-b833-5b6a5bf6ac74"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caedc4da-b107-455e-8f72-bf97e58b694a}" ma:internalName="TaxCatchAll" ma:showField="CatchAllData" ma:web="e5463dcc-74d8-4a6a-b833-5b6a5bf6ac74">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7137F30-1DE0-B648-968A-246654F8D332}">
  <ds:schemaRefs>
    <ds:schemaRef ds:uri="http://schemas.openxmlformats.org/officeDocument/2006/bibliography"/>
  </ds:schemaRefs>
</ds:datastoreItem>
</file>

<file path=customXml/itemProps2.xml><?xml version="1.0" encoding="utf-8"?>
<ds:datastoreItem xmlns:ds="http://schemas.openxmlformats.org/officeDocument/2006/customXml" ds:itemID="{77FC3397-ED89-4CCC-8FAA-3DEC2349C398}">
  <ds:schemaRefs>
    <ds:schemaRef ds:uri="http://schemas.microsoft.com/office/2006/metadata/properties"/>
    <ds:schemaRef ds:uri="http://schemas.microsoft.com/office/infopath/2007/PartnerControls"/>
    <ds:schemaRef ds:uri="e5463dcc-74d8-4a6a-b833-5b6a5bf6ac74"/>
    <ds:schemaRef ds:uri="80a59180-a799-4de9-8487-2667bf4ebbcc"/>
  </ds:schemaRefs>
</ds:datastoreItem>
</file>

<file path=customXml/itemProps3.xml><?xml version="1.0" encoding="utf-8"?>
<ds:datastoreItem xmlns:ds="http://schemas.openxmlformats.org/officeDocument/2006/customXml" ds:itemID="{A524DDA5-D586-4AD8-94A0-BDC62954F29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0a59180-a799-4de9-8487-2667bf4ebbcc"/>
    <ds:schemaRef ds:uri="e5463dcc-74d8-4a6a-b833-5b6a5bf6ac7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88FA728-015D-44AF-9219-4C87A77886F0}">
  <ds:schemaRefs>
    <ds:schemaRef ds:uri="http://schemas.microsoft.com/sharepoint/v3/contenttype/forms"/>
  </ds:schemaRefs>
</ds:datastoreItem>
</file>

<file path=docMetadata/LabelInfo.xml><?xml version="1.0" encoding="utf-8"?>
<clbl:labelList xmlns:clbl="http://schemas.microsoft.com/office/2020/mipLabelMetadata">
  <clbl:label id="{f6b6dd5b-f02f-441a-99a0-162ac5060bd2}" enabled="0" method="" siteId="{f6b6dd5b-f02f-441a-99a0-162ac5060bd2}" removed="1"/>
</clbl:labelList>
</file>

<file path=docProps/app.xml><?xml version="1.0" encoding="utf-8"?>
<Properties xmlns="http://schemas.openxmlformats.org/officeDocument/2006/extended-properties" xmlns:vt="http://schemas.openxmlformats.org/officeDocument/2006/docPropsVTypes">
  <Template>Normal.dotm</Template>
  <TotalTime>268</TotalTime>
  <Pages>36</Pages>
  <Words>27372</Words>
  <Characters>156021</Characters>
  <Application>Microsoft Office Word</Application>
  <DocSecurity>0</DocSecurity>
  <Lines>1300</Lines>
  <Paragraphs>366</Paragraphs>
  <ScaleCrop>false</ScaleCrop>
  <HeadingPairs>
    <vt:vector size="2" baseType="variant">
      <vt:variant>
        <vt:lpstr>Title</vt:lpstr>
      </vt:variant>
      <vt:variant>
        <vt:i4>1</vt:i4>
      </vt:variant>
    </vt:vector>
  </HeadingPairs>
  <TitlesOfParts>
    <vt:vector size="1" baseType="lpstr">
      <vt:lpstr>Smart eDNA sampling strategies: Species spatial autocorrelation can guide efficient marine survey design</vt:lpstr>
    </vt:vector>
  </TitlesOfParts>
  <Company/>
  <LinksUpToDate>false</LinksUpToDate>
  <CharactersWithSpaces>183027</CharactersWithSpaces>
  <SharedDoc>false</SharedDoc>
  <HLinks>
    <vt:vector size="84" baseType="variant">
      <vt:variant>
        <vt:i4>2097276</vt:i4>
      </vt:variant>
      <vt:variant>
        <vt:i4>42</vt:i4>
      </vt:variant>
      <vt:variant>
        <vt:i4>0</vt:i4>
      </vt:variant>
      <vt:variant>
        <vt:i4>5</vt:i4>
      </vt:variant>
      <vt:variant>
        <vt:lpwstr>https://doi.org/10.1098/rspb.2021.2613</vt:lpwstr>
      </vt:variant>
      <vt:variant>
        <vt:lpwstr/>
      </vt:variant>
      <vt:variant>
        <vt:i4>5046343</vt:i4>
      </vt:variant>
      <vt:variant>
        <vt:i4>39</vt:i4>
      </vt:variant>
      <vt:variant>
        <vt:i4>0</vt:i4>
      </vt:variant>
      <vt:variant>
        <vt:i4>5</vt:i4>
      </vt:variant>
      <vt:variant>
        <vt:lpwstr>https://doi.org/10.1371/journal.pone.0257773</vt:lpwstr>
      </vt:variant>
      <vt:variant>
        <vt:lpwstr/>
      </vt:variant>
      <vt:variant>
        <vt:i4>2293860</vt:i4>
      </vt:variant>
      <vt:variant>
        <vt:i4>36</vt:i4>
      </vt:variant>
      <vt:variant>
        <vt:i4>0</vt:i4>
      </vt:variant>
      <vt:variant>
        <vt:i4>5</vt:i4>
      </vt:variant>
      <vt:variant>
        <vt:lpwstr>https://doi.org/10.1098/rsos.150088</vt:lpwstr>
      </vt:variant>
      <vt:variant>
        <vt:lpwstr/>
      </vt:variant>
      <vt:variant>
        <vt:i4>131152</vt:i4>
      </vt:variant>
      <vt:variant>
        <vt:i4>33</vt:i4>
      </vt:variant>
      <vt:variant>
        <vt:i4>0</vt:i4>
      </vt:variant>
      <vt:variant>
        <vt:i4>5</vt:i4>
      </vt:variant>
      <vt:variant>
        <vt:lpwstr>https://doi.org/10.1101/2025.10.30.685180</vt:lpwstr>
      </vt:variant>
      <vt:variant>
        <vt:lpwstr/>
      </vt:variant>
      <vt:variant>
        <vt:i4>2490420</vt:i4>
      </vt:variant>
      <vt:variant>
        <vt:i4>30</vt:i4>
      </vt:variant>
      <vt:variant>
        <vt:i4>0</vt:i4>
      </vt:variant>
      <vt:variant>
        <vt:i4>5</vt:i4>
      </vt:variant>
      <vt:variant>
        <vt:lpwstr>https://doi.org/10.1038/nmeth.3869</vt:lpwstr>
      </vt:variant>
      <vt:variant>
        <vt:lpwstr/>
      </vt:variant>
      <vt:variant>
        <vt:i4>2424955</vt:i4>
      </vt:variant>
      <vt:variant>
        <vt:i4>27</vt:i4>
      </vt:variant>
      <vt:variant>
        <vt:i4>0</vt:i4>
      </vt:variant>
      <vt:variant>
        <vt:i4>5</vt:i4>
      </vt:variant>
      <vt:variant>
        <vt:lpwstr/>
      </vt:variant>
      <vt:variant>
        <vt:lpwstr>fig:epsilon</vt:lpwstr>
      </vt:variant>
      <vt:variant>
        <vt:i4>655462</vt:i4>
      </vt:variant>
      <vt:variant>
        <vt:i4>24</vt:i4>
      </vt:variant>
      <vt:variant>
        <vt:i4>0</vt:i4>
      </vt:variant>
      <vt:variant>
        <vt:i4>5</vt:i4>
      </vt:variant>
      <vt:variant>
        <vt:lpwstr/>
      </vt:variant>
      <vt:variant>
        <vt:lpwstr>fig:epsilon_sp</vt:lpwstr>
      </vt:variant>
      <vt:variant>
        <vt:i4>2424955</vt:i4>
      </vt:variant>
      <vt:variant>
        <vt:i4>21</vt:i4>
      </vt:variant>
      <vt:variant>
        <vt:i4>0</vt:i4>
      </vt:variant>
      <vt:variant>
        <vt:i4>5</vt:i4>
      </vt:variant>
      <vt:variant>
        <vt:lpwstr/>
      </vt:variant>
      <vt:variant>
        <vt:lpwstr>fig:epsilon</vt:lpwstr>
      </vt:variant>
      <vt:variant>
        <vt:i4>2490476</vt:i4>
      </vt:variant>
      <vt:variant>
        <vt:i4>18</vt:i4>
      </vt:variant>
      <vt:variant>
        <vt:i4>0</vt:i4>
      </vt:variant>
      <vt:variant>
        <vt:i4>5</vt:i4>
      </vt:variant>
      <vt:variant>
        <vt:lpwstr/>
      </vt:variant>
      <vt:variant>
        <vt:lpwstr>fig:mu</vt:lpwstr>
      </vt:variant>
      <vt:variant>
        <vt:i4>2490476</vt:i4>
      </vt:variant>
      <vt:variant>
        <vt:i4>12</vt:i4>
      </vt:variant>
      <vt:variant>
        <vt:i4>0</vt:i4>
      </vt:variant>
      <vt:variant>
        <vt:i4>5</vt:i4>
      </vt:variant>
      <vt:variant>
        <vt:lpwstr/>
      </vt:variant>
      <vt:variant>
        <vt:lpwstr>fig:mu</vt:lpwstr>
      </vt:variant>
      <vt:variant>
        <vt:i4>3866739</vt:i4>
      </vt:variant>
      <vt:variant>
        <vt:i4>9</vt:i4>
      </vt:variant>
      <vt:variant>
        <vt:i4>0</vt:i4>
      </vt:variant>
      <vt:variant>
        <vt:i4>5</vt:i4>
      </vt:variant>
      <vt:variant>
        <vt:lpwstr/>
      </vt:variant>
      <vt:variant>
        <vt:lpwstr>fig:rho</vt:lpwstr>
      </vt:variant>
      <vt:variant>
        <vt:i4>4194355</vt:i4>
      </vt:variant>
      <vt:variant>
        <vt:i4>6</vt:i4>
      </vt:variant>
      <vt:variant>
        <vt:i4>0</vt:i4>
      </vt:variant>
      <vt:variant>
        <vt:i4>5</vt:i4>
      </vt:variant>
      <vt:variant>
        <vt:lpwstr/>
      </vt:variant>
      <vt:variant>
        <vt:lpwstr>tab:gp_priors</vt:lpwstr>
      </vt:variant>
      <vt:variant>
        <vt:i4>6488119</vt:i4>
      </vt:variant>
      <vt:variant>
        <vt:i4>3</vt:i4>
      </vt:variant>
      <vt:variant>
        <vt:i4>0</vt:i4>
      </vt:variant>
      <vt:variant>
        <vt:i4>5</vt:i4>
      </vt:variant>
      <vt:variant>
        <vt:lpwstr/>
      </vt:variant>
      <vt:variant>
        <vt:lpwstr>eq:Shat</vt:lpwstr>
      </vt:variant>
      <vt:variant>
        <vt:i4>6946871</vt:i4>
      </vt:variant>
      <vt:variant>
        <vt:i4>0</vt:i4>
      </vt:variant>
      <vt:variant>
        <vt:i4>0</vt:i4>
      </vt:variant>
      <vt:variant>
        <vt:i4>5</vt:i4>
      </vt:variant>
      <vt:variant>
        <vt:lpwstr/>
      </vt:variant>
      <vt:variant>
        <vt:lpwstr>eq:Zhat</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eDNA sampling strategies: Species spatial autocorrelation can guide efficient marine survey design</dc:title>
  <dc:subject/>
  <dc:creator>Gledis Guri^1*; Ryan P. Kelly^1; Ole Shelton2^2*; Krista M. Nichols^2; others</dc:creator>
  <cp:keywords/>
  <cp:lastModifiedBy>Gledis Guri</cp:lastModifiedBy>
  <cp:revision>26</cp:revision>
  <cp:lastPrinted>2026-04-15T23:13:00Z</cp:lastPrinted>
  <dcterms:created xsi:type="dcterms:W3CDTF">2026-07-29T05:29:00Z</dcterms:created>
  <dcterms:modified xsi:type="dcterms:W3CDTF">2026-08-05T10:02:00Z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bibliography">
    <vt:lpwstr>Bib.bib</vt:lpwstr>
  </property>
  <property fmtid="{D5CDD505-2E9C-101B-9397-08002B2CF9AE}" pid="5" name="ccsDelim">
    <vt:lpwstr>, </vt:lpwstr>
  </property>
  <property fmtid="{D5CDD505-2E9C-101B-9397-08002B2CF9AE}" pid="6" name="ccsLabelSep">
    <vt:lpwstr> — </vt:lpwstr>
  </property>
  <property fmtid="{D5CDD505-2E9C-101B-9397-08002B2CF9AE}" pid="7" name="ccsTemplate">
    <vt:lpwstr>iccsLabelSept</vt:lpwstr>
  </property>
  <property fmtid="{D5CDD505-2E9C-101B-9397-08002B2CF9AE}" pid="8" name="chapDelim">
    <vt:lpwstr>.</vt:lpwstr>
  </property>
  <property fmtid="{D5CDD505-2E9C-101B-9397-08002B2CF9AE}" pid="9" name="chapters">
    <vt:lpwstr>False</vt:lpwstr>
  </property>
  <property fmtid="{D5CDD505-2E9C-101B-9397-08002B2CF9AE}" pid="10" name="chaptersDepth">
    <vt:lpwstr>1</vt:lpwstr>
  </property>
  <property fmtid="{D5CDD505-2E9C-101B-9397-08002B2CF9AE}" pid="11" name="codeBlockCaptions">
    <vt:lpwstr>False</vt:lpwstr>
  </property>
  <property fmtid="{D5CDD505-2E9C-101B-9397-08002B2CF9AE}" pid="12" name="cref">
    <vt:lpwstr>False</vt:lpwstr>
  </property>
  <property fmtid="{D5CDD505-2E9C-101B-9397-08002B2CF9AE}" pid="13" name="crossrefYaml">
    <vt:lpwstr>pandoc-crossref.yaml</vt:lpwstr>
  </property>
  <property fmtid="{D5CDD505-2E9C-101B-9397-08002B2CF9AE}" pid="14" name="csl">
    <vt:lpwstr>/Users/gledguri/Local/Pandoc/csl_styles/ecological-applications.csl</vt:lpwstr>
  </property>
  <property fmtid="{D5CDD505-2E9C-101B-9397-08002B2CF9AE}" pid="15" name="date">
    <vt:lpwstr>2025-11-19</vt:lpwstr>
  </property>
  <property fmtid="{D5CDD505-2E9C-101B-9397-08002B2CF9AE}" pid="16" name="eqLabels">
    <vt:lpwstr>arabic</vt:lpwstr>
  </property>
  <property fmtid="{D5CDD505-2E9C-101B-9397-08002B2CF9AE}" pid="17" name="eqnBlockInlineMath">
    <vt:lpwstr>False</vt:lpwstr>
  </property>
  <property fmtid="{D5CDD505-2E9C-101B-9397-08002B2CF9AE}" pid="18" name="eqnBlockTemplate">
    <vt:lpwstr>ti</vt:lpwstr>
  </property>
  <property fmtid="{D5CDD505-2E9C-101B-9397-08002B2CF9AE}" pid="19" name="eqnDisplayTemplate">
    <vt:lpwstr>e</vt:lpwstr>
  </property>
  <property fmtid="{D5CDD505-2E9C-101B-9397-08002B2CF9AE}" pid="20" name="eqnIndexTemplate">
    <vt:lpwstr>(i)</vt:lpwstr>
  </property>
  <property fmtid="{D5CDD505-2E9C-101B-9397-08002B2CF9AE}" pid="21" name="eqnInlineTableTemplate">
    <vt:lpwstr>e</vt:lpwstr>
  </property>
  <property fmtid="{D5CDD505-2E9C-101B-9397-08002B2CF9AE}" pid="22" name="eqnInlineTemplate">
    <vt:lpwstr>eequationNumberTeX{i}</vt:lpwstr>
  </property>
  <property fmtid="{D5CDD505-2E9C-101B-9397-08002B2CF9AE}" pid="23" name="eqnPrefix">
    <vt:lpwstr/>
  </property>
  <property fmtid="{D5CDD505-2E9C-101B-9397-08002B2CF9AE}" pid="24" name="eqnPrefixTemplate">
    <vt:lpwstr>p i</vt:lpwstr>
  </property>
  <property fmtid="{D5CDD505-2E9C-101B-9397-08002B2CF9AE}" pid="25" name="equationNumberTeX">
    <vt:lpwstr>\qquad</vt:lpwstr>
  </property>
  <property fmtid="{D5CDD505-2E9C-101B-9397-08002B2CF9AE}" pid="26" name="figLabels">
    <vt:lpwstr>arabic</vt:lpwstr>
  </property>
  <property fmtid="{D5CDD505-2E9C-101B-9397-08002B2CF9AE}" pid="27" name="figPrefix">
    <vt:lpwstr/>
  </property>
  <property fmtid="{D5CDD505-2E9C-101B-9397-08002B2CF9AE}" pid="28" name="figPrefixTemplate">
    <vt:lpwstr>p i</vt:lpwstr>
  </property>
  <property fmtid="{D5CDD505-2E9C-101B-9397-08002B2CF9AE}" pid="29" name="figureTemplate">
    <vt:lpwstr>figureTitle ititleDelim t</vt:lpwstr>
  </property>
  <property fmtid="{D5CDD505-2E9C-101B-9397-08002B2CF9AE}" pid="30" name="figureTitle">
    <vt:lpwstr>Figure</vt:lpwstr>
  </property>
  <property fmtid="{D5CDD505-2E9C-101B-9397-08002B2CF9AE}" pid="31" name="lastDelim">
    <vt:lpwstr>, </vt:lpwstr>
  </property>
  <property fmtid="{D5CDD505-2E9C-101B-9397-08002B2CF9AE}" pid="32" name="linkReferences">
    <vt:lpwstr>False</vt:lpwstr>
  </property>
  <property fmtid="{D5CDD505-2E9C-101B-9397-08002B2CF9AE}" pid="33" name="listItemTitleDelim">
    <vt:lpwstr>.</vt:lpwstr>
  </property>
  <property fmtid="{D5CDD505-2E9C-101B-9397-08002B2CF9AE}" pid="34" name="listingTemplate">
    <vt:lpwstr>listingTitle ititleDelim t</vt:lpwstr>
  </property>
  <property fmtid="{D5CDD505-2E9C-101B-9397-08002B2CF9AE}" pid="35" name="listingTitle">
    <vt:lpwstr>Listing</vt:lpwstr>
  </property>
  <property fmtid="{D5CDD505-2E9C-101B-9397-08002B2CF9AE}" pid="36" name="listings">
    <vt:lpwstr>False</vt:lpwstr>
  </property>
  <property fmtid="{D5CDD505-2E9C-101B-9397-08002B2CF9AE}" pid="37" name="lofItemTemplate">
    <vt:lpwstr>lofItemTitleilistItemTitleDelimt </vt:lpwstr>
  </property>
  <property fmtid="{D5CDD505-2E9C-101B-9397-08002B2CF9AE}" pid="38" name="lofItemTitle">
    <vt:lpwstr/>
  </property>
  <property fmtid="{D5CDD505-2E9C-101B-9397-08002B2CF9AE}" pid="39" name="lofTitle">
    <vt:lpwstr>List of Figures</vt:lpwstr>
  </property>
  <property fmtid="{D5CDD505-2E9C-101B-9397-08002B2CF9AE}" pid="40" name="lolItemTemplate">
    <vt:lpwstr>lolItemTitleilistItemTitleDelimt </vt:lpwstr>
  </property>
  <property fmtid="{D5CDD505-2E9C-101B-9397-08002B2CF9AE}" pid="41" name="lolItemTitle">
    <vt:lpwstr/>
  </property>
  <property fmtid="{D5CDD505-2E9C-101B-9397-08002B2CF9AE}" pid="42" name="lolTitle">
    <vt:lpwstr>List of Listings</vt:lpwstr>
  </property>
  <property fmtid="{D5CDD505-2E9C-101B-9397-08002B2CF9AE}" pid="43" name="lotItemTemplate">
    <vt:lpwstr>lotItemTitleilistItemTitleDelimt </vt:lpwstr>
  </property>
  <property fmtid="{D5CDD505-2E9C-101B-9397-08002B2CF9AE}" pid="44" name="lotItemTitle">
    <vt:lpwstr/>
  </property>
  <property fmtid="{D5CDD505-2E9C-101B-9397-08002B2CF9AE}" pid="45" name="lotTitle">
    <vt:lpwstr>List of Tables</vt:lpwstr>
  </property>
  <property fmtid="{D5CDD505-2E9C-101B-9397-08002B2CF9AE}" pid="46" name="lstLabels">
    <vt:lpwstr>arabic</vt:lpwstr>
  </property>
  <property fmtid="{D5CDD505-2E9C-101B-9397-08002B2CF9AE}" pid="47" name="lstPrefix">
    <vt:lpwstr/>
  </property>
  <property fmtid="{D5CDD505-2E9C-101B-9397-08002B2CF9AE}" pid="48" name="lstPrefixTemplate">
    <vt:lpwstr>p i</vt:lpwstr>
  </property>
  <property fmtid="{D5CDD505-2E9C-101B-9397-08002B2CF9AE}" pid="49" name="nameInLink">
    <vt:lpwstr>False</vt:lpwstr>
  </property>
  <property fmtid="{D5CDD505-2E9C-101B-9397-08002B2CF9AE}" pid="50" name="numberSections">
    <vt:lpwstr>False</vt:lpwstr>
  </property>
  <property fmtid="{D5CDD505-2E9C-101B-9397-08002B2CF9AE}" pid="51" name="pairDelim">
    <vt:lpwstr>, </vt:lpwstr>
  </property>
  <property fmtid="{D5CDD505-2E9C-101B-9397-08002B2CF9AE}" pid="52" name="rangeDelim">
    <vt:lpwstr>-</vt:lpwstr>
  </property>
  <property fmtid="{D5CDD505-2E9C-101B-9397-08002B2CF9AE}" pid="53" name="refDelim">
    <vt:lpwstr>, </vt:lpwstr>
  </property>
  <property fmtid="{D5CDD505-2E9C-101B-9397-08002B2CF9AE}" pid="54" name="refIndexTemplate">
    <vt:lpwstr>isuf</vt:lpwstr>
  </property>
  <property fmtid="{D5CDD505-2E9C-101B-9397-08002B2CF9AE}" pid="55" name="secHeaderDelim">
    <vt:lpwstr> </vt:lpwstr>
  </property>
  <property fmtid="{D5CDD505-2E9C-101B-9397-08002B2CF9AE}" pid="56" name="secHeaderTemplate">
    <vt:lpwstr>isecHeaderDelim[n]t</vt:lpwstr>
  </property>
  <property fmtid="{D5CDD505-2E9C-101B-9397-08002B2CF9AE}" pid="57" name="secLabels">
    <vt:lpwstr>arabic</vt:lpwstr>
  </property>
  <property fmtid="{D5CDD505-2E9C-101B-9397-08002B2CF9AE}" pid="58" name="secPrefix">
    <vt:lpwstr/>
  </property>
  <property fmtid="{D5CDD505-2E9C-101B-9397-08002B2CF9AE}" pid="59" name="secPrefixTemplate">
    <vt:lpwstr>p i</vt:lpwstr>
  </property>
  <property fmtid="{D5CDD505-2E9C-101B-9397-08002B2CF9AE}" pid="60" name="sectionsDepth">
    <vt:lpwstr>0</vt:lpwstr>
  </property>
  <property fmtid="{D5CDD505-2E9C-101B-9397-08002B2CF9AE}" pid="61" name="subfigGrid">
    <vt:lpwstr>False</vt:lpwstr>
  </property>
  <property fmtid="{D5CDD505-2E9C-101B-9397-08002B2CF9AE}" pid="62" name="subfigLabels">
    <vt:lpwstr>alpha a</vt:lpwstr>
  </property>
  <property fmtid="{D5CDD505-2E9C-101B-9397-08002B2CF9AE}" pid="63" name="subfigureChildTemplate">
    <vt:lpwstr>i</vt:lpwstr>
  </property>
  <property fmtid="{D5CDD505-2E9C-101B-9397-08002B2CF9AE}" pid="64" name="subfigureRefIndexTemplate">
    <vt:lpwstr>isuf (s)</vt:lpwstr>
  </property>
  <property fmtid="{D5CDD505-2E9C-101B-9397-08002B2CF9AE}" pid="65" name="subfigureTemplate">
    <vt:lpwstr>figureTitle ititleDelim t. ccs</vt:lpwstr>
  </property>
  <property fmtid="{D5CDD505-2E9C-101B-9397-08002B2CF9AE}" pid="66" name="tableEqns">
    <vt:lpwstr>False</vt:lpwstr>
  </property>
  <property fmtid="{D5CDD505-2E9C-101B-9397-08002B2CF9AE}" pid="67" name="tableTemplate">
    <vt:lpwstr>tableTitle ititleDelim t</vt:lpwstr>
  </property>
  <property fmtid="{D5CDD505-2E9C-101B-9397-08002B2CF9AE}" pid="68" name="tableTitle">
    <vt:lpwstr>Table</vt:lpwstr>
  </property>
  <property fmtid="{D5CDD505-2E9C-101B-9397-08002B2CF9AE}" pid="69" name="tblLabels">
    <vt:lpwstr>arabic</vt:lpwstr>
  </property>
  <property fmtid="{D5CDD505-2E9C-101B-9397-08002B2CF9AE}" pid="70" name="tblPrefix">
    <vt:lpwstr/>
  </property>
  <property fmtid="{D5CDD505-2E9C-101B-9397-08002B2CF9AE}" pid="71" name="tblPrefixTemplate">
    <vt:lpwstr>p i</vt:lpwstr>
  </property>
  <property fmtid="{D5CDD505-2E9C-101B-9397-08002B2CF9AE}" pid="72" name="titleDelim">
    <vt:lpwstr>:</vt:lpwstr>
  </property>
  <property fmtid="{D5CDD505-2E9C-101B-9397-08002B2CF9AE}" pid="73" name="ContentTypeId">
    <vt:lpwstr>0x01010061903E692AEAAC4B9B6DC6F5FC7582B7</vt:lpwstr>
  </property>
  <property fmtid="{D5CDD505-2E9C-101B-9397-08002B2CF9AE}" pid="74" name="ZOTERO_PREF_1">
    <vt:lpwstr>&lt;data data-version="3" zotero-version="9.0.6"&gt;&lt;session id="KoN9VrR8"/&gt;&lt;style id="http://www.zotero.org/styles/apa" locale="en-US" hasBibliography="1" bibliographyStyleHasBeenSet="1"/&gt;&lt;prefs&gt;&lt;pref name="fieldType" value="Field"/&gt;&lt;pref name="automaticJourna</vt:lpwstr>
  </property>
  <property fmtid="{D5CDD505-2E9C-101B-9397-08002B2CF9AE}" pid="75" name="ZOTERO_PREF_2">
    <vt:lpwstr>lAbbreviations" value="true"/&gt;&lt;/prefs&gt;&lt;/data&gt;</vt:lpwstr>
  </property>
</Properties>
</file>