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55629DBE"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5E765B">
            <w:pPr>
              <w:pStyle w:val="Compact"/>
              <w:spacing w:line="360" w:lineRule="auto"/>
            </w:pPr>
            <w:r w:rsidRPr="00C40337">
              <w:t>1</w:t>
            </w:r>
          </w:p>
        </w:tc>
        <w:tc>
          <w:tcPr>
            <w:tcW w:w="0" w:type="auto"/>
          </w:tcPr>
          <w:p w14:paraId="5516F16B" w14:textId="77777777" w:rsidR="0032076E" w:rsidRPr="00C40337" w:rsidRDefault="00D04708" w:rsidP="005E765B">
            <w:pPr>
              <w:pStyle w:val="Compact"/>
              <w:spacing w:line="360" w:lineRule="auto"/>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5E765B">
            <w:pPr>
              <w:pStyle w:val="Compact"/>
              <w:spacing w:line="360" w:lineRule="auto"/>
            </w:pPr>
            <w:r w:rsidRPr="00C40337">
              <w:t>2</w:t>
            </w:r>
          </w:p>
        </w:tc>
        <w:tc>
          <w:tcPr>
            <w:tcW w:w="0" w:type="auto"/>
          </w:tcPr>
          <w:p w14:paraId="5516F16E" w14:textId="7EB1D1F9" w:rsidR="0032076E" w:rsidRPr="00C40337" w:rsidRDefault="00D04708" w:rsidP="005E765B">
            <w:pPr>
              <w:pStyle w:val="Compact"/>
              <w:spacing w:line="360" w:lineRule="auto"/>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5E765B">
            <w:pPr>
              <w:pStyle w:val="Compact"/>
              <w:spacing w:line="360" w:lineRule="auto"/>
            </w:pPr>
            <w:r>
              <w:t>3</w:t>
            </w:r>
          </w:p>
        </w:tc>
        <w:tc>
          <w:tcPr>
            <w:tcW w:w="0" w:type="auto"/>
          </w:tcPr>
          <w:p w14:paraId="68876C7C" w14:textId="260617C8" w:rsidR="00056B67" w:rsidRDefault="00056B67">
            <w:pPr>
              <w:pStyle w:val="Compact"/>
              <w:spacing w:line="360" w:lineRule="auto"/>
            </w:pPr>
            <w:r>
              <w:t>School of Aquatic and Fishery Sciences, University of Washington, Seattle, Washington, USA</w:t>
            </w:r>
          </w:p>
          <w:p w14:paraId="5516F171" w14:textId="77777777" w:rsidR="00056B67" w:rsidRPr="00C40337" w:rsidRDefault="00056B67" w:rsidP="005E765B">
            <w:pPr>
              <w:pStyle w:val="Compact"/>
              <w:spacing w:line="360" w:lineRule="auto"/>
            </w:pPr>
          </w:p>
        </w:tc>
      </w:tr>
      <w:tr w:rsidR="0032076E" w:rsidRPr="00C40337" w14:paraId="5516F175" w14:textId="77777777" w:rsidTr="005E765B">
        <w:tc>
          <w:tcPr>
            <w:tcW w:w="0" w:type="auto"/>
          </w:tcPr>
          <w:p w14:paraId="5516F173" w14:textId="77777777" w:rsidR="0032076E" w:rsidRPr="00C40337" w:rsidRDefault="0032076E" w:rsidP="00A762C2">
            <w:pPr>
              <w:pStyle w:val="Compact"/>
              <w:spacing w:before="0" w:after="0"/>
            </w:pPr>
          </w:p>
        </w:tc>
        <w:tc>
          <w:tcPr>
            <w:tcW w:w="0" w:type="auto"/>
          </w:tcPr>
          <w:p w14:paraId="70C9E80A" w14:textId="67098AAB" w:rsidR="0032076E" w:rsidRPr="00C40337" w:rsidRDefault="00D04708" w:rsidP="00A762C2">
            <w:pPr>
              <w:pStyle w:val="Compact"/>
              <w:spacing w:before="0" w:after="0"/>
              <w:rPr>
                <w:b/>
              </w:rPr>
            </w:pPr>
            <w:r w:rsidRPr="00C40337">
              <w:t xml:space="preserve">corresponding author </w:t>
            </w:r>
            <w:hyperlink r:id="rId9" w:history="1">
              <w:r w:rsidR="00D477E6" w:rsidRPr="00C40337">
                <w:rPr>
                  <w:rStyle w:val="Hyperlink"/>
                  <w:rFonts w:cs="Times New Roman"/>
                  <w:b/>
                </w:rPr>
                <w:t>gguri@uw.edu</w:t>
              </w:r>
            </w:hyperlink>
          </w:p>
          <w:p w14:paraId="5516F174" w14:textId="77777777" w:rsidR="00D477E6" w:rsidRPr="00C40337" w:rsidRDefault="00D477E6" w:rsidP="00A762C2">
            <w:pPr>
              <w:pStyle w:val="Compact"/>
              <w:spacing w:before="0" w:after="0"/>
            </w:pPr>
          </w:p>
        </w:tc>
      </w:tr>
    </w:tbl>
    <w:p w14:paraId="5516F176" w14:textId="77777777" w:rsidR="0032076E" w:rsidRDefault="00D04708" w:rsidP="00A762C2">
      <w:pPr>
        <w:pStyle w:val="Heading1"/>
        <w:spacing w:before="0" w:after="0"/>
      </w:pPr>
      <w:bookmarkStart w:id="1" w:name="abstract"/>
      <w:bookmarkEnd w:id="0"/>
      <w:r>
        <w:t>Abstract</w:t>
      </w:r>
    </w:p>
    <w:p w14:paraId="00579BD7" w14:textId="713A138E" w:rsidR="00915163" w:rsidRDefault="00CE2A1B" w:rsidP="00CF49E6">
      <w:pPr>
        <w:pStyle w:val="BodyText"/>
        <w:spacing w:line="360" w:lineRule="auto"/>
      </w:pPr>
      <w:r>
        <w:t>T</w:t>
      </w:r>
      <w:r w:rsidR="00187296" w:rsidRPr="00187296">
        <w:t>here is a growing need to define sampling strategies that accurately capture spatial patterns</w:t>
      </w:r>
      <w:r>
        <w:t xml:space="preserve"> of e</w:t>
      </w:r>
      <w:r w:rsidRPr="00187296">
        <w:t>nvironmental DNA (eDNA)</w:t>
      </w:r>
      <w:r>
        <w:t>, which</w:t>
      </w:r>
      <w:r w:rsidRPr="00187296">
        <w:t xml:space="preserve"> has become a powerful tool for biodiversity monitoring</w:t>
      </w:r>
      <w:r w:rsidR="00915163" w:rsidRPr="00915163">
        <w:t xml:space="preserve">. </w:t>
      </w:r>
      <w:r w:rsidR="00146302">
        <w:t xml:space="preserve">Here, we combine empirical fish eDNA data from the U.S. Pacific coast with a series of simulated sampling scenarios to evaluate how sampling effort in marine eDNA surveys influences the estimation of eDNA concentration and spatial distribution. </w:t>
      </w:r>
      <w:r w:rsidR="00CF49E6" w:rsidRPr="00CF49E6">
        <w:t xml:space="preserve">First, we fitted a Gaussian Process (GP) model for each species to estimate spatial parameters and then used the range of those parameter values to simulate spatial fields representing different degrees of spatial autocorrelation. </w:t>
      </w:r>
      <w:r w:rsidR="00CF49E6">
        <w:t>Second, we</w:t>
      </w:r>
      <w:r w:rsidR="00CF49E6" w:rsidRPr="00CF49E6">
        <w:t xml:space="preserve"> simulated sampling from those fields at different densities and used the resulting samples to evaluate prediction error and parameter recovery under reduced sampling effort. </w:t>
      </w:r>
      <w:r w:rsidR="00915163" w:rsidRPr="00915163">
        <w:t xml:space="preserve">We then compared these results </w:t>
      </w:r>
      <w:r w:rsidR="004D2F70" w:rsidRPr="00915163">
        <w:t>with</w:t>
      </w:r>
      <w:r w:rsidR="004D2F70">
        <w:t xml:space="preserve"> </w:t>
      </w:r>
      <w:r w:rsidR="004D2F70" w:rsidRPr="004D2F70">
        <w:rPr>
          <w:i/>
          <w:iCs/>
        </w:rPr>
        <w:t>in-</w:t>
      </w:r>
      <w:r w:rsidR="00915163" w:rsidRPr="004D2F70">
        <w:rPr>
          <w:i/>
          <w:iCs/>
        </w:rPr>
        <w:t>situ</w:t>
      </w:r>
      <w:r w:rsidR="00915163" w:rsidRPr="00915163">
        <w:t xml:space="preserve"> eDNA observations from 358 sampling sites. Across both simulated and empirical datasets, prediction accuracy improved with </w:t>
      </w:r>
      <w:r w:rsidR="0043272B">
        <w:t>higher</w:t>
      </w:r>
      <w:r w:rsidR="00915163" w:rsidRPr="00915163">
        <w:t xml:space="preserve"> spatial autocorrelation</w:t>
      </w:r>
      <w:r w:rsidR="00B54FAB">
        <w:t xml:space="preserve"> and </w:t>
      </w:r>
      <w:r w:rsidR="00B54FAB" w:rsidRPr="00B54FAB">
        <w:t>increasing sampling density</w:t>
      </w:r>
      <w:r w:rsidR="006549D2">
        <w:t xml:space="preserve"> </w:t>
      </w:r>
      <w:r w:rsidR="006549D2" w:rsidRPr="006549D2">
        <w:t xml:space="preserve">with the largest marginal gains in </w:t>
      </w:r>
      <w:r w:rsidR="00840904">
        <w:t xml:space="preserve">accuracy </w:t>
      </w:r>
      <w:r w:rsidR="006549D2" w:rsidRPr="006549D2">
        <w:t xml:space="preserve">occurring at around 6 </w:t>
      </w:r>
      <w:r w:rsidR="006549D2" w:rsidRPr="006549D2">
        <w:lastRenderedPageBreak/>
        <w:t>samples</w:t>
      </w:r>
      <w:r w:rsidR="00760AB6">
        <w:t xml:space="preserve"> per 10000 km</w:t>
      </w:r>
      <w:r w:rsidR="00760AB6" w:rsidRPr="00760AB6">
        <w:rPr>
          <w:vertAlign w:val="superscript"/>
        </w:rPr>
        <w:t>2</w:t>
      </w:r>
      <w:r w:rsidR="00915163" w:rsidRPr="00915163">
        <w:t xml:space="preserve">. </w:t>
      </w:r>
      <w:r w:rsidR="009413CC">
        <w:t>D</w:t>
      </w:r>
      <w:r w:rsidR="00915163" w:rsidRPr="00915163">
        <w:t xml:space="preserve">epth-specific mean </w:t>
      </w:r>
      <w:r w:rsidR="00760AB6">
        <w:t xml:space="preserve">concentration </w:t>
      </w:r>
      <w:r w:rsidR="00915163" w:rsidRPr="00915163">
        <w:t>estimates were comparatively robust to thinning, whereas recovery of the spatial autocorrelation parameter was much more sensitive to reduced sampling effort and spacing among sites. These findings show that optimal eDNA sampling effort depends on the spatial structure of the target tax</w:t>
      </w:r>
      <w:r w:rsidR="00ED671E">
        <w:t>on</w:t>
      </w:r>
      <w:r w:rsidR="00915163" w:rsidRPr="00915163">
        <w:t xml:space="preserve"> and the inferential objective of the survey. Rather than supporting a universal sampling threshold, our results provide a quantitative framework for designing cost-effective marine eDNA surveys tailored to prediction, abundance indexing, and spatial ecological inference.</w:t>
      </w:r>
    </w:p>
    <w:p w14:paraId="76C1BD25" w14:textId="77777777" w:rsidR="00D477E6" w:rsidRPr="00915163" w:rsidRDefault="00D477E6" w:rsidP="00BC2A9B">
      <w:pPr>
        <w:pStyle w:val="BodyText"/>
        <w:spacing w:line="360" w:lineRule="auto"/>
      </w:pPr>
    </w:p>
    <w:p w14:paraId="5516F177" w14:textId="548551F0" w:rsidR="0032076E" w:rsidRDefault="00D04708" w:rsidP="00BC2A9B">
      <w:pPr>
        <w:pStyle w:val="FirstParagraph"/>
        <w:spacing w:line="36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BC2A9B">
      <w:pPr>
        <w:pStyle w:val="BodyText"/>
        <w:spacing w:line="360" w:lineRule="auto"/>
      </w:pPr>
    </w:p>
    <w:p w14:paraId="5516F178" w14:textId="77777777" w:rsidR="0032076E" w:rsidRDefault="00D04708" w:rsidP="00BC2A9B">
      <w:pPr>
        <w:pStyle w:val="Heading1"/>
        <w:spacing w:before="0" w:after="0" w:line="360" w:lineRule="auto"/>
      </w:pPr>
      <w:bookmarkStart w:id="2" w:name="introduction"/>
      <w:bookmarkEnd w:id="1"/>
      <w:r>
        <w:t>Introduction</w:t>
      </w:r>
    </w:p>
    <w:p w14:paraId="7F890A56" w14:textId="27F7033A" w:rsidR="001E4A9B" w:rsidRDefault="00383EED" w:rsidP="00BC2A9B">
      <w:pPr>
        <w:pStyle w:val="BodyText"/>
        <w:spacing w:line="360" w:lineRule="auto"/>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w:t>
      </w:r>
      <w:r w:rsidR="00D34A36">
        <w:t>; all of these require a sample size appropriate for reliably estimating</w:t>
      </w:r>
      <w:r w:rsidR="00D04708">
        <w:t xml:space="preserve"> population parameters including abundance, demographic structure, and spatial distribution patterns. This process must balance the need for sufficient data for detecting trends and changes in population while also </w:t>
      </w:r>
      <w:r w:rsidR="0064739E">
        <w:t xml:space="preserve">minimizing cost </w:t>
      </w:r>
      <w:r w:rsidR="00AC1942">
        <w:t>(</w:t>
      </w:r>
      <w:r w:rsidR="0064739E">
        <w:t xml:space="preserve">i.e., maximizing </w:t>
      </w:r>
      <w:r w:rsidR="0035007B">
        <w:t xml:space="preserve">sampling </w:t>
      </w:r>
      <w:r w:rsidR="00AC1942">
        <w:t>efficiency)</w:t>
      </w:r>
      <w:r w:rsidR="00D04708">
        <w:t xml:space="preserve">. </w:t>
      </w:r>
    </w:p>
    <w:p w14:paraId="25688A63" w14:textId="77777777" w:rsidR="00D477E6" w:rsidRDefault="00D477E6" w:rsidP="0015179F">
      <w:pPr>
        <w:pStyle w:val="BodyText"/>
        <w:spacing w:line="360" w:lineRule="auto"/>
      </w:pPr>
    </w:p>
    <w:p w14:paraId="0267C06D" w14:textId="32182AFB" w:rsidR="00CE6B24" w:rsidRDefault="0066533A" w:rsidP="002B4352">
      <w:pPr>
        <w:pStyle w:val="BodyText"/>
        <w:spacing w:line="360" w:lineRule="auto"/>
      </w:pPr>
      <w:r>
        <w:t xml:space="preserve">The emergence of environmental DNA (eDNA) sampling has revolutionized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sample. This holistic approach </w:t>
      </w:r>
      <w:r w:rsidR="003004DE">
        <w:t>promises</w:t>
      </w:r>
      <w:r>
        <w:t xml:space="preserve"> a more comprehensive assessment of community composition while substantially reducing field effort and </w:t>
      </w:r>
      <w:r w:rsidR="00100A8A" w:rsidRPr="00100A8A">
        <w:t>impacts on sampled organisms</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xml:space="preserve">. Additionally, while conventional methods detect organisms directly at the point of capture or observation, eDNA signals integrate information from </w:t>
      </w:r>
      <w:r>
        <w:lastRenderedPageBreak/>
        <w:t>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r w:rsidR="00CE6B24">
        <w:t xml:space="preserve"> beyond what would be expected from species distribution patterns alone.</w:t>
      </w:r>
      <w:r>
        <w:t xml:space="preserve"> </w:t>
      </w:r>
      <w:r w:rsidR="00CE6B24">
        <w:t>This fact motivates increased consideration of how to design and interpret surveys that collect eDNA.</w:t>
      </w:r>
    </w:p>
    <w:p w14:paraId="2A2BAAFC" w14:textId="77777777" w:rsidR="00BF4A9D" w:rsidRDefault="00BF4A9D" w:rsidP="002B4352">
      <w:pPr>
        <w:pStyle w:val="BodyText"/>
        <w:spacing w:line="360" w:lineRule="auto"/>
      </w:pPr>
    </w:p>
    <w:p w14:paraId="204E2337" w14:textId="7C9312F7" w:rsidR="00BF4A9D" w:rsidRDefault="00BF4A9D" w:rsidP="002B4352">
      <w:pPr>
        <w:pStyle w:val="BodyText"/>
        <w:spacing w:line="360" w:lineRule="auto"/>
      </w:pPr>
      <w:r w:rsidRPr="00BF4A9D">
        <w:t>While increased sampling intensity generally reduces variance in population estimates and improves the precision of spatial pattern detection</w:t>
      </w:r>
      <w:r w:rsidR="00403804">
        <w:t xml:space="preserve"> in species distribution models</w:t>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4E6188" w:rsidRPr="004E6188">
        <w:t>\cite{perret2022}</w:t>
      </w:r>
      <w:r w:rsidRPr="00BF4A9D">
        <w:t>. The optimal sampling intensity occurs at the point where incremental improvements in precision or information content become disproportionately small relative to the required investment of resources and effort</w:t>
      </w:r>
      <w:r w:rsidR="004E6188">
        <w:t xml:space="preserve"> </w:t>
      </w:r>
      <w:r w:rsidR="004E6188" w:rsidRPr="00383999">
        <w:t>\cite{thiele2023}</w:t>
      </w:r>
      <w:r w:rsidR="0099693C">
        <w:t xml:space="preserve"> </w:t>
      </w:r>
      <w:r w:rsidR="0099693C" w:rsidRPr="0099693C">
        <w:t>\cite{tarugara2019}</w:t>
      </w:r>
      <w:r w:rsidRPr="00BF4A9D">
        <w:t>. This principle guides the development of cost-effective sampling strategies that maximize analytical power while minimizing operational expenditure</w:t>
      </w:r>
      <w:r w:rsidR="00B72A74">
        <w:t xml:space="preserve"> </w:t>
      </w:r>
      <w:r w:rsidR="00B72A74" w:rsidRPr="00B72A74">
        <w:t>\cite{muradian2019}</w:t>
      </w:r>
      <w:r w:rsidRPr="00BF4A9D">
        <w:t>.</w:t>
      </w:r>
    </w:p>
    <w:p w14:paraId="0B0E1BF3" w14:textId="77777777" w:rsidR="00BF4A9D" w:rsidRDefault="00BF4A9D" w:rsidP="002B4352">
      <w:pPr>
        <w:pStyle w:val="BodyText"/>
        <w:spacing w:line="360" w:lineRule="auto"/>
      </w:pPr>
    </w:p>
    <w:p w14:paraId="26B68E00" w14:textId="77777777" w:rsidR="00264629" w:rsidRDefault="00264629" w:rsidP="00264629">
      <w:pPr>
        <w:pStyle w:val="BodyText"/>
        <w:spacing w:line="360" w:lineRule="auto"/>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 hierarchical Bayesian SPDE models fitted via INLA, conventional linear or additive regressions, spatial autoregressive structures, and kernel‑based methods</w:t>
      </w:r>
      <w:r>
        <w:t xml:space="preserve"> such as Gaussian processes (GP)</w:t>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Pr="00A83248">
        <w:t>\cite{lewy2009} \cite{nielsen2016}</w:t>
      </w:r>
      <w:r w:rsidRPr="00E303CB">
        <w:t>.</w:t>
      </w:r>
    </w:p>
    <w:p w14:paraId="21B56FD1" w14:textId="77777777" w:rsidR="00CE6B24" w:rsidRDefault="00CE6B24" w:rsidP="002B4352">
      <w:pPr>
        <w:pStyle w:val="BodyText"/>
        <w:spacing w:line="360" w:lineRule="auto"/>
      </w:pPr>
    </w:p>
    <w:p w14:paraId="5516F17A" w14:textId="35AF4AF1" w:rsidR="0032076E" w:rsidRPr="008C6843" w:rsidRDefault="0066533A" w:rsidP="00094214">
      <w:pPr>
        <w:pStyle w:val="BodyText"/>
        <w:spacing w:line="360" w:lineRule="auto"/>
        <w:rPr>
          <w:i/>
          <w:iCs/>
          <w:color w:val="0070C0"/>
        </w:rPr>
      </w:pPr>
      <w:r w:rsidRPr="008C6843">
        <w:rPr>
          <w:i/>
          <w:iCs/>
          <w:color w:val="0070C0"/>
        </w:rPr>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rsidRPr="008C6843">
        <w:rPr>
          <w:i/>
          <w:iCs/>
          <w:color w:val="0070C0"/>
        </w:rPr>
        <w:t xml:space="preserve"> </w:t>
      </w:r>
      <w:r w:rsidR="00D04708" w:rsidRPr="008C6843">
        <w:rPr>
          <w:i/>
          <w:iCs/>
          <w:color w:val="0070C0"/>
        </w:rPr>
        <w:t xml:space="preserve">While increased sampling intensity generally reduces variance in population estimates and improves the precision of spatial </w:t>
      </w:r>
      <w:r w:rsidR="00D04708" w:rsidRPr="008C6843">
        <w:rPr>
          <w:i/>
          <w:iCs/>
          <w:color w:val="0070C0"/>
        </w:rPr>
        <w:lastRenderedPageBreak/>
        <w:t>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10E61E59" w14:textId="77777777" w:rsidR="00D74919" w:rsidRPr="008C6843" w:rsidRDefault="00D74919" w:rsidP="00D74919">
      <w:pPr>
        <w:pStyle w:val="BodyText"/>
        <w:spacing w:line="360" w:lineRule="auto"/>
        <w:rPr>
          <w:color w:val="0070C0"/>
        </w:rPr>
      </w:pPr>
    </w:p>
    <w:p w14:paraId="5516F17C" w14:textId="4E9F4709" w:rsidR="0032076E" w:rsidRDefault="00D04708" w:rsidP="000A475C">
      <w:pPr>
        <w:pStyle w:val="BodyText"/>
        <w:spacing w:line="36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rsidR="007566A0">
        <w:t xml:space="preserve">GPs posit that </w:t>
      </w:r>
      <w:r>
        <w:t xml:space="preserve">observations made at similar locations or under similar covariates should </w:t>
      </w:r>
      <w:r w:rsidR="00A422E3">
        <w:t xml:space="preserve">be </w:t>
      </w:r>
      <w:r>
        <w:t>similar</w:t>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Although this distance can be defined in terms of spatial location, environmental covariates, or both, we focus here on the spatial case.</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7566A0">
        <w:t xml:space="preserve">correspond with </w:t>
      </w:r>
      <w:r>
        <w:t xml:space="preserve">nearby points remaining 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 xml:space="preserve">We assert that many species can be well described using relatively simple covariance models (add citations). </w:t>
      </w:r>
      <w:r w:rsidR="004F7F89">
        <w:t>Specifically,</w:t>
      </w:r>
      <w:r w:rsidR="00EA4F75">
        <w:t xml:space="preserve"> we use an isotropic, squared exponential covariance model for the </w:t>
      </w:r>
      <w:r>
        <w:t>distribution of a species</w:t>
      </w:r>
      <w:r w:rsidR="00EA4F75">
        <w:t xml:space="preserve">, </w:t>
      </w:r>
    </w:p>
    <w:p w14:paraId="65601BFB" w14:textId="2CC3B902" w:rsidR="00506C1B" w:rsidRPr="00D2585C" w:rsidRDefault="00000000" w:rsidP="00284675">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m:rPr>
                  <m:sty m:val="p"/>
                </m:rPr>
                <w:rPr>
                  <w:rFonts w:ascii="Cambria Math" w:hAnsi="Cambria Math"/>
                </w:rPr>
                <m:t>#1</m:t>
              </m:r>
            </m:e>
          </m:eqArr>
        </m:oMath>
      </m:oMathPara>
    </w:p>
    <w:p w14:paraId="5516F17D" w14:textId="13CF88E2" w:rsidR="0032076E" w:rsidRPr="00D2585C" w:rsidRDefault="00000000" w:rsidP="00284675">
      <w:pPr>
        <w:pStyle w:val="BodyText"/>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42737E3" w14:textId="4F455791" w:rsidR="00286ADA" w:rsidRDefault="00D04708" w:rsidP="00AD411F">
      <w:pPr>
        <w:pStyle w:val="FirstParagraph"/>
        <w:spacing w:line="360" w:lineRule="auto"/>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determines the autocorrelation of the species distribution where </w:t>
      </w:r>
      <w:r w:rsidR="00F00310">
        <w:rPr>
          <w:lang w:val="el-GR"/>
        </w:rPr>
        <w:t>α</w:t>
      </w:r>
      <w:r w:rsidR="00F00310">
        <w:rPr>
          <w:vertAlign w:val="superscript"/>
        </w:rPr>
        <w:t>2</w:t>
      </w:r>
      <w:r>
        <w:t xml:space="preserve"> is the amplitude, </w:t>
      </w:r>
      <m:oMath>
        <m:r>
          <w:rPr>
            <w:rFonts w:ascii="Cambria Math" w:hAnsi="Cambria Math"/>
          </w:rPr>
          <m:t>ρ</m:t>
        </m:r>
      </m:oMath>
      <w:r>
        <w:t xml:space="preserve"> is the length-scale parameter (in </w:t>
      </w:r>
      <w:r w:rsidR="007801CF" w:rsidRPr="007801CF">
        <w:rPr>
          <w:i/>
          <w:iCs/>
        </w:rPr>
        <w:t>x</w:t>
      </w:r>
      <w:r w:rsidR="007801CF" w:rsidRPr="007801CF">
        <w:t>-</w:t>
      </w:r>
      <w:r w:rsidR="007801CF" w:rsidRPr="007801CF">
        <w:rPr>
          <w:i/>
          <w:iCs/>
        </w:rPr>
        <w:t>x'</w:t>
      </w:r>
      <w:r>
        <w:t xml:space="preserve"> units</w:t>
      </w:r>
      <w:r w:rsidR="007801CF">
        <w:t xml:space="preserve">; hereafter </w:t>
      </w:r>
      <w:r w:rsidR="007801CF" w:rsidRPr="007801CF">
        <w:t>spatial autocorrelation</w:t>
      </w:r>
      <w:r>
        <w:t xml:space="preserve">), and </w:t>
      </w:r>
      <m:oMath>
        <m:r>
          <w:rPr>
            <w:rFonts w:ascii="Cambria Math" w:hAnsi="Cambria Math"/>
          </w:rPr>
          <m:t>σ</m:t>
        </m:r>
      </m:oMath>
      <w:r w:rsidR="00F00310" w:rsidRPr="00F00310">
        <w:rPr>
          <w:rFonts w:eastAsiaTheme="minorEastAsia"/>
          <w:vertAlign w:val="superscript"/>
        </w:rPr>
        <w:t>2</w:t>
      </w:r>
      <w:r>
        <w:t xml:space="preserve"> is the </w:t>
      </w:r>
      <w:r w:rsidR="00222B88">
        <w:t xml:space="preserve">non-spatial </w:t>
      </w:r>
      <w:r w:rsidR="008C594B">
        <w:t>variance</w:t>
      </w:r>
      <w:r>
        <w:t xml:space="preserve">. Species with small </w:t>
      </w:r>
      <w:r w:rsidR="00AC47EE">
        <w:t xml:space="preserve">spatial </w:t>
      </w:r>
      <w:r>
        <w:t>autocorrelation (</w:t>
      </w:r>
      <m:oMath>
        <m:r>
          <w:rPr>
            <w:rFonts w:ascii="Cambria Math" w:hAnsi="Cambria Math"/>
          </w:rPr>
          <m:t>ρ</m:t>
        </m:r>
      </m:oMath>
      <w:r>
        <w:t>) values exhibit abundance patterns that vary sharply across space and environmental gradients</w:t>
      </w:r>
      <w:r w:rsidR="00C702F6">
        <w:t xml:space="preserve"> (</w:t>
      </w:r>
      <w:r w:rsidR="00C702F6" w:rsidRPr="00C702F6">
        <w:t>Figure 1</w:t>
      </w:r>
      <w:r w:rsidR="00C702F6">
        <w:t>)</w:t>
      </w:r>
      <w:r>
        <w:t xml:space="preserve">. Conversely, species with large </w:t>
      </w:r>
      <m:oMath>
        <m:r>
          <w:rPr>
            <w:rFonts w:ascii="Cambria Math" w:hAnsi="Cambria Math"/>
          </w:rPr>
          <m:t>ρ</m:t>
        </m:r>
      </m:oMath>
      <w:r>
        <w:t xml:space="preserve"> values display smoothly </w:t>
      </w:r>
      <w:r>
        <w:lastRenderedPageBreak/>
        <w:t>varying abundances that remain correlated over broader spatial and environmental scales</w:t>
      </w:r>
      <w:r w:rsidR="00AD411F">
        <w:t xml:space="preserve"> </w:t>
      </w:r>
      <w:r w:rsidR="00AD411F" w:rsidRPr="00AD411F">
        <w:t>(Figure 1)</w:t>
      </w:r>
      <w:r w:rsidR="007801CF">
        <w:t>.</w:t>
      </w:r>
    </w:p>
    <w:p w14:paraId="18ECF99A" w14:textId="77777777" w:rsidR="00AD411F" w:rsidRPr="00AD411F" w:rsidRDefault="00AD411F" w:rsidP="00AD411F">
      <w:pPr>
        <w:pStyle w:val="BodyText"/>
      </w:pPr>
    </w:p>
    <w:p w14:paraId="5516F180" w14:textId="20AF0538" w:rsidR="0032076E" w:rsidRDefault="00222B88" w:rsidP="00694BBD">
      <w:pPr>
        <w:pStyle w:val="BodyText"/>
        <w:spacing w:line="360" w:lineRule="auto"/>
      </w:pPr>
      <w:r>
        <w:t>Therefore, knowledge of</w:t>
      </w:r>
      <w:r w:rsidR="00D04708">
        <w:t xml:space="preserve"> </w:t>
      </w:r>
      <w:r w:rsidR="00AE1698">
        <w:t>within-</w:t>
      </w:r>
      <w:r w:rsidR="00AE1698" w:rsidRPr="00F71AC9">
        <w:t xml:space="preserve">species </w:t>
      </w:r>
      <w:r w:rsidR="00D04708" w:rsidRPr="00F71AC9">
        <w:t>spatial autocorrelation</w:t>
      </w:r>
      <w:r w:rsidR="00C31296" w:rsidRPr="00F71AC9">
        <w:t xml:space="preserve"> patterns and amplitude</w:t>
      </w:r>
      <w:r w:rsidR="00D04708" w:rsidRPr="00F71AC9">
        <w:t xml:space="preserve"> can provide a quantitative basis for </w:t>
      </w:r>
      <w:r w:rsidRPr="00F71AC9">
        <w:t xml:space="preserve">informing </w:t>
      </w:r>
      <w:r w:rsidR="00D04708" w:rsidRPr="00F71AC9">
        <w:t>sampling effort</w:t>
      </w:r>
      <w:r w:rsidR="00C31296" w:rsidRPr="00F71AC9">
        <w:t>. Specifically, s</w:t>
      </w:r>
      <w:r w:rsidR="00D04708" w:rsidRPr="00F71AC9">
        <w:t>pecies exhibiting high spatial autocorrelation</w:t>
      </w:r>
      <w:r w:rsidR="00D04708">
        <w:t xml:space="preserve"> should require fewer samples to capture their distribution patterns due to their extended spatial coherence</w:t>
      </w:r>
      <w:r w:rsidR="00020F2C">
        <w:t xml:space="preserve"> (Figure xxx)</w:t>
      </w:r>
      <w:r w:rsidR="00D04708">
        <w:t xml:space="preserve">. In this study, we aim to </w:t>
      </w:r>
      <w:r w:rsidR="004B6CC9">
        <w:t xml:space="preserve">assess </w:t>
      </w:r>
      <w:r w:rsidR="00D04708">
        <w:t>how 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 sampling effort on</w:t>
      </w:r>
      <w:r w:rsidR="0028513F">
        <w:t xml:space="preserve"> estimating</w:t>
      </w:r>
      <w:r w:rsidR="00D04708">
        <w:t xml:space="preserve"> (</w:t>
      </w:r>
      <w:proofErr w:type="spellStart"/>
      <w:r w:rsidR="00D04708">
        <w:t>i</w:t>
      </w:r>
      <w:proofErr w:type="spellEnd"/>
      <w:r w:rsidR="00D04708">
        <w:t>) the spatial autocorrelation (</w:t>
      </w:r>
      <w:r w:rsidR="0028513F">
        <w:t>informative</w:t>
      </w:r>
      <w:r w:rsidR="00D04708">
        <w:t xml:space="preserve"> for understanding ecological niches</w:t>
      </w:r>
      <w:r w:rsidR="00F80925">
        <w:t xml:space="preserve"> </w:t>
      </w:r>
      <w:r w:rsidR="00F80925" w:rsidRPr="00F80925">
        <w:t>\cite{sanchez2025}</w:t>
      </w:r>
      <w:r w:rsidR="00D04708">
        <w:t>), (ii) the global mean (</w:t>
      </w:r>
      <w:r w:rsidR="0028513F">
        <w:t>important</w:t>
      </w:r>
      <w:r w:rsidR="00D04708">
        <w:t xml:space="preserve"> for conservation and stock assessment), and (iii) the precision of species distribution. </w:t>
      </w:r>
      <w:r w:rsidR="0028513F">
        <w:t>W</w:t>
      </w:r>
      <w:r w:rsidR="00D04708">
        <w:t xml:space="preserve">e focus exclusively on spatial coordinates (latitude and longitude) as covariates </w:t>
      </w:r>
      <w:r w:rsidR="004A4351">
        <w:t xml:space="preserve">ignoring </w:t>
      </w:r>
      <w:r w:rsidR="00D04708">
        <w:t xml:space="preserve">the effects of environmental or biological drivers. However, the same GP framework can be extended to include additional covariates such as temperature, salinity, </w:t>
      </w:r>
      <w:r w:rsidR="004F4D04">
        <w:t>bathymetry</w:t>
      </w:r>
      <w:r w:rsidR="00D04708">
        <w:t xml:space="preserve">, or even biotic interactions like species competition and trophic relationships. By explicitly quantifying the trade-off between spatial autocorrelation, sample size, and prediction accuracy, </w:t>
      </w:r>
      <w:r w:rsidR="0028513F">
        <w:t>we can</w:t>
      </w:r>
      <w:r w:rsidR="00D04708">
        <w:t xml:space="preserve"> identify thresholds of sampling effort that maximize information gain and minimize redundancy</w:t>
      </w:r>
      <w:r w:rsidR="001F72E9">
        <w:t xml:space="preserve"> -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C57955">
      <w:pPr>
        <w:pStyle w:val="BodyText"/>
      </w:pPr>
    </w:p>
    <w:p w14:paraId="4723CA1B" w14:textId="362D9B13" w:rsidR="006E5251" w:rsidRDefault="00996A79" w:rsidP="00C57955">
      <w:pPr>
        <w:pStyle w:val="BodyText"/>
      </w:pPr>
      <w:r>
        <w:rPr>
          <w:noProof/>
        </w:rPr>
        <w:lastRenderedPageBreak/>
        <w:drawing>
          <wp:inline distT="0" distB="0" distL="0" distR="0" wp14:anchorId="0EA2F60E" wp14:editId="0B6C36B2">
            <wp:extent cx="5943600" cy="3264535"/>
            <wp:effectExtent l="0" t="0" r="0" b="0"/>
            <wp:docPr id="187664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4972" name="Picture 1876644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2F828EA5" w:rsidR="007D49E0" w:rsidRDefault="00B65A9C" w:rsidP="00006E74">
      <w:pPr>
        <w:pStyle w:val="BodyText"/>
        <w:rPr>
          <w:i/>
          <w:iCs/>
        </w:rPr>
      </w:pPr>
      <w:r w:rsidRPr="00B65A9C">
        <w:rPr>
          <w:i/>
          <w:iCs/>
        </w:rPr>
        <w:t xml:space="preserve">Figure 1. Conceptual figure illustrating how sampling density affects reconstruction of spatial concentration patterns across </w:t>
      </w:r>
      <w:r w:rsidR="00DF45D1">
        <w:rPr>
          <w:i/>
          <w:iCs/>
        </w:rPr>
        <w:t>different</w:t>
      </w:r>
      <w:r w:rsidRPr="00B65A9C">
        <w:rPr>
          <w:i/>
          <w:iCs/>
        </w:rPr>
        <w:t xml:space="preserve"> spatial structures. Panel A shows a patchy </w:t>
      </w:r>
      <w:r w:rsidR="007A5A7E">
        <w:rPr>
          <w:i/>
          <w:iCs/>
        </w:rPr>
        <w:t xml:space="preserve">species </w:t>
      </w:r>
      <w:r w:rsidRPr="00B65A9C">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Pr>
          <w:i/>
          <w:iCs/>
        </w:rPr>
        <w:t xml:space="preserve"> whereas the</w:t>
      </w:r>
      <w:r w:rsidRPr="00B65A9C">
        <w:rPr>
          <w:i/>
          <w:iCs/>
        </w:rPr>
        <w:t xml:space="preserve"> middle and bottom rows show reconstructions </w:t>
      </w:r>
      <w:r w:rsidR="00F51361">
        <w:rPr>
          <w:i/>
          <w:iCs/>
        </w:rPr>
        <w:t xml:space="preserve">of </w:t>
      </w:r>
      <w:r w:rsidR="00D265B9">
        <w:rPr>
          <w:i/>
          <w:iCs/>
        </w:rPr>
        <w:t xml:space="preserve">concentration distribution (red dashed line) </w:t>
      </w:r>
      <w:r w:rsidRPr="00B65A9C">
        <w:rPr>
          <w:i/>
          <w:iCs/>
        </w:rPr>
        <w:t>based on a low number of samples and a high number of samples, respectively. Green circles indicate discrete observation points</w:t>
      </w:r>
      <w:r w:rsidR="00D265B9">
        <w:rPr>
          <w:i/>
          <w:iCs/>
        </w:rPr>
        <w:t xml:space="preserve">. </w:t>
      </w:r>
      <w:r w:rsidR="00B454BA">
        <w:rPr>
          <w:i/>
          <w:iCs/>
        </w:rPr>
        <w:t xml:space="preserve">The figure highlights </w:t>
      </w:r>
      <w:r w:rsidR="007D69D8">
        <w:rPr>
          <w:i/>
          <w:iCs/>
        </w:rPr>
        <w:t xml:space="preserve">conceptually </w:t>
      </w:r>
      <w:r w:rsidR="00006E74" w:rsidRPr="00006E74">
        <w:rPr>
          <w:i/>
          <w:iCs/>
        </w:rPr>
        <w:t>that excessive sampling can lead to redundant data (multiple samples that give the exact same information, thus wasting time and money) whereas insufficient sampling risks overlooking critical patterns and producing unreliable estimates.</w:t>
      </w:r>
    </w:p>
    <w:p w14:paraId="10CBF52C" w14:textId="77777777" w:rsidR="00006E74" w:rsidRPr="00006E74" w:rsidRDefault="00006E74" w:rsidP="00006E74">
      <w:pPr>
        <w:pStyle w:val="BodyText"/>
      </w:pPr>
    </w:p>
    <w:p w14:paraId="5516F181" w14:textId="77777777" w:rsidR="0032076E" w:rsidRDefault="00D04708" w:rsidP="00A762C2">
      <w:pPr>
        <w:pStyle w:val="Heading1"/>
        <w:spacing w:before="0" w:after="0"/>
      </w:pPr>
      <w:bookmarkStart w:id="3" w:name="materials-and-methods"/>
      <w:bookmarkEnd w:id="2"/>
      <w:r>
        <w:t>Materials and methods</w:t>
      </w:r>
    </w:p>
    <w:p w14:paraId="5516F187" w14:textId="67A80051" w:rsidR="0032076E" w:rsidRDefault="00D04708" w:rsidP="00A762C2">
      <w:pPr>
        <w:pStyle w:val="FirstParagraph"/>
      </w:pPr>
      <w:bookmarkStart w:id="4"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w:t>
      </w:r>
      <w:proofErr w:type="spellStart"/>
      <w:r>
        <w:t>undersampled</w:t>
      </w:r>
      <w:proofErr w:type="spellEnd"/>
      <w:r>
        <w:t>, such analyses cannot reveal information that was never captured. In other words, sample-removal approaches only quantify the loss of information when data are removed, not the information that could have been gained with a more intensive initial sampling design.</w:t>
      </w:r>
    </w:p>
    <w:p w14:paraId="04ECAC86" w14:textId="77777777" w:rsidR="00286ADA" w:rsidRPr="00286ADA" w:rsidRDefault="00286ADA" w:rsidP="00A762C2">
      <w:pPr>
        <w:pStyle w:val="BodyText"/>
      </w:pPr>
    </w:p>
    <w:p w14:paraId="5516F188" w14:textId="77777777" w:rsidR="0032076E" w:rsidRDefault="00D04708" w:rsidP="00A762C2">
      <w:pPr>
        <w:pStyle w:val="BodyText"/>
      </w:pPr>
      <w:r>
        <w:t>To overcome this limitation, we paired empirical eDNA observations with a simulation framework that systematically varied sampling effort and spatial autocorrelation. We first describe the real-world dataset used to anchor the analysis and then the simulated datasets used to extend inference across a broader range of spatial structures and sampling densities. Together, these two data sources allowed us to evaluate how sampling effort influences recovery of spatial structure and prediction accuracy under both observed and controlled conditions.</w:t>
      </w:r>
    </w:p>
    <w:p w14:paraId="34954DCC" w14:textId="77777777" w:rsidR="00286ADA" w:rsidRDefault="00286ADA" w:rsidP="00A762C2">
      <w:pPr>
        <w:pStyle w:val="BodyText"/>
      </w:pPr>
    </w:p>
    <w:p w14:paraId="1DC91B6B" w14:textId="77777777" w:rsidR="001D0A69" w:rsidRDefault="001D0A69" w:rsidP="00A762C2">
      <w:pPr>
        <w:pStyle w:val="Heading2"/>
        <w:spacing w:before="0" w:after="0"/>
      </w:pPr>
      <w:r>
        <w:lastRenderedPageBreak/>
        <w:t>Real-world eDNA data</w:t>
      </w:r>
    </w:p>
    <w:p w14:paraId="472D9FCD" w14:textId="55A14B49" w:rsidR="001D0A69" w:rsidRDefault="001D0A69" w:rsidP="00A762C2">
      <w:pPr>
        <w:pStyle w:val="FirstParagraph"/>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rsidP="00A762C2">
      <w:pPr>
        <w:pStyle w:val="BodyText"/>
      </w:pPr>
      <w:r>
        <w:t xml:space="preserve">Environmental DNA samples were collected during the Joint U.S.-Canada Integrated Ecosystem and Pacific Hake Acoustic-Trawl Survey aboard the NOAA ship Bell M. Shimada in summer 2019 (de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58E90BAD" w14:textId="77777777" w:rsidR="00286ADA" w:rsidRDefault="00286ADA" w:rsidP="00A762C2">
      <w:pPr>
        <w:pStyle w:val="BodyText"/>
      </w:pPr>
    </w:p>
    <w:p w14:paraId="25F596E8" w14:textId="77777777" w:rsidR="001D0A69" w:rsidRDefault="001D0A69" w:rsidP="00A762C2">
      <w:pPr>
        <w:pStyle w:val="BodyText"/>
      </w:pPr>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p>
    <w:p w14:paraId="37453850" w14:textId="77777777" w:rsidR="0047549D" w:rsidRDefault="0047549D" w:rsidP="00A762C2">
      <w:pPr>
        <w:pStyle w:val="Heading2"/>
        <w:spacing w:before="0" w:after="0"/>
      </w:pPr>
      <w:r>
        <w:t>Simulated eDNA data</w:t>
      </w:r>
    </w:p>
    <w:p w14:paraId="1B1E20F2" w14:textId="37094D54" w:rsidR="00FF09F6" w:rsidRDefault="00D04708" w:rsidP="00A762C2">
      <w:pPr>
        <w:pStyle w:val="BodyText"/>
      </w:pPr>
      <w:r>
        <w:t>To extend inference beyond the observed sampling design, we generated in-silico eDNA concentration (in log copies/L) across five depth strata (0, 50, 150, 300, and 500 m) on a fixed 200 x 1000 km spatial domain along the U.S. West Coast, following the domain used in Guri et al. (2025, in review). Simulations were generated using GP models (see equations 1 and 2) with predetermined parameters. The full simulated and prediction spatial grid (with x and y coordinates hereafter X) comprised of 18916 points (hereafter Q) distributed across five depth layers (4000, 4000, 4000, 3622, and 3294 points per depth layer), with each point (in space) assigned a simulated eDNA concentration.</w:t>
      </w:r>
    </w:p>
    <w:p w14:paraId="1602CE00" w14:textId="77777777" w:rsidR="00286ADA" w:rsidRDefault="00286ADA" w:rsidP="00A762C2">
      <w:pPr>
        <w:pStyle w:val="BodyText"/>
      </w:pPr>
    </w:p>
    <w:p w14:paraId="7E5871F7" w14:textId="7AE86575" w:rsidR="000E2BF2" w:rsidRDefault="00D04708" w:rsidP="00A762C2">
      <w:pPr>
        <w:pStyle w:val="BodyText"/>
      </w:pPr>
      <w:r>
        <w:t xml:space="preserve">We varied the GP length-scale parameter () across 10 levels - 25, 50, 75, 100, 200, 300, 400, 500, 800, and 1000 km - to represent a range of spatial autocorrelation values informed by the in-situ data. For each , we generated 20 independent replicate spatial fields (iterations), yielding 200 simulated spatial fields in total (10  levels × 20 replicates). Within each simulation,  was held constant across depths, while each depth had a separate mean () drawn randomly from a normal distribution with mean of 0 and a standard deviation of 3. The amplitude () and the observation </w:t>
      </w:r>
      <w:r>
        <w:lastRenderedPageBreak/>
        <w:t>noise () in Equation XXX were fixed at 4 and 3 respectively based on parameter estimates in Guri et al. (2025, in review)).</w:t>
      </w:r>
    </w:p>
    <w:p w14:paraId="15AE2397" w14:textId="77777777" w:rsidR="00286ADA" w:rsidRDefault="00286ADA" w:rsidP="00A762C2">
      <w:pPr>
        <w:pStyle w:val="BodyText"/>
      </w:pPr>
    </w:p>
    <w:p w14:paraId="121D4057" w14:textId="7505E614" w:rsidR="000C295A" w:rsidRDefault="00576F8D" w:rsidP="00A762C2">
      <w:pPr>
        <w:pStyle w:val="BodyText"/>
      </w:pPr>
      <w:r w:rsidRPr="00576F8D">
        <w:t xml:space="preserve">This parameterization was chosen to approximate real-world 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reflects the assumption that amplitude and residual variability are primarily driven by method-specific measurement uncertainty and therefore remain constant when the same sampling and analytical methods are applied.</w:t>
      </w:r>
    </w:p>
    <w:p w14:paraId="35937187" w14:textId="77777777" w:rsidR="00286ADA" w:rsidRDefault="00286ADA" w:rsidP="00A762C2">
      <w:pPr>
        <w:pStyle w:val="BodyText"/>
      </w:pPr>
    </w:p>
    <w:p w14:paraId="13246554" w14:textId="77777777" w:rsidR="00286ADA" w:rsidRDefault="00286ADA" w:rsidP="00A762C2">
      <w:pPr>
        <w:pStyle w:val="BodyText"/>
      </w:pPr>
    </w:p>
    <w:p w14:paraId="4F32E4D1" w14:textId="0CE5DB05" w:rsidR="008E5735" w:rsidRDefault="000D6DE8" w:rsidP="00A762C2">
      <w:pPr>
        <w:pStyle w:val="Heading2"/>
        <w:spacing w:before="0" w:after="0"/>
      </w:pPr>
      <w:bookmarkStart w:id="5" w:name="statistical-inference"/>
      <w:bookmarkEnd w:id="4"/>
      <w:r>
        <w:t>Estimating sampling efficiency</w:t>
      </w:r>
      <w:r w:rsidR="0037611A">
        <w:t xml:space="preserve"> on prediction accuracy</w:t>
      </w:r>
    </w:p>
    <w:p w14:paraId="7C5115A8" w14:textId="279BA5F0" w:rsidR="0041384E" w:rsidRDefault="00325627" w:rsidP="00A762C2">
      <w:pPr>
        <w:pStyle w:val="BodyText"/>
      </w:pPr>
      <w:r>
        <w:t>After acquiring the in-situ observations and generating the in-silico fields, we obtained eDNA concentration values (Y; or Q for in-silico data) paired with spatial coordinates (X) for each sampling location. Given the large number of in-silico eDNA points (Q) on the spatial grid (X), fitting a GP model to all locations (≈ 20,000 input values) was computationally prohibitive. To address this, we selected a representative subset of 4,000 sampling points from each simulated dataset to serve as the “complete” observation dataset (Y) for the following downstream analysis.</w:t>
      </w:r>
    </w:p>
    <w:p w14:paraId="5B4717DF" w14:textId="3D8717D6" w:rsidR="00F03F4A" w:rsidRDefault="006A2F1A" w:rsidP="00A762C2">
      <w:pPr>
        <w:pStyle w:val="BodyText"/>
      </w:pPr>
      <w:r w:rsidRPr="006A2F1A">
        <w:t>We then used the GP model (Eq. 1–2) to infer the underlying spatial structure and learn key parameters governing the spatial field, including the depth-specific mean (</w:t>
      </w:r>
      <w:proofErr w:type="spellStart"/>
      <w:r w:rsidRPr="001B3530">
        <w:rPr>
          <w:i/>
          <w:iCs/>
        </w:rPr>
        <w:t>μ</w:t>
      </w:r>
      <w:r w:rsidR="00ED2A18" w:rsidRPr="001B3530">
        <w:rPr>
          <w:i/>
          <w:iCs/>
          <w:vertAlign w:val="subscript"/>
        </w:rPr>
        <w:t>d</w:t>
      </w:r>
      <w:proofErr w:type="spellEnd"/>
      <w:r w:rsidRPr="006A2F1A">
        <w:t>), length-scale (</w:t>
      </w:r>
      <w:r w:rsidRPr="001B3530">
        <w:rPr>
          <w:i/>
          <w:iCs/>
        </w:rPr>
        <w:t>ρ</w:t>
      </w:r>
      <w:r w:rsidRPr="006A2F1A">
        <w:t>), amplitude (</w:t>
      </w:r>
      <w:r w:rsidRPr="001B3530">
        <w:rPr>
          <w:i/>
          <w:iCs/>
        </w:rPr>
        <w:t>α</w:t>
      </w:r>
      <w:r w:rsidRPr="006A2F1A">
        <w:t xml:space="preserve">), and </w:t>
      </w:r>
      <w:r w:rsidR="00972F90">
        <w:t>process</w:t>
      </w:r>
      <w:r w:rsidR="00CB7B2C" w:rsidRPr="00CB7B2C">
        <w:t xml:space="preserve"> noise</w:t>
      </w:r>
      <w:r w:rsidR="00CB7B2C" w:rsidRPr="006A2F1A">
        <w:t xml:space="preserve"> </w:t>
      </w:r>
      <w:r w:rsidRPr="006A2F1A">
        <w:t>(</w:t>
      </w:r>
      <w:r w:rsidRPr="001B3530">
        <w:rPr>
          <w:i/>
          <w:iCs/>
        </w:rPr>
        <w:t>σ</w:t>
      </w:r>
      <w:r w:rsidRPr="006A2F1A">
        <w:t>)</w:t>
      </w:r>
      <w:r w:rsidR="00B26BA4">
        <w:t xml:space="preserve">. </w:t>
      </w:r>
      <w:r w:rsidR="00F03F4A" w:rsidRPr="006A2F1A">
        <w:t xml:space="preserve">Once fitted, the model was </w:t>
      </w:r>
      <w:r w:rsidR="00F03F4A">
        <w:t xml:space="preserve">additionally </w:t>
      </w:r>
      <w:r w:rsidR="00F03F4A" w:rsidRPr="006A2F1A">
        <w:t xml:space="preserve">used to 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r w:rsidR="00F03F4A" w:rsidRPr="006A2F1A">
        <w:t xml:space="preserve">, </w:t>
      </w:r>
      <w:r w:rsidR="00F03F4A">
        <w:t xml:space="preserve">simultaneously </w:t>
      </w:r>
      <w:r w:rsidR="00F03F4A" w:rsidRPr="006A2F1A">
        <w:t>for both the simulated and real-world datasets.</w:t>
      </w:r>
      <w:r w:rsidR="00F03F4A" w:rsidRPr="00C960DD">
        <w:t xml:space="preserve"> </w:t>
      </w:r>
    </w:p>
    <w:p w14:paraId="67FDBF73" w14:textId="77777777" w:rsidR="00286ADA" w:rsidRDefault="00286ADA" w:rsidP="00A762C2">
      <w:pPr>
        <w:pStyle w:val="BodyText"/>
      </w:pPr>
    </w:p>
    <w:p w14:paraId="0C566F7F" w14:textId="77777777" w:rsidR="006D3ED1" w:rsidRDefault="006D3ED1" w:rsidP="00A762C2">
      <w:pPr>
        <w:spacing w:after="0"/>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 at each prediction site:</w:t>
      </w:r>
    </w:p>
    <w:p w14:paraId="02F48AEA" w14:textId="7B18489D" w:rsidR="00DD19C5" w:rsidRDefault="00000000" w:rsidP="00A762C2">
      <w:pPr>
        <w:spacing w:after="0"/>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75EFD64" w14:textId="77777777" w:rsidR="007841AD" w:rsidRDefault="007841AD" w:rsidP="00A762C2">
      <w:pPr>
        <w:pStyle w:val="p1"/>
        <w:spacing w:before="0" w:beforeAutospacing="0" w:after="0" w:afterAutospacing="0"/>
        <w:jc w:val="both"/>
      </w:pPr>
    </w:p>
    <w:p w14:paraId="569957AE" w14:textId="078228AC" w:rsidR="001E7948" w:rsidRDefault="008C6514" w:rsidP="00A762C2">
      <w:pPr>
        <w:pStyle w:val="p1"/>
        <w:spacing w:before="0" w:beforeAutospacing="0" w:after="0" w:afterAutospacing="0"/>
        <w:jc w:val="both"/>
        <w:rPr>
          <w:rStyle w:val="s2"/>
          <w:rFonts w:asciiTheme="minorHAnsi" w:eastAsiaTheme="minorHAnsi" w:hAnsiTheme="minorHAnsi" w:cstheme="minorBidi"/>
        </w:rPr>
      </w:pPr>
      <w:r w:rsidRPr="008C6514">
        <w:t xml:space="preserve">To evaluate how sampling effort </w:t>
      </w:r>
      <w:r w:rsidR="00294A57">
        <w:t>(</w:t>
      </w:r>
      <w:r w:rsidR="00294A57" w:rsidRPr="00294A57">
        <w:rPr>
          <w:i/>
          <w:iCs/>
        </w:rPr>
        <w:t>e</w:t>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000000" w:rsidP="00A762C2">
      <w:pPr>
        <w:pStyle w:val="p1"/>
        <w:spacing w:before="0" w:beforeAutospacing="0" w:after="0" w:afterAutospacing="0"/>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76697516" w14:textId="692C5D6B" w:rsidR="00596EE8" w:rsidRDefault="00A67FA1" w:rsidP="00A762C2">
      <w:pPr>
        <w:pStyle w:val="p1"/>
        <w:spacing w:before="0" w:beforeAutospacing="0" w:after="0" w:afterAutospacing="0"/>
        <w:jc w:val="both"/>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r w:rsidR="00917D42">
        <w:t>D</w:t>
      </w:r>
      <w:r w:rsidR="00917D42" w:rsidRPr="004B04C3">
        <w:rPr>
          <w:vertAlign w:val="subscript"/>
        </w:rPr>
        <w:t>e</w:t>
      </w:r>
      <w:r w:rsidR="00917D42">
        <w:t xml:space="preserve"> </w:t>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52AA9BEB" w14:textId="55F8BB1D" w:rsidR="00B96118" w:rsidRDefault="00B96118" w:rsidP="00A762C2">
      <w:pPr>
        <w:pStyle w:val="p1"/>
        <w:spacing w:before="0" w:beforeAutospacing="0" w:after="0" w:afterAutospacing="0"/>
        <w:jc w:val="both"/>
      </w:pPr>
    </w:p>
    <w:p w14:paraId="281B7AE9" w14:textId="422F3A1A" w:rsidR="004D478B" w:rsidRDefault="00D672C6" w:rsidP="00A762C2">
      <w:pPr>
        <w:pStyle w:val="BodyText"/>
      </w:pPr>
      <w:r>
        <w:lastRenderedPageBreak/>
        <w:t>We quantified</w:t>
      </w:r>
      <w:r w:rsidR="00596EE8">
        <w:t xml:space="preserve"> the p</w:t>
      </w:r>
      <w:r w:rsidR="004D478B">
        <w:t xml:space="preserve">rediction accuracy </w:t>
      </w:r>
      <w:r w:rsidR="003443CF">
        <w:t>we</w:t>
      </w:r>
      <w:r w:rsidR="004D478B">
        <w:t xml:space="preserve"> by calculating the prediction error (</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 xml:space="preserve">root mean squared error (RMSE) between </w:t>
      </w:r>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 as follows:</w:t>
      </w:r>
    </w:p>
    <w:p w14:paraId="4146FDD5" w14:textId="6ED65581" w:rsidR="004D478B" w:rsidRPr="001F75CE" w:rsidRDefault="00000000" w:rsidP="00A762C2">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m:oMathPara>
    </w:p>
    <w:p w14:paraId="4B1FC85F" w14:textId="28D4DDE0" w:rsidR="007D39EF" w:rsidRPr="007D39EF" w:rsidRDefault="00A27F72" w:rsidP="00A762C2">
      <w:pPr>
        <w:pStyle w:val="FirstParagraph"/>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w:t>
      </w:r>
      <w:r w:rsidR="00070A54">
        <w:t xml:space="preserve">prediction accuracy </w:t>
      </w:r>
      <w:r>
        <w:t>across all iterations, which allowed us to assess how sampling effort and spatial autocorrelation 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000000" w:rsidP="00A762C2">
      <w:pPr>
        <w:pStyle w:val="BodyText"/>
        <w:jc w:val="center"/>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041B1C6E" w:rsidR="00082BC7" w:rsidRDefault="000E3B51" w:rsidP="00A762C2">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178C8083" w14:textId="77777777" w:rsidR="00286ADA" w:rsidRDefault="00286ADA" w:rsidP="00A762C2">
      <w:pPr>
        <w:pStyle w:val="BodyText"/>
      </w:pPr>
    </w:p>
    <w:p w14:paraId="1FDAA2BC" w14:textId="7BCA46B5" w:rsidR="00082BC7" w:rsidRDefault="00082BC7" w:rsidP="00A762C2">
      <w:pPr>
        <w:pStyle w:val="BodyText"/>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to the true values used to generate the simulated fields.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(RMSE).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2585D629" w14:textId="77777777" w:rsidR="00286ADA" w:rsidRDefault="00286ADA" w:rsidP="00A762C2">
      <w:pPr>
        <w:pStyle w:val="BodyText"/>
      </w:pPr>
    </w:p>
    <w:p w14:paraId="12B2A826" w14:textId="17256C60" w:rsidR="00DC0E33" w:rsidRPr="00A762C2" w:rsidRDefault="00095871" w:rsidP="00A762C2">
      <w:pPr>
        <w:pStyle w:val="BodyText"/>
      </w:pPr>
      <w:r w:rsidRPr="00A762C2">
        <w:t xml:space="preserve">Comparison of prediction </w:t>
      </w:r>
      <w:r w:rsidR="0065738A" w:rsidRPr="00A762C2">
        <w:t>accuracy</w:t>
      </w:r>
      <w:r w:rsidRPr="00A762C2">
        <w:t xml:space="preserve"> between </w:t>
      </w:r>
      <w:r w:rsidR="0065738A" w:rsidRPr="00A762C2">
        <w:rPr>
          <w:i/>
          <w:iCs/>
        </w:rPr>
        <w:t>in-situ</w:t>
      </w:r>
      <w:r w:rsidR="0065738A" w:rsidRPr="00A762C2">
        <w:t xml:space="preserve"> </w:t>
      </w:r>
      <w:r w:rsidRPr="00A762C2">
        <w:t xml:space="preserve">and </w:t>
      </w:r>
      <w:r w:rsidR="0065738A" w:rsidRPr="00A762C2">
        <w:rPr>
          <w:i/>
          <w:iCs/>
        </w:rPr>
        <w:t>in-silico</w:t>
      </w:r>
      <w:r w:rsidRPr="00A762C2">
        <w:t xml:space="preserve"> data</w:t>
      </w:r>
    </w:p>
    <w:p w14:paraId="566D1DFE" w14:textId="3FCD39F2" w:rsidR="003A0DF7" w:rsidRDefault="00F12156" w:rsidP="00A762C2">
      <w:pPr>
        <w:pStyle w:val="BodyText"/>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t xml:space="preserve">real-world </w:t>
      </w:r>
      <w:r w:rsidR="00E935DB" w:rsidRPr="00E935DB">
        <w:t>sampling effort (N = 358; e = 3.6), rather than the simulated baseline used in the primary 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xml:space="preserve">, 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Furthermore, we applied the same model 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715EC110" w14:textId="77777777" w:rsidR="00286ADA" w:rsidRDefault="00286ADA" w:rsidP="00A762C2">
      <w:pPr>
        <w:pStyle w:val="BodyText"/>
      </w:pPr>
    </w:p>
    <w:p w14:paraId="539C881D" w14:textId="32340D12" w:rsidR="007C0AAD" w:rsidRDefault="00F869DE" w:rsidP="00A762C2">
      <w:pPr>
        <w:pStyle w:val="BodyText"/>
      </w:pPr>
      <w:r>
        <w:lastRenderedPageBreak/>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A762C2">
      <w:pPr>
        <w:pStyle w:val="BodyText"/>
      </w:pPr>
    </w:p>
    <w:p w14:paraId="5516F19A" w14:textId="77777777" w:rsidR="0032076E" w:rsidRPr="00286ADA" w:rsidRDefault="00D04708" w:rsidP="00A762C2">
      <w:pPr>
        <w:pStyle w:val="TableCaption"/>
        <w:spacing w:after="0"/>
        <w:rPr>
          <w:rFonts w:ascii="Times New Roman" w:hAnsi="Times New Roman" w:cs="Times New Roman"/>
        </w:rPr>
      </w:pPr>
      <w:bookmarkStart w:id="6"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EF40E0">
            <w:pPr>
              <w:pStyle w:val="Compact"/>
              <w:spacing w:line="360" w:lineRule="auto"/>
            </w:pPr>
            <w:r>
              <w:t>Parameter</w:t>
            </w:r>
          </w:p>
        </w:tc>
        <w:tc>
          <w:tcPr>
            <w:tcW w:w="0" w:type="auto"/>
          </w:tcPr>
          <w:p w14:paraId="5516F19C" w14:textId="77777777" w:rsidR="0032076E" w:rsidRDefault="00D04708" w:rsidP="00EF40E0">
            <w:pPr>
              <w:pStyle w:val="Compact"/>
              <w:spacing w:line="360" w:lineRule="auto"/>
            </w:pPr>
            <w:r>
              <w:t>Prior</w:t>
            </w:r>
          </w:p>
        </w:tc>
        <w:tc>
          <w:tcPr>
            <w:tcW w:w="0" w:type="auto"/>
            <w:gridSpan w:val="2"/>
          </w:tcPr>
          <w:p w14:paraId="5516F19D" w14:textId="77777777" w:rsidR="0032076E" w:rsidRDefault="00D04708" w:rsidP="00EF40E0">
            <w:pPr>
              <w:pStyle w:val="Compact"/>
              <w:spacing w:line="360" w:lineRule="auto"/>
            </w:pPr>
            <w:r>
              <w:t>Range</w:t>
            </w:r>
          </w:p>
        </w:tc>
        <w:tc>
          <w:tcPr>
            <w:tcW w:w="0" w:type="auto"/>
          </w:tcPr>
          <w:p w14:paraId="5516F19E" w14:textId="77777777" w:rsidR="0032076E" w:rsidRDefault="0032076E" w:rsidP="00EF40E0">
            <w:pPr>
              <w:pStyle w:val="Compact"/>
              <w:spacing w:line="360" w:lineRule="auto"/>
            </w:pPr>
          </w:p>
        </w:tc>
      </w:tr>
      <w:tr w:rsidR="0032076E" w14:paraId="5516F1A5" w14:textId="77777777">
        <w:tc>
          <w:tcPr>
            <w:tcW w:w="0" w:type="auto"/>
          </w:tcPr>
          <w:p w14:paraId="5516F1A0" w14:textId="2BE1F052" w:rsidR="0032076E" w:rsidRDefault="0032076E" w:rsidP="00EF40E0">
            <w:pPr>
              <w:pStyle w:val="Compact"/>
              <w:spacing w:line="360" w:lineRule="auto"/>
            </w:pPr>
          </w:p>
        </w:tc>
        <w:tc>
          <w:tcPr>
            <w:tcW w:w="0" w:type="auto"/>
          </w:tcPr>
          <w:p w14:paraId="5516F1A1" w14:textId="77777777" w:rsidR="0032076E" w:rsidRDefault="0032076E" w:rsidP="00EF40E0">
            <w:pPr>
              <w:pStyle w:val="Compact"/>
              <w:spacing w:line="360" w:lineRule="auto"/>
            </w:pPr>
          </w:p>
        </w:tc>
        <w:tc>
          <w:tcPr>
            <w:tcW w:w="0" w:type="auto"/>
          </w:tcPr>
          <w:p w14:paraId="5516F1A2" w14:textId="77777777" w:rsidR="0032076E" w:rsidRDefault="00D04708" w:rsidP="00EF40E0">
            <w:pPr>
              <w:pStyle w:val="Compact"/>
              <w:spacing w:line="360" w:lineRule="auto"/>
            </w:pPr>
            <w:r>
              <w:t>Min</w:t>
            </w:r>
          </w:p>
        </w:tc>
        <w:tc>
          <w:tcPr>
            <w:tcW w:w="0" w:type="auto"/>
          </w:tcPr>
          <w:p w14:paraId="5516F1A3" w14:textId="77777777" w:rsidR="0032076E" w:rsidRDefault="00D04708" w:rsidP="00EF40E0">
            <w:pPr>
              <w:pStyle w:val="Compact"/>
              <w:spacing w:line="360" w:lineRule="auto"/>
            </w:pPr>
            <w:r>
              <w:t>Max</w:t>
            </w:r>
          </w:p>
        </w:tc>
        <w:tc>
          <w:tcPr>
            <w:tcW w:w="0" w:type="auto"/>
          </w:tcPr>
          <w:p w14:paraId="5516F1A4" w14:textId="77777777" w:rsidR="0032076E" w:rsidRDefault="0032076E" w:rsidP="00EF40E0">
            <w:pPr>
              <w:pStyle w:val="Compact"/>
              <w:spacing w:line="360" w:lineRule="auto"/>
            </w:pPr>
          </w:p>
        </w:tc>
      </w:tr>
      <w:tr w:rsidR="0032076E" w14:paraId="5516F1AB" w14:textId="77777777">
        <w:tc>
          <w:tcPr>
            <w:tcW w:w="0" w:type="auto"/>
          </w:tcPr>
          <w:p w14:paraId="5516F1A6" w14:textId="77777777" w:rsidR="0032076E" w:rsidRDefault="00D04708" w:rsidP="00EF40E0">
            <w:pPr>
              <w:pStyle w:val="Compact"/>
              <w:spacing w:line="360" w:lineRule="auto"/>
            </w:pPr>
            <m:oMathPara>
              <m:oMath>
                <m:r>
                  <w:rPr>
                    <w:rFonts w:ascii="Cambria Math" w:hAnsi="Cambria Math"/>
                  </w:rPr>
                  <m:t>α</m:t>
                </m:r>
              </m:oMath>
            </m:oMathPara>
          </w:p>
        </w:tc>
        <w:tc>
          <w:tcPr>
            <w:tcW w:w="0" w:type="auto"/>
          </w:tcPr>
          <w:p w14:paraId="5516F1A7" w14:textId="57388936"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F40E0">
            <w:pPr>
              <w:pStyle w:val="Compact"/>
              <w:spacing w:line="360" w:lineRule="auto"/>
            </w:pPr>
            <w:r>
              <w:t>0</w:t>
            </w:r>
          </w:p>
        </w:tc>
        <w:tc>
          <w:tcPr>
            <w:tcW w:w="0" w:type="auto"/>
          </w:tcPr>
          <w:p w14:paraId="5516F1A9"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AA" w14:textId="77777777" w:rsidR="0032076E" w:rsidRDefault="0032076E" w:rsidP="00EF40E0">
            <w:pPr>
              <w:pStyle w:val="Compact"/>
              <w:spacing w:line="360" w:lineRule="auto"/>
            </w:pPr>
          </w:p>
        </w:tc>
      </w:tr>
      <w:tr w:rsidR="0032076E" w14:paraId="5516F1B1" w14:textId="77777777">
        <w:tc>
          <w:tcPr>
            <w:tcW w:w="0" w:type="auto"/>
          </w:tcPr>
          <w:p w14:paraId="5516F1AC" w14:textId="77777777" w:rsidR="0032076E" w:rsidRDefault="00D04708" w:rsidP="00EF40E0">
            <w:pPr>
              <w:pStyle w:val="Compact"/>
              <w:spacing w:line="360" w:lineRule="auto"/>
            </w:pPr>
            <m:oMathPara>
              <m:oMath>
                <m:r>
                  <w:rPr>
                    <w:rFonts w:ascii="Cambria Math" w:hAnsi="Cambria Math"/>
                  </w:rPr>
                  <m:t>μ</m:t>
                </m:r>
              </m:oMath>
            </m:oMathPara>
          </w:p>
        </w:tc>
        <w:tc>
          <w:tcPr>
            <w:tcW w:w="0" w:type="auto"/>
          </w:tcPr>
          <w:p w14:paraId="5516F1AD" w14:textId="5A6E5ED2"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F40E0">
            <w:pPr>
              <w:pStyle w:val="Compact"/>
              <w:spacing w:line="360" w:lineRule="auto"/>
            </w:pPr>
            <w:r>
              <w:t>-5</w:t>
            </w:r>
          </w:p>
        </w:tc>
        <w:tc>
          <w:tcPr>
            <w:tcW w:w="0" w:type="auto"/>
          </w:tcPr>
          <w:p w14:paraId="5516F1AF"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0" w14:textId="77777777" w:rsidR="0032076E" w:rsidRDefault="0032076E" w:rsidP="00EF40E0">
            <w:pPr>
              <w:pStyle w:val="Compact"/>
              <w:spacing w:line="360" w:lineRule="auto"/>
            </w:pPr>
          </w:p>
        </w:tc>
      </w:tr>
      <w:tr w:rsidR="0032076E" w14:paraId="5516F1B7" w14:textId="77777777">
        <w:tc>
          <w:tcPr>
            <w:tcW w:w="0" w:type="auto"/>
          </w:tcPr>
          <w:p w14:paraId="5516F1B2" w14:textId="77777777" w:rsidR="0032076E" w:rsidRDefault="00D04708" w:rsidP="00EF40E0">
            <w:pPr>
              <w:pStyle w:val="Compact"/>
              <w:spacing w:line="360" w:lineRule="auto"/>
            </w:pPr>
            <m:oMathPara>
              <m:oMath>
                <m:r>
                  <w:rPr>
                    <w:rFonts w:ascii="Cambria Math" w:hAnsi="Cambria Math"/>
                  </w:rPr>
                  <m:t>ρ</m:t>
                </m:r>
              </m:oMath>
            </m:oMathPara>
          </w:p>
        </w:tc>
        <w:tc>
          <w:tcPr>
            <w:tcW w:w="0" w:type="auto"/>
          </w:tcPr>
          <w:p w14:paraId="5516F1B3" w14:textId="3454FDD4"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F40E0">
            <w:pPr>
              <w:pStyle w:val="Compact"/>
              <w:spacing w:line="360" w:lineRule="auto"/>
            </w:pPr>
            <w:r>
              <w:t>-5</w:t>
            </w:r>
          </w:p>
        </w:tc>
        <w:tc>
          <w:tcPr>
            <w:tcW w:w="0" w:type="auto"/>
          </w:tcPr>
          <w:p w14:paraId="5516F1B5"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6" w14:textId="77777777" w:rsidR="0032076E" w:rsidRDefault="0032076E" w:rsidP="00EF40E0">
            <w:pPr>
              <w:pStyle w:val="Compact"/>
              <w:spacing w:line="360" w:lineRule="auto"/>
            </w:pPr>
          </w:p>
        </w:tc>
      </w:tr>
      <w:tr w:rsidR="0032076E" w14:paraId="5516F1BD" w14:textId="77777777">
        <w:tc>
          <w:tcPr>
            <w:tcW w:w="0" w:type="auto"/>
          </w:tcPr>
          <w:p w14:paraId="5516F1B8" w14:textId="77777777" w:rsidR="0032076E" w:rsidRDefault="00D04708" w:rsidP="00EF40E0">
            <w:pPr>
              <w:pStyle w:val="Compact"/>
              <w:spacing w:line="360" w:lineRule="auto"/>
            </w:pPr>
            <m:oMathPara>
              <m:oMath>
                <m:r>
                  <w:rPr>
                    <w:rFonts w:ascii="Cambria Math" w:hAnsi="Cambria Math"/>
                  </w:rPr>
                  <m:t>σ</m:t>
                </m:r>
              </m:oMath>
            </m:oMathPara>
          </w:p>
        </w:tc>
        <w:tc>
          <w:tcPr>
            <w:tcW w:w="0" w:type="auto"/>
          </w:tcPr>
          <w:p w14:paraId="5516F1B9" w14:textId="2EF4BE2D"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F40E0">
            <w:pPr>
              <w:pStyle w:val="Compact"/>
              <w:spacing w:line="360" w:lineRule="auto"/>
            </w:pPr>
            <w:r>
              <w:t>0</w:t>
            </w:r>
          </w:p>
        </w:tc>
        <w:tc>
          <w:tcPr>
            <w:tcW w:w="0" w:type="auto"/>
          </w:tcPr>
          <w:p w14:paraId="5516F1BB"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C" w14:textId="77777777" w:rsidR="0032076E" w:rsidRDefault="0032076E" w:rsidP="00EF40E0">
            <w:pPr>
              <w:pStyle w:val="Compact"/>
              <w:spacing w:line="360" w:lineRule="auto"/>
            </w:pPr>
          </w:p>
        </w:tc>
      </w:tr>
      <w:tr w:rsidR="0006210A" w14:paraId="743C5062" w14:textId="77777777">
        <w:tc>
          <w:tcPr>
            <w:tcW w:w="0" w:type="auto"/>
          </w:tcPr>
          <w:p w14:paraId="0FE11503" w14:textId="77777777" w:rsidR="0006210A" w:rsidRDefault="0006210A" w:rsidP="00EF40E0">
            <w:pPr>
              <w:pStyle w:val="Compact"/>
              <w:spacing w:line="360" w:lineRule="auto"/>
            </w:pPr>
          </w:p>
        </w:tc>
        <w:tc>
          <w:tcPr>
            <w:tcW w:w="0" w:type="auto"/>
          </w:tcPr>
          <w:p w14:paraId="48EFC1DF" w14:textId="77777777" w:rsidR="0006210A" w:rsidRDefault="0006210A" w:rsidP="00EF40E0">
            <w:pPr>
              <w:pStyle w:val="Compact"/>
              <w:spacing w:line="360" w:lineRule="auto"/>
            </w:pPr>
          </w:p>
        </w:tc>
        <w:tc>
          <w:tcPr>
            <w:tcW w:w="0" w:type="auto"/>
          </w:tcPr>
          <w:p w14:paraId="30ED6F8C" w14:textId="77777777" w:rsidR="0006210A" w:rsidRDefault="0006210A" w:rsidP="00EF40E0">
            <w:pPr>
              <w:pStyle w:val="Compact"/>
              <w:spacing w:line="360" w:lineRule="auto"/>
            </w:pPr>
          </w:p>
        </w:tc>
        <w:tc>
          <w:tcPr>
            <w:tcW w:w="0" w:type="auto"/>
          </w:tcPr>
          <w:p w14:paraId="1FDD0A41" w14:textId="77777777" w:rsidR="0006210A" w:rsidRDefault="0006210A" w:rsidP="00EF40E0">
            <w:pPr>
              <w:pStyle w:val="Compact"/>
              <w:spacing w:line="360" w:lineRule="auto"/>
            </w:pPr>
          </w:p>
        </w:tc>
        <w:tc>
          <w:tcPr>
            <w:tcW w:w="0" w:type="auto"/>
          </w:tcPr>
          <w:p w14:paraId="7DDF2285" w14:textId="77777777" w:rsidR="0006210A" w:rsidRDefault="0006210A" w:rsidP="00EF40E0">
            <w:pPr>
              <w:pStyle w:val="Compact"/>
              <w:spacing w:line="360" w:lineRule="auto"/>
            </w:pPr>
          </w:p>
        </w:tc>
      </w:tr>
    </w:tbl>
    <w:p w14:paraId="5516F1BE" w14:textId="6D2DCFF0" w:rsidR="0032076E" w:rsidRDefault="001E0F76" w:rsidP="00A762C2">
      <w:pPr>
        <w:pStyle w:val="CaptionedFigure"/>
        <w:spacing w:after="0"/>
      </w:pPr>
      <w:bookmarkStart w:id="7" w:name="fig:dag"/>
      <w:bookmarkEnd w:id="6"/>
      <w:r>
        <w:rPr>
          <w:noProof/>
        </w:rPr>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rsidP="00A762C2">
      <w:pPr>
        <w:pStyle w:val="ImageCaption"/>
        <w:spacing w:after="0"/>
      </w:pPr>
      <w:r>
        <w:t xml:space="preserve">Figure </w:t>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xml:space="preserve">, </w:t>
      </w:r>
      <w:r w:rsidR="000607B1" w:rsidRPr="000607B1">
        <w:lastRenderedPageBreak/>
        <w:t>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0F9697C5" w14:textId="77777777" w:rsidR="00286ADA" w:rsidRDefault="00286ADA" w:rsidP="00A762C2">
      <w:pPr>
        <w:pStyle w:val="ImageCaption"/>
        <w:spacing w:after="0"/>
      </w:pPr>
    </w:p>
    <w:p w14:paraId="5516F1C0" w14:textId="77777777" w:rsidR="0032076E" w:rsidRDefault="00D04708" w:rsidP="00A762C2">
      <w:pPr>
        <w:pStyle w:val="Heading1"/>
        <w:spacing w:before="0" w:after="0"/>
      </w:pPr>
      <w:bookmarkStart w:id="8" w:name="results"/>
      <w:bookmarkEnd w:id="3"/>
      <w:bookmarkEnd w:id="5"/>
      <w:bookmarkEnd w:id="7"/>
      <w:r>
        <w:t>Results</w:t>
      </w:r>
    </w:p>
    <w:p w14:paraId="5516F1C8" w14:textId="7EBEC165" w:rsidR="0032076E" w:rsidRDefault="00B51AB8" w:rsidP="00A762C2">
      <w:pPr>
        <w:pStyle w:val="BodyText"/>
      </w:pPr>
      <w:bookmarkStart w:id="9" w:name="fig:epsilon"/>
      <w:r>
        <w:t>Real-world data</w:t>
      </w:r>
    </w:p>
    <w:p w14:paraId="5E3BABCC" w14:textId="09E736E4" w:rsidR="005C475E" w:rsidRDefault="005C475E" w:rsidP="00A762C2">
      <w:pPr>
        <w:pStyle w:val="BodyText"/>
      </w:pPr>
      <w:r w:rsidRPr="007B0B48">
        <w:t>GP parameter</w:t>
      </w:r>
      <w:r>
        <w:t>s</w:t>
      </w:r>
    </w:p>
    <w:p w14:paraId="1B0AC534" w14:textId="7143A399" w:rsidR="0087355A" w:rsidRDefault="0087355A" w:rsidP="00A762C2">
      <w:pPr>
        <w:pStyle w:val="BodyText"/>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r w:rsidRPr="0087355A">
        <w:t xml:space="preserve">. In contrast, deep-dwelling species exhibited longer length scales, consistent with higher spatial autocorrelation,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surface-associated species is more spatially heterogeneous, whereas deeper-distributed species display increasingly homogeneous and spatially structured eDNA distributions with depth.</w:t>
      </w:r>
    </w:p>
    <w:p w14:paraId="7D4708BC" w14:textId="77777777" w:rsidR="000E31BF" w:rsidRPr="00994C26" w:rsidRDefault="000E31BF" w:rsidP="00A762C2">
      <w:pPr>
        <w:pStyle w:val="BodyText"/>
      </w:pPr>
      <w:r w:rsidRPr="00EC0F93">
        <w:t xml:space="preserve">Across species, α </w:t>
      </w:r>
      <w:r>
        <w:t xml:space="preserve">ranged from </w:t>
      </w:r>
      <w:r w:rsidRPr="00EC0F93">
        <w:t>2.3</w:t>
      </w:r>
      <w:r>
        <w:t xml:space="preserve"> to </w:t>
      </w:r>
      <w:r w:rsidRPr="00EC0F93">
        <w:t xml:space="preserve">4.2, whereas the GP </w:t>
      </w:r>
      <w:r w:rsidRPr="00A762C2">
        <w:t>process variance</w:t>
      </w:r>
      <w:r w:rsidRPr="00EC0F93">
        <w:t xml:space="preserv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rsidRPr="00A762C2">
        <w:t>the length-scale parameter</w:t>
      </w:r>
      <w:r w:rsidRPr="00392A56">
        <w:t xml:space="preserve"> ρ (Fig. </w:t>
      </w:r>
      <w:proofErr w:type="spellStart"/>
      <w:r w:rsidRPr="00392A56">
        <w:t>Sxxx</w:t>
      </w:r>
      <w:proofErr w:type="spellEnd"/>
      <w:r w:rsidRPr="00392A56">
        <w:t>).</w:t>
      </w:r>
    </w:p>
    <w:p w14:paraId="02EF8E98" w14:textId="4B3C610C" w:rsidR="002B7AB4" w:rsidRDefault="001E155A" w:rsidP="00A762C2">
      <w:pPr>
        <w:pStyle w:val="BodyText"/>
      </w:pPr>
      <w:r>
        <w:rPr>
          <w:noProof/>
        </w:rPr>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89C4F73" w14:textId="353A65B7" w:rsidR="00B330E5" w:rsidRDefault="00BF28E6" w:rsidP="00A762C2">
      <w:pPr>
        <w:pStyle w:val="ImageCaption"/>
        <w:spacing w:after="0"/>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r w:rsidR="00B330E5" w:rsidRPr="00826938">
        <w:t>process noise (σ)</w:t>
      </w:r>
      <w:r w:rsidR="00ED2C92">
        <w:t xml:space="preserve"> 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048035D4" w14:textId="37340220" w:rsidR="00CA5D0F" w:rsidRDefault="00CA5D0F" w:rsidP="00A762C2">
      <w:pPr>
        <w:pStyle w:val="BodyText"/>
      </w:pPr>
      <w:r w:rsidRPr="00CA5D0F">
        <w:t>Simulations</w:t>
      </w:r>
    </w:p>
    <w:p w14:paraId="2DCBD9C0" w14:textId="758A1468" w:rsidR="007B0B48" w:rsidRPr="007B0B48" w:rsidRDefault="00E95FBE" w:rsidP="00A762C2">
      <w:pPr>
        <w:pStyle w:val="BodyText"/>
      </w:pPr>
      <w:r>
        <w:t>P</w:t>
      </w:r>
      <w:r w:rsidRPr="00E95FBE">
        <w:t>rediction accuracy</w:t>
      </w:r>
    </w:p>
    <w:p w14:paraId="7331C773" w14:textId="561B5837" w:rsidR="000775D1" w:rsidRDefault="00D04708" w:rsidP="00A762C2">
      <w:pPr>
        <w:pStyle w:val="BodyText"/>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w:t>
      </w:r>
      <w:r w:rsidR="00FF27F4" w:rsidRPr="00FF27F4">
        <w:lastRenderedPageBreak/>
        <w:t xml:space="preserve">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spatial autocorrelation values of </w:t>
      </w:r>
      <w:r w:rsidR="00627E69">
        <w:t>50</w:t>
      </w:r>
      <w:r>
        <w:t xml:space="preserve"> km had mean prediction errors of 1 </w:t>
      </w:r>
      <w:r w:rsidR="009A229D">
        <w:t xml:space="preserve">(Figure </w:t>
      </w:r>
      <w:hyperlink w:anchor="fig:epsilon">
        <w:r w:rsidR="009A229D">
          <w:rPr>
            <w:rStyle w:val="Hyperlink"/>
          </w:rPr>
          <w:t>3</w:t>
        </w:r>
      </w:hyperlink>
      <w:r w:rsidR="009A229D">
        <w:t xml:space="preserve">A) </w:t>
      </w:r>
      <w:r>
        <w:t xml:space="preserve">indicating that on average every point predicted the eDNA concentration will be off by a factor of 2.72 (for perspective a concentration of 100 copies/L will be predicted between 37-270 copies/L). In contrast, for the same sampling effort (i.e., </w:t>
      </w:r>
      <w:r w:rsidR="006E4E43">
        <w:t>6 samples per 10,000 km</w:t>
      </w:r>
      <w:r w:rsidR="006E4E43" w:rsidRPr="000409FF">
        <w:rPr>
          <w:vertAlign w:val="superscript"/>
        </w:rPr>
        <w:t>2</w:t>
      </w:r>
      <w:r>
        <w:t>) but species with spatial autocorrelation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predicted between </w:t>
      </w:r>
      <w:r w:rsidR="009E4EA7">
        <w:t>67</w:t>
      </w:r>
      <w:r>
        <w:t>-1</w:t>
      </w:r>
      <w:r w:rsidR="00B677ED">
        <w:t>50</w:t>
      </w:r>
      <w:r>
        <w:t xml:space="preserve"> copies/L).</w:t>
      </w:r>
      <w:r w:rsidR="00CA06F2" w:rsidRPr="00CA06F2">
        <w:t xml:space="preserve"> </w:t>
      </w:r>
      <w:r w:rsidR="005D2998" w:rsidRPr="005D2998">
        <w:t>When quantifying the marginal reduction in prediction error (ΔRMSE) across successive increases in sampling density (</w:t>
      </w:r>
      <w:proofErr w:type="spellStart"/>
      <w:r w:rsidR="005D2998" w:rsidRPr="005D2998">
        <w:t>Δe</w:t>
      </w:r>
      <w:proofErr w:type="spellEnd"/>
      <w:r w:rsidR="005D2998" w:rsidRPr="005D2998">
        <w:t xml:space="preserv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true concentration is 100 copies/L</w:t>
      </w:r>
      <w:r w:rsidR="004D0F65">
        <w:t xml:space="preserve"> respectively</w:t>
      </w:r>
      <w:r w:rsidR="005D2998" w:rsidRPr="005D2998">
        <w:t xml:space="preserve">. </w:t>
      </w:r>
    </w:p>
    <w:p w14:paraId="6563C49B" w14:textId="717F2998" w:rsidR="00AA1EA2" w:rsidRPr="00627C7B" w:rsidRDefault="00380807" w:rsidP="00A762C2">
      <w:pPr>
        <w:pStyle w:val="BodyText"/>
      </w:pPr>
      <w:r>
        <w:rPr>
          <w:noProof/>
        </w:rPr>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234515FC" w:rsidR="00AA1EA2" w:rsidRPr="00693712" w:rsidRDefault="00AA1EA2" w:rsidP="00A762C2">
      <w:pPr>
        <w:pStyle w:val="ImageCaption"/>
        <w:spacing w:after="0"/>
      </w:pPr>
      <w:r w:rsidRPr="00693712">
        <w:t xml:space="preserve">Figure </w:t>
      </w:r>
      <w:r w:rsidR="00C308EA" w:rsidRPr="00693712">
        <w:t>3</w:t>
      </w:r>
      <w:r w:rsidRPr="00693712">
        <w:t>: Mean prediction error (</w:t>
      </w:r>
      <w:r w:rsidR="006C4969" w:rsidRPr="00693712">
        <w:rPr>
          <w:lang w:val="el-GR"/>
        </w:rPr>
        <w:t>ε</w:t>
      </w:r>
      <w:r w:rsidR="006C4969" w:rsidRPr="00693712">
        <w:t>; RMSE</w:t>
      </w:r>
      <w:r w:rsidRPr="00693712">
        <w:t>) across five sampling-effort scenarios (indicated by color) for simulated datasets</w:t>
      </w:r>
      <w:r w:rsidR="00A40769" w:rsidRPr="00693712">
        <w:t xml:space="preserve"> (A)</w:t>
      </w:r>
      <w:r w:rsidRPr="00693712">
        <w:t>. Prediction error was higher with lower sampling effort and was also lower where spatial autocorrelation (</w:t>
      </w:r>
      <m:oMath>
        <m:r>
          <w:rPr>
            <w:rFonts w:ascii="Cambria Math" w:hAnsi="Cambria Math"/>
          </w:rPr>
          <m:t>ρ</m:t>
        </m:r>
      </m:oMath>
      <w:r w:rsidRPr="00693712">
        <w:t>) was the greatest.</w:t>
      </w:r>
      <w:r w:rsidR="00761B11" w:rsidRPr="00693712">
        <w:t xml:space="preserve"> Marginal improvement </w:t>
      </w:r>
      <w:r w:rsidR="00A40769" w:rsidRPr="00693712">
        <w:t xml:space="preserve">(B) </w:t>
      </w:r>
      <w:r w:rsidR="00761B11" w:rsidRPr="00693712">
        <w:t>in prediction performance (</w:t>
      </w:r>
      <w:r w:rsidR="00761B11" w:rsidRPr="00693712">
        <w:rPr>
          <w:lang w:val="el-GR"/>
        </w:rPr>
        <w:t>Δ</w:t>
      </w:r>
      <w:r w:rsidR="009D2805" w:rsidRPr="00693712">
        <w:rPr>
          <w:lang w:val="el-GR"/>
        </w:rPr>
        <w:t>ε</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E422D2" w:rsidRPr="00693712">
        <w:t>e = 1)</w:t>
      </w:r>
      <w:r w:rsidR="00761B11" w:rsidRPr="00693712">
        <w:t xml:space="preserve">. </w:t>
      </w:r>
    </w:p>
    <w:p w14:paraId="0785055D" w14:textId="77777777" w:rsidR="00286ADA" w:rsidRDefault="00286ADA" w:rsidP="00A762C2">
      <w:pPr>
        <w:pStyle w:val="ImageCaption"/>
        <w:spacing w:after="0"/>
        <w:rPr>
          <w:i w:val="0"/>
          <w:iCs/>
        </w:rPr>
      </w:pPr>
    </w:p>
    <w:p w14:paraId="478F4CC8" w14:textId="65EF8B8A" w:rsidR="007B0B48" w:rsidRDefault="007B0B48" w:rsidP="00A762C2">
      <w:pPr>
        <w:pStyle w:val="BodyText"/>
      </w:pPr>
      <w:r w:rsidRPr="007B0B48">
        <w:t>GP parameter recovery</w:t>
      </w:r>
    </w:p>
    <w:p w14:paraId="6FEA0002" w14:textId="0E9A7910" w:rsidR="003F2203" w:rsidRDefault="00D366A8" w:rsidP="00A762C2">
      <w:pPr>
        <w:pStyle w:val="p1"/>
        <w:spacing w:before="0" w:beforeAutospacing="0" w:after="0" w:afterAutospacing="0"/>
        <w:jc w:val="both"/>
      </w:pPr>
      <w:r>
        <w:t xml:space="preserve">Sampling effort and spatial autocorrelation strongly influenced the ability of the GP model to recover the parameters used to generate the simulated spatial fields (Figure 4). Estimation error </w:t>
      </w:r>
      <w:r>
        <w:lastRenderedPageBreak/>
        <w:t>for the depth-specific mean (μ) decreased with increasing sampling density for simulated fields with small spatial autocorrelation but showed the opposite pattern for fields with large spatial ranges (Figure 4A). Specifically, RMSE for μ increased with sampling effort when spatial autocorrelation exceeded 400 km, indicating that mean estimates became increasingly biased in highly spatially structured fields. Additionally, the recovery of the spatial autocorrelation length-scale (ρ) was highly sensitive to sampling density (Figure 4B). At low sampling effort (e &lt; 4), estimates of ρ showed substantial error, particularly for simulations with large spatial ranges. However, estimation accuracy improved rapidly as sampling effort increased, with RMSE declining sharply and stabilizing once sampling densities were higher than 6 samples per 10,000 km2, beyond which additional sampling produced only marginal improvements in ρ estimation.</w:t>
      </w:r>
    </w:p>
    <w:p w14:paraId="772B6108" w14:textId="0BDFA5AD" w:rsidR="00EF7D10" w:rsidRDefault="00F70DB9" w:rsidP="00A762C2">
      <w:pPr>
        <w:pStyle w:val="p1"/>
        <w:spacing w:before="0" w:beforeAutospacing="0" w:after="0" w:afterAutospacing="0"/>
        <w:jc w:val="both"/>
      </w:pPr>
      <w:r w:rsidRPr="00F70DB9">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rsidP="00A762C2">
      <w:pPr>
        <w:pStyle w:val="ImageCaption"/>
        <w:spacing w:after="0"/>
        <w:rPr>
          <w:i w:val="0"/>
          <w:iCs/>
        </w:rPr>
      </w:pPr>
      <w:r>
        <w:rPr>
          <w:i w:val="0"/>
          <w:iCs/>
          <w:noProof/>
        </w:rPr>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3513757" w:rsidR="00C00263" w:rsidRPr="002975EB" w:rsidRDefault="002975EB" w:rsidP="00A762C2">
      <w:pPr>
        <w:pStyle w:val="ImageCaption"/>
        <w:spacing w:after="0"/>
      </w:pPr>
      <w:r w:rsidRPr="002975EB">
        <w:t xml:space="preserve">Figure </w:t>
      </w:r>
      <w:r w:rsidR="00612CFF">
        <w:t>4</w:t>
      </w:r>
      <w:r w:rsidRPr="002975EB">
        <w:t xml:space="preserve">. Accuracy of Gaussian Process (GP) parameter estimation across sampling densities and spatial autocorrelation </w:t>
      </w:r>
      <w:r>
        <w:t>values</w:t>
      </w:r>
      <w:r w:rsidRPr="002975EB">
        <w:t xml:space="preserve"> </w:t>
      </w:r>
      <w:r>
        <w:t>from</w:t>
      </w:r>
      <w:r w:rsidRPr="002975EB">
        <w:t xml:space="preserve"> </w:t>
      </w:r>
      <w:r>
        <w:t>in-silico</w:t>
      </w:r>
      <w:r w:rsidRPr="002975EB">
        <w:t xml:space="preserve"> data.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w:t>
      </w:r>
      <w:r w:rsidRPr="00A762C2">
        <w:t>(μ)</w:t>
      </w:r>
      <w:r w:rsidRPr="002975EB">
        <w:t>, (B) spatial autocorrelation length-scale (ρ), (C) amplitude (α), and (D</w:t>
      </w:r>
      <w:r w:rsidRPr="00A762C2">
        <w:t>) process noise (σ).</w:t>
      </w:r>
      <w:r w:rsidRPr="002975EB">
        <w:t xml:space="preserve">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rsidP="00A762C2">
      <w:pPr>
        <w:pStyle w:val="ImageCaption"/>
        <w:spacing w:after="0"/>
        <w:rPr>
          <w:i w:val="0"/>
          <w:iCs/>
        </w:rPr>
      </w:pPr>
    </w:p>
    <w:bookmarkEnd w:id="9"/>
    <w:p w14:paraId="321C7E67" w14:textId="77777777" w:rsidR="00286ADA" w:rsidRDefault="00286ADA" w:rsidP="00A762C2">
      <w:pPr>
        <w:pStyle w:val="ImageCaption"/>
        <w:spacing w:after="0"/>
      </w:pPr>
    </w:p>
    <w:p w14:paraId="488FF02D" w14:textId="77777777" w:rsidR="00A62458" w:rsidRDefault="00A62458" w:rsidP="00A762C2">
      <w:pPr>
        <w:pStyle w:val="BodyText"/>
      </w:pPr>
      <w:r w:rsidRPr="00095871">
        <w:t xml:space="preserve">Comparison of prediction </w:t>
      </w:r>
      <w:r>
        <w:t>accuracy</w:t>
      </w:r>
      <w:r w:rsidRPr="00095871">
        <w:t xml:space="preserve"> between </w:t>
      </w:r>
      <w:r w:rsidRPr="0065738A">
        <w:rPr>
          <w:i/>
          <w:iCs/>
        </w:rPr>
        <w:t>in-situ</w:t>
      </w:r>
      <w:r>
        <w:t xml:space="preserve"> </w:t>
      </w:r>
      <w:r w:rsidRPr="00095871">
        <w:t xml:space="preserve">and </w:t>
      </w:r>
      <w:r w:rsidRPr="0065738A">
        <w:rPr>
          <w:i/>
          <w:iCs/>
        </w:rPr>
        <w:t>in-silico</w:t>
      </w:r>
      <w:r w:rsidRPr="00095871">
        <w:t xml:space="preserve"> data</w:t>
      </w:r>
      <w:r>
        <w:t xml:space="preserve"> </w:t>
      </w:r>
    </w:p>
    <w:p w14:paraId="15C4413C" w14:textId="06AC7BE5" w:rsidR="00D974B6" w:rsidRDefault="00D974B6" w:rsidP="00A762C2">
      <w:pPr>
        <w:pStyle w:val="BodyText"/>
      </w:pPr>
      <w:r>
        <w:t>Prediction error (ε) increased as sampling effort and spatial autocorrelation decreased, indicating that prediction accuracy improved with both higher sampling density and stronger spatial structure (Fig. Sxxx). These empirical prediction-effort relationships were broadly consistent with those obtained from the in-silico simulations (Figure 6). Specifically, the estimated intercept (ω), the influence of sampling effort (β), the effect of spatial autocorrelation (θ), and their interaction term (γ) all showed consistent directional effects and aligned closely with the 1:1 line, demonstrating a high degree of structural agreement between the empirical and simulated error models. Overall, the close correspondence between coefficients derived from the in-situ and in-silico datasets indicates that the simulation framework successfully reproduced the primary relationships between prediction error, sampling effort, and spatial autocorrelation observed in the real-world data.</w:t>
      </w:r>
    </w:p>
    <w:p w14:paraId="7D035DE0" w14:textId="25ACF597" w:rsidR="005E42EA" w:rsidRDefault="00547BEA" w:rsidP="00A762C2">
      <w:pPr>
        <w:pStyle w:val="BodyText"/>
      </w:pPr>
      <w:bookmarkStart w:id="10" w:name="fig:epsilon_sp"/>
      <w:r>
        <w:rPr>
          <w:noProof/>
        </w:rPr>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Default="00F038B8" w:rsidP="00A762C2">
      <w:pPr>
        <w:pStyle w:val="p1"/>
        <w:spacing w:before="0" w:beforeAutospacing="0" w:after="0" w:afterAutospacing="0"/>
        <w:jc w:val="both"/>
        <w:rPr>
          <w:i/>
          <w:iCs/>
        </w:rPr>
      </w:pPr>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estimates. </w:t>
      </w:r>
    </w:p>
    <w:p w14:paraId="1B978111" w14:textId="77777777" w:rsidR="00286ADA" w:rsidRPr="00666D36" w:rsidRDefault="00286ADA" w:rsidP="00A762C2">
      <w:pPr>
        <w:pStyle w:val="p1"/>
        <w:spacing w:before="0" w:beforeAutospacing="0" w:after="0" w:afterAutospacing="0"/>
        <w:jc w:val="both"/>
        <w:rPr>
          <w:i/>
          <w:iCs/>
        </w:rPr>
      </w:pPr>
    </w:p>
    <w:p w14:paraId="5516F1CD" w14:textId="77777777" w:rsidR="0032076E" w:rsidRDefault="00D04708" w:rsidP="00A762C2">
      <w:pPr>
        <w:pStyle w:val="Heading1"/>
        <w:spacing w:before="0" w:after="0"/>
      </w:pPr>
      <w:bookmarkStart w:id="11" w:name="discussion"/>
      <w:bookmarkEnd w:id="8"/>
      <w:bookmarkEnd w:id="10"/>
      <w:r>
        <w:lastRenderedPageBreak/>
        <w:t>Discussion</w:t>
      </w:r>
    </w:p>
    <w:p w14:paraId="5351486F" w14:textId="46843E42" w:rsidR="00390A6F" w:rsidRDefault="00125464" w:rsidP="00A762C2">
      <w:pPr>
        <w:pStyle w:val="p2"/>
        <w:spacing w:before="0" w:beforeAutospacing="0" w:after="0" w:afterAutospacing="0"/>
        <w:jc w:val="both"/>
      </w:pPr>
      <w:bookmarkStart w:id="12"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127167D" w14:textId="77777777" w:rsidR="00286ADA" w:rsidRDefault="00286ADA" w:rsidP="00A762C2">
      <w:pPr>
        <w:pStyle w:val="p2"/>
        <w:spacing w:before="0" w:beforeAutospacing="0" w:after="0" w:afterAutospacing="0"/>
        <w:jc w:val="both"/>
      </w:pPr>
    </w:p>
    <w:p w14:paraId="605F1DF1" w14:textId="40223D7C" w:rsidR="00C4581E" w:rsidRPr="00E812EC" w:rsidRDefault="00E812EC" w:rsidP="00A762C2">
      <w:pPr>
        <w:pStyle w:val="BodyText"/>
      </w:pPr>
      <w:bookmarkStart w:id="13" w:name="OLE_LINK2"/>
      <w:r w:rsidRPr="00E812EC">
        <w:t xml:space="preserve">Understanding </w:t>
      </w:r>
      <w:r w:rsidR="00BD739D" w:rsidRPr="00E812EC">
        <w:t>parameters</w:t>
      </w:r>
      <w:r w:rsidRPr="00E812EC">
        <w:t xml:space="preserve"> in ecology</w:t>
      </w:r>
    </w:p>
    <w:p w14:paraId="5EE0F2A5" w14:textId="36223633" w:rsidR="004961BF" w:rsidRDefault="004961BF" w:rsidP="00A762C2">
      <w:pPr>
        <w:pStyle w:val="p3"/>
        <w:spacing w:before="0" w:beforeAutospacing="0" w:after="0" w:afterAutospacing="0"/>
        <w:jc w:val="both"/>
      </w:pPr>
      <w:r w:rsidRPr="00BC5CC1">
        <w:t xml:space="preserve">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 xml:space="preserve">the value of additional samples is not universal in ecology,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p>
    <w:p w14:paraId="408BC653" w14:textId="77777777" w:rsidR="00286ADA" w:rsidRPr="00BC5CC1" w:rsidRDefault="00286ADA" w:rsidP="00A762C2">
      <w:pPr>
        <w:pStyle w:val="p3"/>
        <w:spacing w:before="0" w:beforeAutospacing="0" w:after="0" w:afterAutospacing="0"/>
        <w:jc w:val="both"/>
      </w:pPr>
    </w:p>
    <w:p w14:paraId="3C8CB6A7" w14:textId="1CEAC30D" w:rsidR="00506160" w:rsidRDefault="00506160" w:rsidP="00A762C2">
      <w:pPr>
        <w:pStyle w:val="p3"/>
        <w:spacing w:before="0" w:beforeAutospacing="0" w:after="0" w:afterAutospacing="0"/>
        <w:jc w:val="both"/>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w:t>
      </w:r>
      <w:proofErr w:type="gramStart"/>
      <w:r w:rsidRPr="00BC5CC1">
        <w:t>captured,</w:t>
      </w:r>
      <w:proofErr w:type="gramEnd"/>
      <w:r w:rsidRPr="00BC5CC1">
        <w:t xml:space="preserve"> additional samples mostly refine local details rather than </w:t>
      </w:r>
      <w:r w:rsidR="00D7573B" w:rsidRPr="00BC5CC1">
        <w:t xml:space="preserve">substantially improving </w:t>
      </w:r>
      <w:r w:rsidRPr="00BC5CC1">
        <w:t xml:space="preserve">the overall reconstruction. </w:t>
      </w:r>
    </w:p>
    <w:p w14:paraId="4BE93618" w14:textId="77777777" w:rsidR="00286ADA" w:rsidRPr="00BC5CC1" w:rsidRDefault="00286ADA" w:rsidP="00A762C2">
      <w:pPr>
        <w:pStyle w:val="p3"/>
        <w:spacing w:before="0" w:beforeAutospacing="0" w:after="0" w:afterAutospacing="0"/>
        <w:jc w:val="both"/>
      </w:pPr>
    </w:p>
    <w:p w14:paraId="7F4322C0" w14:textId="77777777" w:rsidR="00E6092D" w:rsidRDefault="00D71E05" w:rsidP="00A762C2">
      <w:pPr>
        <w:pStyle w:val="p3"/>
        <w:spacing w:before="0" w:beforeAutospacing="0" w:after="0" w:afterAutospacing="0"/>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BC5CC1">
        <w:t>μ</w:t>
      </w:r>
      <w:r w:rsidRPr="00BC5CC1">
        <w:rPr>
          <w:vertAlign w:val="subscript"/>
        </w:rPr>
        <w:t>d</w:t>
      </w:r>
      <w:proofErr w:type="spellEnd"/>
      <w:r w:rsidRPr="00BC5CC1">
        <w:t xml:space="preserve">) and the length scale (ρ),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dominant scale of variation is only weakly identified by the data. Under these conditions, the field can appear nearly uniform across the sampled domain, making it difficult to separate the overall mean from the large-scale spatial process. 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 </w:t>
      </w:r>
    </w:p>
    <w:p w14:paraId="070060E8" w14:textId="77777777" w:rsidR="00286ADA" w:rsidRPr="00BC5CC1" w:rsidRDefault="00286ADA" w:rsidP="00A762C2">
      <w:pPr>
        <w:pStyle w:val="p3"/>
        <w:spacing w:before="0" w:beforeAutospacing="0" w:after="0" w:afterAutospacing="0"/>
        <w:jc w:val="both"/>
      </w:pPr>
    </w:p>
    <w:p w14:paraId="25AAB611" w14:textId="660AC45D" w:rsidR="002B45C6" w:rsidRDefault="001414C4" w:rsidP="00A762C2">
      <w:pPr>
        <w:pStyle w:val="p3"/>
        <w:spacing w:before="0" w:beforeAutospacing="0" w:after="0" w:afterAutospacing="0"/>
        <w:jc w:val="both"/>
      </w:pPr>
      <w:r w:rsidRPr="00BC5CC1">
        <w:t xml:space="preserve">By contrast, estimation of the length-scale parameter </w:t>
      </w:r>
      <w:r w:rsidRPr="00BC5CC1">
        <w:rPr>
          <w:lang w:val="el-GR"/>
        </w:rPr>
        <w:t>ρ</w:t>
      </w:r>
      <w:r w:rsidRPr="00BC5CC1">
        <w:t xml:space="preserve"> was substantially more sensitive to </w:t>
      </w:r>
      <w:r w:rsidR="000F67DF" w:rsidRPr="00BC5CC1">
        <w:t>sampling effort thinning</w:t>
      </w:r>
      <w:r w:rsidRPr="00BC5CC1">
        <w:t xml:space="preserve">, particularly in </w:t>
      </w:r>
      <w:r w:rsidR="000F67DF" w:rsidRPr="00BC5CC1">
        <w:t>low</w:t>
      </w:r>
      <w:r w:rsidRPr="00BC5CC1">
        <w:t xml:space="preserve"> </w:t>
      </w:r>
      <w:r w:rsidR="000F67DF" w:rsidRPr="00BC5CC1">
        <w:t xml:space="preserve">spatially </w:t>
      </w:r>
      <w:r w:rsidRPr="00BC5CC1">
        <w:t xml:space="preserve">autocorrelated scenarios.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w:t>
      </w:r>
      <w:proofErr w:type="spellStart"/>
      <w:r w:rsidR="002B45C6" w:rsidRPr="00BC5CC1">
        <w:t>μ</w:t>
      </w:r>
      <w:r w:rsidR="002B45C6" w:rsidRPr="00BC5CC1">
        <w:rPr>
          <w:vertAlign w:val="subscript"/>
        </w:rPr>
        <w:t>d</w:t>
      </w:r>
      <w:proofErr w:type="spellEnd"/>
      <w:r w:rsidR="002B45C6" w:rsidRPr="00BC5CC1">
        <w:t xml:space="preserve"> can remain relatively robust under sampling effort thinning scenarios when sample removal is random (and uniformly distributed), provided </w:t>
      </w:r>
      <w:r w:rsidR="002B45C6" w:rsidRPr="00BC5CC1">
        <w:lastRenderedPageBreak/>
        <w:t xml:space="preserve">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rsidP="00A762C2">
      <w:pPr>
        <w:pStyle w:val="p3"/>
        <w:spacing w:before="0" w:beforeAutospacing="0" w:after="0" w:afterAutospacing="0"/>
        <w:jc w:val="both"/>
      </w:pPr>
    </w:p>
    <w:p w14:paraId="7A4F82FF" w14:textId="6BEF0B5B" w:rsidR="003D5CCB" w:rsidRDefault="00881589" w:rsidP="00A762C2">
      <w:pPr>
        <w:pStyle w:val="p3"/>
        <w:spacing w:before="0" w:beforeAutospacing="0" w:after="0" w:afterAutospacing="0"/>
        <w:jc w:val="both"/>
      </w:pPr>
      <w:r w:rsidRPr="00BC5CC1">
        <w:t xml:space="preserve">From a GP perspective, this behavior is expected when the underlying process varies at a finer spatial scale than the sampling design can resolve.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 This</w:t>
      </w:r>
      <w:r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A762C2">
      <w:pPr>
        <w:pStyle w:val="p3"/>
        <w:spacing w:before="0" w:beforeAutospacing="0" w:after="0" w:afterAutospacing="0"/>
        <w:jc w:val="both"/>
      </w:pPr>
    </w:p>
    <w:bookmarkEnd w:id="13"/>
    <w:p w14:paraId="656787B2" w14:textId="5065E009" w:rsidR="00194686" w:rsidRDefault="00BC5CC1" w:rsidP="00A762C2">
      <w:pPr>
        <w:spacing w:after="0"/>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rsidP="00A762C2">
      <w:pPr>
        <w:spacing w:after="0"/>
        <w:jc w:val="both"/>
        <w:rPr>
          <w:rFonts w:ascii="Times New Roman" w:eastAsia="Times New Roman" w:hAnsi="Times New Roman" w:cs="Times New Roman"/>
        </w:rPr>
      </w:pPr>
    </w:p>
    <w:p w14:paraId="1754C8F5" w14:textId="77777777" w:rsidR="00973AB8" w:rsidRPr="000D2BF7" w:rsidRDefault="00973AB8" w:rsidP="00A762C2">
      <w:pPr>
        <w:pStyle w:val="Heading3"/>
        <w:spacing w:before="0" w:after="0"/>
        <w:jc w:val="both"/>
        <w:rPr>
          <w:i w:val="0"/>
          <w:iCs/>
        </w:rPr>
      </w:pPr>
      <w:r w:rsidRPr="000D2BF7">
        <w:rPr>
          <w:i w:val="0"/>
          <w:iCs/>
        </w:rPr>
        <w:t>Depth-dependent patterns</w:t>
      </w:r>
    </w:p>
    <w:p w14:paraId="2AAE1ACC" w14:textId="77777777" w:rsidR="00973AB8" w:rsidRDefault="00973AB8" w:rsidP="00A762C2">
      <w:pPr>
        <w:pStyle w:val="p3"/>
        <w:spacing w:before="0" w:beforeAutospacing="0" w:after="0" w:afterAutospacing="0"/>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rsidP="00A762C2">
      <w:pPr>
        <w:spacing w:after="0"/>
        <w:jc w:val="both"/>
        <w:rPr>
          <w:rFonts w:ascii="Times New Roman" w:eastAsiaTheme="majorEastAsia" w:hAnsi="Times New Roman" w:cstheme="majorBidi"/>
          <w:b/>
          <w:iCs/>
          <w:szCs w:val="28"/>
        </w:rPr>
      </w:pPr>
    </w:p>
    <w:p w14:paraId="683D8C72" w14:textId="22F67EB4" w:rsidR="00A318B1" w:rsidRPr="000D2BF7" w:rsidRDefault="000F7C17" w:rsidP="00A762C2">
      <w:pPr>
        <w:pStyle w:val="Heading3"/>
        <w:spacing w:before="0" w:after="0"/>
        <w:jc w:val="both"/>
        <w:rPr>
          <w:i w:val="0"/>
          <w:iCs/>
        </w:rPr>
      </w:pPr>
      <w:r>
        <w:rPr>
          <w:i w:val="0"/>
          <w:iCs/>
        </w:rPr>
        <w:t>Limitations on extrapolating simulations on real-world scenarios</w:t>
      </w:r>
    </w:p>
    <w:p w14:paraId="6BA86707" w14:textId="47C09B31" w:rsidR="00275178" w:rsidRDefault="00275178" w:rsidP="00A762C2">
      <w:pPr>
        <w:pStyle w:val="p3"/>
        <w:spacing w:before="0" w:beforeAutospacing="0" w:after="0" w:afterAutospacing="0"/>
        <w:jc w:val="both"/>
      </w:pPr>
      <w:r w:rsidRPr="00CC24BD">
        <w:t>The simulated and empirical thinning results showed strong agreement. In the real-world analysis, prediction error increased as sampling effort decreased, and species with shorter length scales generally had higher prediction error at comparable effort. This concordance suggests that the simulation framework captured important features of eDNA spatial structure at the scale of ten-degree latitude.</w:t>
      </w:r>
    </w:p>
    <w:p w14:paraId="76607B1A" w14:textId="77777777" w:rsidR="00286ADA" w:rsidRPr="00CC24BD" w:rsidRDefault="00286ADA" w:rsidP="00A762C2">
      <w:pPr>
        <w:pStyle w:val="p3"/>
        <w:spacing w:before="0" w:beforeAutospacing="0" w:after="0" w:afterAutospacing="0"/>
        <w:jc w:val="both"/>
      </w:pPr>
    </w:p>
    <w:p w14:paraId="2E39F4BC" w14:textId="65FD16BC" w:rsidR="00AF7656" w:rsidRDefault="00690C1C" w:rsidP="00A762C2">
      <w:pPr>
        <w:pStyle w:val="p3"/>
        <w:spacing w:before="0" w:beforeAutospacing="0" w:after="0" w:afterAutospacing="0"/>
        <w:jc w:val="both"/>
      </w:pPr>
      <w:r w:rsidRPr="00CC24BD">
        <w:t xml:space="preserve">At the same time, extrapolating directly from simulations to natural systems requires care because real eDNA fields may violate the simplifying assumptions of the stationary, isotropic squared </w:t>
      </w:r>
      <w:r w:rsidRPr="00CC24BD">
        <w:lastRenderedPageBreak/>
        <w:t xml:space="preserve">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A762C2">
      <w:pPr>
        <w:pStyle w:val="p3"/>
        <w:spacing w:before="0" w:beforeAutospacing="0" w:after="0" w:afterAutospacing="0"/>
        <w:jc w:val="both"/>
      </w:pPr>
    </w:p>
    <w:p w14:paraId="77A3B307" w14:textId="6CEECE28" w:rsidR="008E3C93" w:rsidRDefault="00D0175D" w:rsidP="00A762C2">
      <w:pPr>
        <w:pStyle w:val="p3"/>
        <w:spacing w:before="0" w:beforeAutospacing="0" w:after="0" w:afterAutospacing="0"/>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uncertainty</w:t>
      </w:r>
      <w:r w:rsidR="005B3B32" w:rsidRPr="00CC24BD">
        <w:t xml:space="preserve"> and hence not the “truth”</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A762C2">
      <w:pPr>
        <w:pStyle w:val="p3"/>
        <w:spacing w:before="0" w:beforeAutospacing="0" w:after="0" w:afterAutospacing="0"/>
        <w:jc w:val="both"/>
      </w:pPr>
    </w:p>
    <w:p w14:paraId="551C9684" w14:textId="44DE181B" w:rsidR="00A318B1" w:rsidRDefault="00C74135" w:rsidP="00A762C2">
      <w:pPr>
        <w:pStyle w:val="p2"/>
        <w:spacing w:before="0" w:beforeAutospacing="0" w:after="0" w:afterAutospacing="0"/>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A762C2">
      <w:pPr>
        <w:pStyle w:val="p2"/>
        <w:spacing w:before="0" w:beforeAutospacing="0" w:after="0" w:afterAutospacing="0"/>
        <w:jc w:val="both"/>
      </w:pPr>
    </w:p>
    <w:p w14:paraId="5EF3F690" w14:textId="795BCD02" w:rsidR="00D34C42" w:rsidRDefault="005A5E64" w:rsidP="00A762C2">
      <w:pPr>
        <w:pStyle w:val="p2"/>
        <w:spacing w:before="0" w:beforeAutospacing="0" w:after="0" w:afterAutospacing="0"/>
        <w:jc w:val="both"/>
      </w:pPr>
      <w:bookmarkStart w:id="14"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w:t>
      </w:r>
      <w:r w:rsidR="00D34C42" w:rsidRPr="00CC24BD">
        <w:lastRenderedPageBreak/>
        <w:t>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A762C2">
      <w:pPr>
        <w:pStyle w:val="p2"/>
        <w:spacing w:before="0" w:beforeAutospacing="0" w:after="0" w:afterAutospacing="0"/>
        <w:jc w:val="both"/>
      </w:pPr>
    </w:p>
    <w:p w14:paraId="030F2BF6" w14:textId="77777777" w:rsidR="002E285D" w:rsidRDefault="002E285D" w:rsidP="00A762C2">
      <w:pPr>
        <w:spacing w:after="0"/>
        <w:rPr>
          <w:rFonts w:ascii="Times New Roman" w:eastAsia="Times New Roman" w:hAnsi="Times New Roman" w:cs="Times New Roman"/>
          <w:b/>
          <w:bCs/>
        </w:rPr>
      </w:pPr>
      <w:bookmarkStart w:id="15" w:name="OLE_LINK1"/>
      <w:bookmarkEnd w:id="14"/>
      <w:r w:rsidRPr="00870EEE">
        <w:rPr>
          <w:rFonts w:ascii="Times New Roman" w:eastAsia="Times New Roman" w:hAnsi="Times New Roman" w:cs="Times New Roman"/>
          <w:b/>
          <w:bCs/>
        </w:rPr>
        <w:t xml:space="preserve">Implications for survey design and management applications </w:t>
      </w:r>
    </w:p>
    <w:p w14:paraId="78163263" w14:textId="4C938AF5" w:rsidR="002E285D" w:rsidRDefault="002E285D" w:rsidP="00A762C2">
      <w:pPr>
        <w:spacing w:after="0"/>
        <w:jc w:val="both"/>
        <w:rPr>
          <w:rFonts w:ascii="Times New Roman" w:eastAsia="Times New Roman" w:hAnsi="Times New Roman" w:cs="Times New Roman"/>
        </w:rPr>
      </w:pPr>
      <w:bookmarkStart w:id="16" w:name="OLE_LINK4"/>
      <w:bookmarkEnd w:id="15"/>
      <w:r w:rsidRPr="000F42A5">
        <w:rPr>
          <w:rFonts w:ascii="Times New Roman" w:eastAsia="Times New Roman" w:hAnsi="Times New Roman" w:cs="Times New Roman"/>
        </w:rPr>
        <w:t>Our results suggest that the sampling effort required for eDNA surveys should be matched to the intended inferential goal. When the objective is to derive depth-specific or region-specific abundance indices through estimation of the mean parameter (</w:t>
      </w:r>
      <w:r>
        <w:rPr>
          <w:rFonts w:ascii="Times New Roman" w:eastAsia="Times New Roman" w:hAnsi="Times New Roman" w:cs="Times New Roman"/>
          <w:lang w:val="el-GR"/>
        </w:rPr>
        <w:t>μ</w:t>
      </w:r>
      <w:r w:rsidRPr="009D6214">
        <w:rPr>
          <w:rFonts w:ascii="Times New Roman" w:eastAsia="Times New Roman" w:hAnsi="Times New Roman" w:cs="Times New Roman"/>
          <w:vertAlign w:val="subscript"/>
        </w:rPr>
        <w:t>d</w:t>
      </w:r>
      <w:r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Pr>
          <w:rFonts w:ascii="Times New Roman" w:eastAsia="Times New Roman" w:hAnsi="Times New Roman" w:cs="Times New Roman"/>
        </w:rPr>
        <w:t xml:space="preserve">spatial autocorrelation </w:t>
      </w:r>
      <w:r w:rsidRPr="000F42A5">
        <w:rPr>
          <w:rFonts w:ascii="Times New Roman" w:eastAsia="Times New Roman" w:hAnsi="Times New Roman" w:cs="Times New Roman"/>
        </w:rPr>
        <w:t xml:space="preserve">are likely to be sufficient, as sampling effort appears to have relatively limited influence on mean estimation. In contrast, </w:t>
      </w:r>
      <w:r>
        <w:rPr>
          <w:rFonts w:ascii="Times New Roman" w:eastAsia="Times New Roman" w:hAnsi="Times New Roman" w:cs="Times New Roman"/>
        </w:rPr>
        <w:t>objectives</w:t>
      </w:r>
      <w:r w:rsidRPr="000F42A5">
        <w:rPr>
          <w:rFonts w:ascii="Times New Roman" w:eastAsia="Times New Roman" w:hAnsi="Times New Roman" w:cs="Times New Roman"/>
        </w:rPr>
        <w:t xml:space="preserve"> aimed at quantifying spatial niche breadth, identifying hotspots, or inferring species distributions </w:t>
      </w:r>
      <w:bookmarkStart w:id="17" w:name="OLE_LINK5"/>
      <w:r w:rsidRPr="000F42A5">
        <w:rPr>
          <w:rFonts w:ascii="Times New Roman" w:eastAsia="Times New Roman" w:hAnsi="Times New Roman" w:cs="Times New Roman"/>
        </w:rPr>
        <w:t xml:space="preserve">are much more sensitive </w:t>
      </w:r>
      <w:bookmarkEnd w:id="17"/>
      <w:r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rsidP="00A762C2">
      <w:pPr>
        <w:spacing w:after="0"/>
        <w:jc w:val="both"/>
        <w:rPr>
          <w:rFonts w:ascii="Times New Roman" w:eastAsia="Times New Roman" w:hAnsi="Times New Roman" w:cs="Times New Roman"/>
        </w:rPr>
      </w:pPr>
    </w:p>
    <w:bookmarkEnd w:id="16"/>
    <w:p w14:paraId="0697FEC0" w14:textId="77777777" w:rsidR="002E285D" w:rsidRDefault="002E285D" w:rsidP="00A762C2">
      <w:pPr>
        <w:spacing w:after="0"/>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A762C2">
      <w:pPr>
        <w:spacing w:after="0"/>
        <w:jc w:val="both"/>
        <w:rPr>
          <w:rFonts w:ascii="Times New Roman" w:eastAsia="Times New Roman" w:hAnsi="Times New Roman" w:cs="Times New Roman"/>
        </w:rPr>
      </w:pPr>
    </w:p>
    <w:p w14:paraId="06972A25" w14:textId="6D532758" w:rsidR="002E285D" w:rsidRDefault="002E285D" w:rsidP="00A762C2">
      <w:pPr>
        <w:pStyle w:val="p2"/>
        <w:spacing w:before="0" w:beforeAutospacing="0" w:after="0" w:afterAutospacing="0"/>
        <w:jc w:val="both"/>
      </w:pPr>
      <w:r w:rsidRPr="007954AF">
        <w:t>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densities of 6 samples per 10,000 km</w:t>
      </w:r>
      <w:r w:rsidRPr="002E285D">
        <w:rPr>
          <w:vertAlign w:val="superscript"/>
        </w:rPr>
        <w:t>2</w:t>
      </w:r>
      <w:r w:rsidRPr="007954AF">
        <w:t xml:space="preserve"> per depth layer marked the point at which diminishing returns became apparent.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showed minimal change with increasing sampling effort suggesting that further increases in effort may yield limited gains in inference relative to cost.</w:t>
      </w:r>
    </w:p>
    <w:p w14:paraId="26F752C6" w14:textId="77777777" w:rsidR="00286ADA" w:rsidRDefault="00286ADA" w:rsidP="00A762C2">
      <w:pPr>
        <w:pStyle w:val="p2"/>
        <w:spacing w:before="0" w:beforeAutospacing="0" w:after="0" w:afterAutospacing="0"/>
        <w:jc w:val="both"/>
      </w:pPr>
    </w:p>
    <w:p w14:paraId="64B35C11" w14:textId="77777777" w:rsidR="00A318B1" w:rsidRPr="000D2BF7" w:rsidRDefault="00A318B1" w:rsidP="00A762C2">
      <w:pPr>
        <w:pStyle w:val="Heading3"/>
        <w:spacing w:before="0" w:after="0"/>
        <w:jc w:val="both"/>
        <w:rPr>
          <w:i w:val="0"/>
          <w:iCs/>
        </w:rPr>
      </w:pPr>
      <w:r w:rsidRPr="000D2BF7">
        <w:rPr>
          <w:i w:val="0"/>
          <w:iCs/>
        </w:rPr>
        <w:t>Conclusions</w:t>
      </w:r>
    </w:p>
    <w:p w14:paraId="33C97E38" w14:textId="7B2994E6" w:rsidR="003A4273" w:rsidRPr="00187296" w:rsidRDefault="00915163" w:rsidP="00A762C2">
      <w:pPr>
        <w:pStyle w:val="p3"/>
        <w:spacing w:before="0" w:beforeAutospacing="0" w:after="0" w:afterAutospacing="0"/>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Pr="00187296">
        <w:t xml:space="preserve">6 samples </w:t>
      </w:r>
      <w:r w:rsidR="00187296" w:rsidRPr="00187296">
        <w:t xml:space="preserve">or more </w:t>
      </w:r>
      <w:r w:rsidRPr="00187296">
        <w:t>per 10,000 km² per depth layer. The results also indicate that</w:t>
      </w:r>
      <w:r w:rsidR="00B73353" w:rsidRPr="00187296">
        <w:t xml:space="preserve"> </w:t>
      </w:r>
      <w:r w:rsidR="00B73353" w:rsidRPr="00187296">
        <w:lastRenderedPageBreak/>
        <w:t>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A762C2">
      <w:pPr>
        <w:spacing w:after="0"/>
        <w:rPr>
          <w:rFonts w:ascii="Times New Roman" w:eastAsiaTheme="majorEastAsia" w:hAnsi="Times New Roman" w:cstheme="majorBidi"/>
          <w:b/>
          <w:sz w:val="28"/>
          <w:szCs w:val="40"/>
        </w:rPr>
      </w:pPr>
      <w:r>
        <w:br w:type="page"/>
      </w:r>
    </w:p>
    <w:p w14:paraId="5516F1D7" w14:textId="2D8767A0" w:rsidR="0032076E" w:rsidRPr="00625110" w:rsidRDefault="00625110" w:rsidP="00A762C2">
      <w:pPr>
        <w:pStyle w:val="ImageCaption"/>
        <w:spacing w:after="0"/>
        <w:rPr>
          <w:sz w:val="24"/>
          <w:szCs w:val="28"/>
        </w:rPr>
      </w:pPr>
      <w:bookmarkStart w:id="18" w:name="fig:mu_rho_N"/>
      <w:bookmarkStart w:id="19" w:name="appendix"/>
      <w:bookmarkEnd w:id="11"/>
      <w:bookmarkEnd w:id="12"/>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A762C2">
      <w:pPr>
        <w:pStyle w:val="Bibliography"/>
        <w:spacing w:before="0" w:after="0"/>
      </w:pPr>
      <w:bookmarkStart w:id="20" w:name="ref-deblois2020"/>
      <w:bookmarkStart w:id="21" w:name="refs"/>
      <w:bookmarkEnd w:id="18"/>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rsidP="00A762C2">
      <w:pPr>
        <w:pStyle w:val="Bibliography"/>
        <w:spacing w:before="0" w:after="0"/>
      </w:pPr>
      <w:bookmarkStart w:id="22" w:name="ref-callahan2016"/>
      <w:bookmarkEnd w:id="20"/>
      <w:r>
        <w:t xml:space="preserve">Callahan, B. J., P. J. McMurdie, M. J. Rosen, A. W. Han, A. J. A. Johnson, and S. P. Holmes. 2016. </w:t>
      </w:r>
      <w:hyperlink r:id="rId16">
        <w:r>
          <w:rPr>
            <w:rStyle w:val="Hyperlink"/>
          </w:rPr>
          <w:t>DADA2: High-resolution sample inference from Illumina amplicon data</w:t>
        </w:r>
      </w:hyperlink>
      <w:r>
        <w:t>. Nature Methods 13:581–583.</w:t>
      </w:r>
    </w:p>
    <w:p w14:paraId="5516F1DA" w14:textId="77777777" w:rsidR="0032076E" w:rsidRDefault="00D04708" w:rsidP="00A762C2">
      <w:pPr>
        <w:pStyle w:val="Bibliography"/>
        <w:spacing w:before="0" w:after="0"/>
      </w:pPr>
      <w:bookmarkStart w:id="23" w:name="ref-carpenter2017"/>
      <w:bookmarkEnd w:id="22"/>
      <w:r>
        <w:t>Carpenter, B., A. Gelman, M. Hoffman, D. Lee, B. Goodrich, M. Betancourt, M. Brubaker, J. Guo, P. Li, and A. Riddell. 2017. Stan: A probabilistic programming language. Journal of Statistical Software 76.</w:t>
      </w:r>
    </w:p>
    <w:p w14:paraId="5516F1DB" w14:textId="77777777" w:rsidR="0032076E" w:rsidRDefault="00D04708" w:rsidP="00A762C2">
      <w:pPr>
        <w:pStyle w:val="Bibliography"/>
        <w:spacing w:before="0" w:after="0"/>
      </w:pPr>
      <w:bookmarkStart w:id="24" w:name="ref-guri2025"/>
      <w:bookmarkEnd w:id="23"/>
      <w:r>
        <w:t xml:space="preserve">Guri, G., O. R. Liu, R. P. Kelly, M. R. Shaffer, K. M. Parsons, A. Ramón-Laca, K. M. Nichols, P. F. P. Brandão-Dias, A. Wells, and A. O. Shelton. 2025. </w:t>
      </w:r>
      <w:hyperlink r:id="rId17">
        <w:r>
          <w:rPr>
            <w:rStyle w:val="Hyperlink"/>
          </w:rPr>
          <w:t>Quantitative, multispecies monitoring at a continental scale</w:t>
        </w:r>
      </w:hyperlink>
      <w:r>
        <w:t>. bioRxiv.</w:t>
      </w:r>
    </w:p>
    <w:p w14:paraId="5516F1DC" w14:textId="77777777" w:rsidR="0032076E" w:rsidRDefault="00D04708" w:rsidP="00A762C2">
      <w:pPr>
        <w:pStyle w:val="Bibliography"/>
        <w:spacing w:before="0" w:after="0"/>
      </w:pPr>
      <w:bookmarkStart w:id="25" w:name="ref-miya2015"/>
      <w:bookmarkEnd w:id="24"/>
      <w:r>
        <w:t xml:space="preserve">Miya, M., Y. Sato, T. Fukunaga, T. Sado, J. Y. Poulsen, K. Sato, T. Minamoto, S. Yamamoto, H. Yamanaka, H. Araki, M. </w:t>
      </w:r>
      <w:proofErr w:type="spellStart"/>
      <w:r>
        <w:t>Kondoh</w:t>
      </w:r>
      <w:proofErr w:type="spellEnd"/>
      <w:r>
        <w:t xml:space="preserve">, and W. Iwasaki. 2015. </w:t>
      </w:r>
      <w:hyperlink r:id="rId18">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A762C2">
      <w:pPr>
        <w:pStyle w:val="Bibliography"/>
        <w:spacing w:before="0" w:after="0"/>
      </w:pPr>
      <w:bookmarkStart w:id="26" w:name="ref-ramon-laca2021"/>
      <w:bookmarkEnd w:id="25"/>
      <w:r>
        <w:t xml:space="preserve">Ramón-Laca, A., A. Wells, and L. Park. 2021. </w:t>
      </w:r>
      <w:hyperlink r:id="rId19">
        <w:r>
          <w:rPr>
            <w:rStyle w:val="Hyperlink"/>
          </w:rPr>
          <w:t>A workflow for the relative quantification of multiple fish species from oceanic water samples using environmental DNA (eDNA) to support large-scale fishery surveys</w:t>
        </w:r>
      </w:hyperlink>
      <w:r>
        <w:t>. PLOS ONE 16:e0257773.</w:t>
      </w:r>
    </w:p>
    <w:p w14:paraId="5516F1DE" w14:textId="77777777" w:rsidR="0032076E" w:rsidRDefault="00D04708" w:rsidP="00A762C2">
      <w:pPr>
        <w:pStyle w:val="Bibliography"/>
        <w:spacing w:before="0" w:after="0"/>
      </w:pPr>
      <w:bookmarkStart w:id="27" w:name="ref-shelton2022"/>
      <w:bookmarkEnd w:id="26"/>
      <w:r>
        <w:t xml:space="preserve">Shelton, A. O., A. Ramón-Laca, A. Wells, J. Clemons, D. Chu, B. E. Feist, R. P. Kelly, S. L. Parker-Stetter, R. Thomas, K. M. Nichols, and L. Park. 2022. </w:t>
      </w:r>
      <w:hyperlink r:id="rId20">
        <w:r>
          <w:rPr>
            <w:rStyle w:val="Hyperlink"/>
          </w:rPr>
          <w:t>Environmental DNA provides quantitative estimates of Pacific hake abundance and distribution in the open ocean</w:t>
        </w:r>
      </w:hyperlink>
      <w:r>
        <w:t>. Proceedings of the Royal Society B: Biological Sciences 289:20212613.</w:t>
      </w:r>
      <w:bookmarkEnd w:id="19"/>
      <w:bookmarkEnd w:id="21"/>
      <w:bookmarkEnd w:id="27"/>
    </w:p>
    <w:sectPr w:rsidR="0032076E" w:rsidSect="00FE50DF">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3"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1F2"/>
    <w:rsid w:val="000056CB"/>
    <w:rsid w:val="0000574A"/>
    <w:rsid w:val="00006E74"/>
    <w:rsid w:val="00007C32"/>
    <w:rsid w:val="000114C2"/>
    <w:rsid w:val="00011A03"/>
    <w:rsid w:val="00012269"/>
    <w:rsid w:val="00012E21"/>
    <w:rsid w:val="000132DD"/>
    <w:rsid w:val="00014AE9"/>
    <w:rsid w:val="00014D18"/>
    <w:rsid w:val="000160E2"/>
    <w:rsid w:val="000168C8"/>
    <w:rsid w:val="00017B7F"/>
    <w:rsid w:val="00020159"/>
    <w:rsid w:val="00020998"/>
    <w:rsid w:val="00020F2C"/>
    <w:rsid w:val="00022E59"/>
    <w:rsid w:val="00023927"/>
    <w:rsid w:val="00023FE6"/>
    <w:rsid w:val="00025451"/>
    <w:rsid w:val="00025F29"/>
    <w:rsid w:val="0002721B"/>
    <w:rsid w:val="000409FF"/>
    <w:rsid w:val="0004240A"/>
    <w:rsid w:val="00042885"/>
    <w:rsid w:val="0004417B"/>
    <w:rsid w:val="000461C1"/>
    <w:rsid w:val="00051F7D"/>
    <w:rsid w:val="000534CC"/>
    <w:rsid w:val="000547C5"/>
    <w:rsid w:val="00056B67"/>
    <w:rsid w:val="000607B1"/>
    <w:rsid w:val="00061203"/>
    <w:rsid w:val="0006210A"/>
    <w:rsid w:val="00063447"/>
    <w:rsid w:val="00063455"/>
    <w:rsid w:val="00063804"/>
    <w:rsid w:val="00063BBC"/>
    <w:rsid w:val="00070A54"/>
    <w:rsid w:val="000775D1"/>
    <w:rsid w:val="00082BC7"/>
    <w:rsid w:val="00084698"/>
    <w:rsid w:val="00085100"/>
    <w:rsid w:val="00091A1D"/>
    <w:rsid w:val="00094214"/>
    <w:rsid w:val="0009447E"/>
    <w:rsid w:val="00095871"/>
    <w:rsid w:val="000A0340"/>
    <w:rsid w:val="000A238A"/>
    <w:rsid w:val="000A2C60"/>
    <w:rsid w:val="000A3064"/>
    <w:rsid w:val="000A475C"/>
    <w:rsid w:val="000A4CE6"/>
    <w:rsid w:val="000B1746"/>
    <w:rsid w:val="000B3342"/>
    <w:rsid w:val="000B354D"/>
    <w:rsid w:val="000B4D5A"/>
    <w:rsid w:val="000B5E8A"/>
    <w:rsid w:val="000C1D0D"/>
    <w:rsid w:val="000C1E9E"/>
    <w:rsid w:val="000C295A"/>
    <w:rsid w:val="000C4EFA"/>
    <w:rsid w:val="000D0491"/>
    <w:rsid w:val="000D2BF7"/>
    <w:rsid w:val="000D4F79"/>
    <w:rsid w:val="000D6DE8"/>
    <w:rsid w:val="000D7AE0"/>
    <w:rsid w:val="000E190D"/>
    <w:rsid w:val="000E2992"/>
    <w:rsid w:val="000E2BF2"/>
    <w:rsid w:val="000E31BF"/>
    <w:rsid w:val="000E3B51"/>
    <w:rsid w:val="000F40A8"/>
    <w:rsid w:val="000F5585"/>
    <w:rsid w:val="000F5722"/>
    <w:rsid w:val="000F67DF"/>
    <w:rsid w:val="000F71FC"/>
    <w:rsid w:val="000F7C17"/>
    <w:rsid w:val="00100A8A"/>
    <w:rsid w:val="001012ED"/>
    <w:rsid w:val="00106163"/>
    <w:rsid w:val="001062D5"/>
    <w:rsid w:val="00107481"/>
    <w:rsid w:val="001100C1"/>
    <w:rsid w:val="001101CA"/>
    <w:rsid w:val="00112FD6"/>
    <w:rsid w:val="00114F2B"/>
    <w:rsid w:val="00115FE6"/>
    <w:rsid w:val="00124CBE"/>
    <w:rsid w:val="00125464"/>
    <w:rsid w:val="00127801"/>
    <w:rsid w:val="00131C1F"/>
    <w:rsid w:val="00134076"/>
    <w:rsid w:val="001345B5"/>
    <w:rsid w:val="00137DD4"/>
    <w:rsid w:val="00140286"/>
    <w:rsid w:val="001414C4"/>
    <w:rsid w:val="00141D37"/>
    <w:rsid w:val="00146302"/>
    <w:rsid w:val="0015179F"/>
    <w:rsid w:val="0015215E"/>
    <w:rsid w:val="001547DC"/>
    <w:rsid w:val="001550FE"/>
    <w:rsid w:val="00155244"/>
    <w:rsid w:val="00160297"/>
    <w:rsid w:val="00164C62"/>
    <w:rsid w:val="001676A9"/>
    <w:rsid w:val="0017607E"/>
    <w:rsid w:val="00180252"/>
    <w:rsid w:val="00180FAF"/>
    <w:rsid w:val="001827F8"/>
    <w:rsid w:val="001831DF"/>
    <w:rsid w:val="0018545E"/>
    <w:rsid w:val="00185814"/>
    <w:rsid w:val="0018650C"/>
    <w:rsid w:val="001869ED"/>
    <w:rsid w:val="00187296"/>
    <w:rsid w:val="00190A03"/>
    <w:rsid w:val="001917E2"/>
    <w:rsid w:val="00194686"/>
    <w:rsid w:val="00195990"/>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16EE9"/>
    <w:rsid w:val="002225C5"/>
    <w:rsid w:val="00222B88"/>
    <w:rsid w:val="002237C6"/>
    <w:rsid w:val="002261F5"/>
    <w:rsid w:val="00227795"/>
    <w:rsid w:val="00227975"/>
    <w:rsid w:val="00230A40"/>
    <w:rsid w:val="002316A1"/>
    <w:rsid w:val="00231724"/>
    <w:rsid w:val="00231AC7"/>
    <w:rsid w:val="002331E6"/>
    <w:rsid w:val="00233AAB"/>
    <w:rsid w:val="00233C32"/>
    <w:rsid w:val="002357D8"/>
    <w:rsid w:val="00235B7B"/>
    <w:rsid w:val="002362C0"/>
    <w:rsid w:val="00236C3C"/>
    <w:rsid w:val="00241EEE"/>
    <w:rsid w:val="00242A5D"/>
    <w:rsid w:val="00244944"/>
    <w:rsid w:val="00246E74"/>
    <w:rsid w:val="00247D59"/>
    <w:rsid w:val="00247F05"/>
    <w:rsid w:val="00250A59"/>
    <w:rsid w:val="00256746"/>
    <w:rsid w:val="00260B0B"/>
    <w:rsid w:val="00264629"/>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675"/>
    <w:rsid w:val="00284737"/>
    <w:rsid w:val="0028513F"/>
    <w:rsid w:val="002868ED"/>
    <w:rsid w:val="00286ADA"/>
    <w:rsid w:val="00291EB6"/>
    <w:rsid w:val="00294A57"/>
    <w:rsid w:val="00295077"/>
    <w:rsid w:val="0029731D"/>
    <w:rsid w:val="002975EB"/>
    <w:rsid w:val="002A17F8"/>
    <w:rsid w:val="002A1B4E"/>
    <w:rsid w:val="002A1F7B"/>
    <w:rsid w:val="002A2EC9"/>
    <w:rsid w:val="002A4C2B"/>
    <w:rsid w:val="002A75F7"/>
    <w:rsid w:val="002A779A"/>
    <w:rsid w:val="002B0661"/>
    <w:rsid w:val="002B096B"/>
    <w:rsid w:val="002B2019"/>
    <w:rsid w:val="002B4352"/>
    <w:rsid w:val="002B45C6"/>
    <w:rsid w:val="002B71F7"/>
    <w:rsid w:val="002B79AB"/>
    <w:rsid w:val="002B7AB4"/>
    <w:rsid w:val="002C0403"/>
    <w:rsid w:val="002C103E"/>
    <w:rsid w:val="002C1DFA"/>
    <w:rsid w:val="002C53EB"/>
    <w:rsid w:val="002D1904"/>
    <w:rsid w:val="002D51E9"/>
    <w:rsid w:val="002D7BA9"/>
    <w:rsid w:val="002E285D"/>
    <w:rsid w:val="002E32DB"/>
    <w:rsid w:val="002E3B44"/>
    <w:rsid w:val="002E5FD7"/>
    <w:rsid w:val="002E69CF"/>
    <w:rsid w:val="002E75FE"/>
    <w:rsid w:val="002F0A7E"/>
    <w:rsid w:val="002F0C0B"/>
    <w:rsid w:val="002F11A4"/>
    <w:rsid w:val="002F4694"/>
    <w:rsid w:val="002F53D4"/>
    <w:rsid w:val="002F68A8"/>
    <w:rsid w:val="003004DE"/>
    <w:rsid w:val="0030120A"/>
    <w:rsid w:val="00301CEE"/>
    <w:rsid w:val="003029C3"/>
    <w:rsid w:val="00304A30"/>
    <w:rsid w:val="00304C4E"/>
    <w:rsid w:val="0031241E"/>
    <w:rsid w:val="00312DD0"/>
    <w:rsid w:val="00313D68"/>
    <w:rsid w:val="00314630"/>
    <w:rsid w:val="00314830"/>
    <w:rsid w:val="0032076E"/>
    <w:rsid w:val="0032117F"/>
    <w:rsid w:val="00321A5E"/>
    <w:rsid w:val="00325272"/>
    <w:rsid w:val="00325627"/>
    <w:rsid w:val="00325EAD"/>
    <w:rsid w:val="00326045"/>
    <w:rsid w:val="003261F1"/>
    <w:rsid w:val="003268A6"/>
    <w:rsid w:val="00327BD2"/>
    <w:rsid w:val="00330D63"/>
    <w:rsid w:val="00340F6A"/>
    <w:rsid w:val="003438BD"/>
    <w:rsid w:val="003443CF"/>
    <w:rsid w:val="0035007B"/>
    <w:rsid w:val="00350360"/>
    <w:rsid w:val="0035085A"/>
    <w:rsid w:val="00352DBF"/>
    <w:rsid w:val="00352F9A"/>
    <w:rsid w:val="00353F64"/>
    <w:rsid w:val="00355107"/>
    <w:rsid w:val="0035609F"/>
    <w:rsid w:val="00360698"/>
    <w:rsid w:val="003607A8"/>
    <w:rsid w:val="003625D6"/>
    <w:rsid w:val="00362805"/>
    <w:rsid w:val="00362CFD"/>
    <w:rsid w:val="003634C7"/>
    <w:rsid w:val="00364C2B"/>
    <w:rsid w:val="00364F75"/>
    <w:rsid w:val="00373AC6"/>
    <w:rsid w:val="00374B89"/>
    <w:rsid w:val="0037611A"/>
    <w:rsid w:val="00376CAC"/>
    <w:rsid w:val="00377E38"/>
    <w:rsid w:val="0038067C"/>
    <w:rsid w:val="00380807"/>
    <w:rsid w:val="0038147C"/>
    <w:rsid w:val="00382F46"/>
    <w:rsid w:val="00383999"/>
    <w:rsid w:val="00383D92"/>
    <w:rsid w:val="00383EED"/>
    <w:rsid w:val="00387504"/>
    <w:rsid w:val="00390A6F"/>
    <w:rsid w:val="003922E3"/>
    <w:rsid w:val="00392A56"/>
    <w:rsid w:val="00394D94"/>
    <w:rsid w:val="003954A2"/>
    <w:rsid w:val="003957E3"/>
    <w:rsid w:val="0039668F"/>
    <w:rsid w:val="003A0D51"/>
    <w:rsid w:val="003A0DF7"/>
    <w:rsid w:val="003A21AC"/>
    <w:rsid w:val="003A4273"/>
    <w:rsid w:val="003A7D9C"/>
    <w:rsid w:val="003B103B"/>
    <w:rsid w:val="003B13B6"/>
    <w:rsid w:val="003B601D"/>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3F5DC2"/>
    <w:rsid w:val="00401410"/>
    <w:rsid w:val="004024BF"/>
    <w:rsid w:val="00402FA3"/>
    <w:rsid w:val="00403804"/>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72B"/>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76D1F"/>
    <w:rsid w:val="00480831"/>
    <w:rsid w:val="004821CC"/>
    <w:rsid w:val="00482ECB"/>
    <w:rsid w:val="0048588F"/>
    <w:rsid w:val="004931E3"/>
    <w:rsid w:val="004951AA"/>
    <w:rsid w:val="00495449"/>
    <w:rsid w:val="004961BF"/>
    <w:rsid w:val="00497D73"/>
    <w:rsid w:val="004A11DE"/>
    <w:rsid w:val="004A2688"/>
    <w:rsid w:val="004A3D17"/>
    <w:rsid w:val="004A3E38"/>
    <w:rsid w:val="004A4351"/>
    <w:rsid w:val="004A4601"/>
    <w:rsid w:val="004B04C3"/>
    <w:rsid w:val="004B0607"/>
    <w:rsid w:val="004B089B"/>
    <w:rsid w:val="004B0C01"/>
    <w:rsid w:val="004B0F2E"/>
    <w:rsid w:val="004B6CC9"/>
    <w:rsid w:val="004B7DEA"/>
    <w:rsid w:val="004C349C"/>
    <w:rsid w:val="004C35CB"/>
    <w:rsid w:val="004C483F"/>
    <w:rsid w:val="004C53D4"/>
    <w:rsid w:val="004C554A"/>
    <w:rsid w:val="004C5967"/>
    <w:rsid w:val="004C5C57"/>
    <w:rsid w:val="004C61C5"/>
    <w:rsid w:val="004C6942"/>
    <w:rsid w:val="004C731D"/>
    <w:rsid w:val="004D0AE1"/>
    <w:rsid w:val="004D0F65"/>
    <w:rsid w:val="004D2E90"/>
    <w:rsid w:val="004D2ED4"/>
    <w:rsid w:val="004D2F70"/>
    <w:rsid w:val="004D3BB4"/>
    <w:rsid w:val="004D478B"/>
    <w:rsid w:val="004D4B81"/>
    <w:rsid w:val="004D720F"/>
    <w:rsid w:val="004E2EC7"/>
    <w:rsid w:val="004E6188"/>
    <w:rsid w:val="004F02F0"/>
    <w:rsid w:val="004F2612"/>
    <w:rsid w:val="004F37BC"/>
    <w:rsid w:val="004F4D04"/>
    <w:rsid w:val="004F5128"/>
    <w:rsid w:val="004F5130"/>
    <w:rsid w:val="004F7F89"/>
    <w:rsid w:val="00506160"/>
    <w:rsid w:val="005068E0"/>
    <w:rsid w:val="00506C1B"/>
    <w:rsid w:val="00506CA9"/>
    <w:rsid w:val="005079A4"/>
    <w:rsid w:val="00513BCB"/>
    <w:rsid w:val="00516AB2"/>
    <w:rsid w:val="00517959"/>
    <w:rsid w:val="00517AB4"/>
    <w:rsid w:val="00520231"/>
    <w:rsid w:val="005209D0"/>
    <w:rsid w:val="00520ECF"/>
    <w:rsid w:val="00524F5B"/>
    <w:rsid w:val="0052612F"/>
    <w:rsid w:val="0052745E"/>
    <w:rsid w:val="005353A5"/>
    <w:rsid w:val="00542402"/>
    <w:rsid w:val="0054550B"/>
    <w:rsid w:val="00545527"/>
    <w:rsid w:val="00547BEA"/>
    <w:rsid w:val="00550A28"/>
    <w:rsid w:val="0055212A"/>
    <w:rsid w:val="005533BC"/>
    <w:rsid w:val="00553DDA"/>
    <w:rsid w:val="00553E55"/>
    <w:rsid w:val="00554801"/>
    <w:rsid w:val="005549AD"/>
    <w:rsid w:val="00556BFF"/>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03F9"/>
    <w:rsid w:val="005B12B8"/>
    <w:rsid w:val="005B29AF"/>
    <w:rsid w:val="005B3B32"/>
    <w:rsid w:val="005B3D32"/>
    <w:rsid w:val="005B68F4"/>
    <w:rsid w:val="005C475E"/>
    <w:rsid w:val="005D0125"/>
    <w:rsid w:val="005D09F4"/>
    <w:rsid w:val="005D1553"/>
    <w:rsid w:val="005D261D"/>
    <w:rsid w:val="005D2998"/>
    <w:rsid w:val="005D4137"/>
    <w:rsid w:val="005D4724"/>
    <w:rsid w:val="005D52BE"/>
    <w:rsid w:val="005D6D8F"/>
    <w:rsid w:val="005E0EE9"/>
    <w:rsid w:val="005E42EA"/>
    <w:rsid w:val="005E4FB7"/>
    <w:rsid w:val="005E64EB"/>
    <w:rsid w:val="005E6B87"/>
    <w:rsid w:val="005E765B"/>
    <w:rsid w:val="005F24BA"/>
    <w:rsid w:val="005F2DAF"/>
    <w:rsid w:val="005F3525"/>
    <w:rsid w:val="005F50C9"/>
    <w:rsid w:val="005F5413"/>
    <w:rsid w:val="005F6804"/>
    <w:rsid w:val="005F788B"/>
    <w:rsid w:val="005F7A16"/>
    <w:rsid w:val="006025A0"/>
    <w:rsid w:val="006041E1"/>
    <w:rsid w:val="00604F8F"/>
    <w:rsid w:val="006059ED"/>
    <w:rsid w:val="00607A55"/>
    <w:rsid w:val="00610351"/>
    <w:rsid w:val="00611ABC"/>
    <w:rsid w:val="00612CFF"/>
    <w:rsid w:val="006131E1"/>
    <w:rsid w:val="00615E5D"/>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4739E"/>
    <w:rsid w:val="0065046F"/>
    <w:rsid w:val="00651354"/>
    <w:rsid w:val="006538A7"/>
    <w:rsid w:val="006549D2"/>
    <w:rsid w:val="0065738A"/>
    <w:rsid w:val="0065783C"/>
    <w:rsid w:val="00657E40"/>
    <w:rsid w:val="0066059F"/>
    <w:rsid w:val="00662998"/>
    <w:rsid w:val="0066438E"/>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3712"/>
    <w:rsid w:val="00694BBD"/>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309"/>
    <w:rsid w:val="006E066B"/>
    <w:rsid w:val="006E09B8"/>
    <w:rsid w:val="006E2BD9"/>
    <w:rsid w:val="006E4E43"/>
    <w:rsid w:val="006E5251"/>
    <w:rsid w:val="006E579A"/>
    <w:rsid w:val="006E5AC8"/>
    <w:rsid w:val="006E7C7F"/>
    <w:rsid w:val="006F0DEA"/>
    <w:rsid w:val="006F2273"/>
    <w:rsid w:val="006F2CDA"/>
    <w:rsid w:val="006F4FFD"/>
    <w:rsid w:val="0070347A"/>
    <w:rsid w:val="00704122"/>
    <w:rsid w:val="007043FF"/>
    <w:rsid w:val="007071AB"/>
    <w:rsid w:val="00707857"/>
    <w:rsid w:val="00713C13"/>
    <w:rsid w:val="00722382"/>
    <w:rsid w:val="007226DE"/>
    <w:rsid w:val="00724ADD"/>
    <w:rsid w:val="007259B3"/>
    <w:rsid w:val="00726274"/>
    <w:rsid w:val="0073265F"/>
    <w:rsid w:val="00734FD1"/>
    <w:rsid w:val="00735F52"/>
    <w:rsid w:val="00736BA1"/>
    <w:rsid w:val="007412BD"/>
    <w:rsid w:val="0074382A"/>
    <w:rsid w:val="00743D12"/>
    <w:rsid w:val="0074409A"/>
    <w:rsid w:val="007453BA"/>
    <w:rsid w:val="00746B91"/>
    <w:rsid w:val="00747DBD"/>
    <w:rsid w:val="00750644"/>
    <w:rsid w:val="00753176"/>
    <w:rsid w:val="00755626"/>
    <w:rsid w:val="007566A0"/>
    <w:rsid w:val="00760AB6"/>
    <w:rsid w:val="00761B11"/>
    <w:rsid w:val="007620D2"/>
    <w:rsid w:val="007657A2"/>
    <w:rsid w:val="00767965"/>
    <w:rsid w:val="00770648"/>
    <w:rsid w:val="00772D50"/>
    <w:rsid w:val="0077456F"/>
    <w:rsid w:val="00777CFB"/>
    <w:rsid w:val="007801CF"/>
    <w:rsid w:val="007841AD"/>
    <w:rsid w:val="007857FF"/>
    <w:rsid w:val="00786A2B"/>
    <w:rsid w:val="00791447"/>
    <w:rsid w:val="00791BB0"/>
    <w:rsid w:val="007A1738"/>
    <w:rsid w:val="007A1D54"/>
    <w:rsid w:val="007A2DC0"/>
    <w:rsid w:val="007A5A7E"/>
    <w:rsid w:val="007A5C24"/>
    <w:rsid w:val="007A5CE2"/>
    <w:rsid w:val="007A7099"/>
    <w:rsid w:val="007B0B48"/>
    <w:rsid w:val="007B2115"/>
    <w:rsid w:val="007B3E21"/>
    <w:rsid w:val="007B44B1"/>
    <w:rsid w:val="007C0615"/>
    <w:rsid w:val="007C0AAD"/>
    <w:rsid w:val="007C0D45"/>
    <w:rsid w:val="007C5BA3"/>
    <w:rsid w:val="007C6363"/>
    <w:rsid w:val="007C65F2"/>
    <w:rsid w:val="007D0105"/>
    <w:rsid w:val="007D14CF"/>
    <w:rsid w:val="007D1DD5"/>
    <w:rsid w:val="007D39EF"/>
    <w:rsid w:val="007D49E0"/>
    <w:rsid w:val="007D5508"/>
    <w:rsid w:val="007D69D8"/>
    <w:rsid w:val="007D7244"/>
    <w:rsid w:val="007E20EB"/>
    <w:rsid w:val="007E54B1"/>
    <w:rsid w:val="007E646A"/>
    <w:rsid w:val="007E653F"/>
    <w:rsid w:val="007E69B6"/>
    <w:rsid w:val="007F090A"/>
    <w:rsid w:val="007F1B35"/>
    <w:rsid w:val="007F347A"/>
    <w:rsid w:val="007F4A1D"/>
    <w:rsid w:val="00801B43"/>
    <w:rsid w:val="00803F05"/>
    <w:rsid w:val="008049E8"/>
    <w:rsid w:val="00807644"/>
    <w:rsid w:val="008127D4"/>
    <w:rsid w:val="0082063D"/>
    <w:rsid w:val="00823DA9"/>
    <w:rsid w:val="008241B0"/>
    <w:rsid w:val="00826938"/>
    <w:rsid w:val="00832C2E"/>
    <w:rsid w:val="00832FE4"/>
    <w:rsid w:val="00833843"/>
    <w:rsid w:val="008360A2"/>
    <w:rsid w:val="008408F0"/>
    <w:rsid w:val="00840904"/>
    <w:rsid w:val="008474E1"/>
    <w:rsid w:val="00847BB8"/>
    <w:rsid w:val="00850D9B"/>
    <w:rsid w:val="00851FE7"/>
    <w:rsid w:val="00854BFE"/>
    <w:rsid w:val="008608EB"/>
    <w:rsid w:val="00865B9D"/>
    <w:rsid w:val="00866D23"/>
    <w:rsid w:val="00866F91"/>
    <w:rsid w:val="00866FA5"/>
    <w:rsid w:val="00867891"/>
    <w:rsid w:val="00870E33"/>
    <w:rsid w:val="00870EEE"/>
    <w:rsid w:val="0087355A"/>
    <w:rsid w:val="00881589"/>
    <w:rsid w:val="0088371E"/>
    <w:rsid w:val="00884D0E"/>
    <w:rsid w:val="00886F97"/>
    <w:rsid w:val="00891056"/>
    <w:rsid w:val="008937A3"/>
    <w:rsid w:val="0089388B"/>
    <w:rsid w:val="00893972"/>
    <w:rsid w:val="00894047"/>
    <w:rsid w:val="008946CC"/>
    <w:rsid w:val="00894932"/>
    <w:rsid w:val="00897788"/>
    <w:rsid w:val="008A071D"/>
    <w:rsid w:val="008A1125"/>
    <w:rsid w:val="008A2863"/>
    <w:rsid w:val="008A29AD"/>
    <w:rsid w:val="008A3D80"/>
    <w:rsid w:val="008A3F1F"/>
    <w:rsid w:val="008A6B05"/>
    <w:rsid w:val="008A7A26"/>
    <w:rsid w:val="008B1CE5"/>
    <w:rsid w:val="008B46AB"/>
    <w:rsid w:val="008B5351"/>
    <w:rsid w:val="008B66B7"/>
    <w:rsid w:val="008C1720"/>
    <w:rsid w:val="008C594B"/>
    <w:rsid w:val="008C6422"/>
    <w:rsid w:val="008C6514"/>
    <w:rsid w:val="008C6843"/>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5163"/>
    <w:rsid w:val="00917116"/>
    <w:rsid w:val="00917D42"/>
    <w:rsid w:val="00920C11"/>
    <w:rsid w:val="00921324"/>
    <w:rsid w:val="00921886"/>
    <w:rsid w:val="009231CF"/>
    <w:rsid w:val="00924509"/>
    <w:rsid w:val="00927FDD"/>
    <w:rsid w:val="0093039C"/>
    <w:rsid w:val="009317F7"/>
    <w:rsid w:val="0093307C"/>
    <w:rsid w:val="00933B61"/>
    <w:rsid w:val="009413CC"/>
    <w:rsid w:val="0094213A"/>
    <w:rsid w:val="00944BEF"/>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4C89"/>
    <w:rsid w:val="00987325"/>
    <w:rsid w:val="00992265"/>
    <w:rsid w:val="00994043"/>
    <w:rsid w:val="00994C26"/>
    <w:rsid w:val="00995B9D"/>
    <w:rsid w:val="00995F58"/>
    <w:rsid w:val="0099609F"/>
    <w:rsid w:val="00996125"/>
    <w:rsid w:val="0099693C"/>
    <w:rsid w:val="009969C7"/>
    <w:rsid w:val="00996A79"/>
    <w:rsid w:val="009A0E2C"/>
    <w:rsid w:val="009A110E"/>
    <w:rsid w:val="009A229D"/>
    <w:rsid w:val="009A2AEE"/>
    <w:rsid w:val="009A36EB"/>
    <w:rsid w:val="009A5D91"/>
    <w:rsid w:val="009A5E84"/>
    <w:rsid w:val="009B0958"/>
    <w:rsid w:val="009B4804"/>
    <w:rsid w:val="009B4FC7"/>
    <w:rsid w:val="009B5A96"/>
    <w:rsid w:val="009B6855"/>
    <w:rsid w:val="009B70D9"/>
    <w:rsid w:val="009C10F8"/>
    <w:rsid w:val="009C5B2C"/>
    <w:rsid w:val="009C65C1"/>
    <w:rsid w:val="009C689B"/>
    <w:rsid w:val="009C75C9"/>
    <w:rsid w:val="009D136D"/>
    <w:rsid w:val="009D278C"/>
    <w:rsid w:val="009D2805"/>
    <w:rsid w:val="009D65AB"/>
    <w:rsid w:val="009D6A45"/>
    <w:rsid w:val="009E0D6B"/>
    <w:rsid w:val="009E14EE"/>
    <w:rsid w:val="009E4EA7"/>
    <w:rsid w:val="009E52EF"/>
    <w:rsid w:val="009E5D45"/>
    <w:rsid w:val="009E6E53"/>
    <w:rsid w:val="009E7F8D"/>
    <w:rsid w:val="009F032A"/>
    <w:rsid w:val="009F110C"/>
    <w:rsid w:val="009F3C75"/>
    <w:rsid w:val="009F3F56"/>
    <w:rsid w:val="009F475A"/>
    <w:rsid w:val="009F5EDA"/>
    <w:rsid w:val="009F78D5"/>
    <w:rsid w:val="00A003D1"/>
    <w:rsid w:val="00A010A9"/>
    <w:rsid w:val="00A0318B"/>
    <w:rsid w:val="00A04226"/>
    <w:rsid w:val="00A04964"/>
    <w:rsid w:val="00A06D6B"/>
    <w:rsid w:val="00A109FD"/>
    <w:rsid w:val="00A10F22"/>
    <w:rsid w:val="00A1201E"/>
    <w:rsid w:val="00A1272A"/>
    <w:rsid w:val="00A162ED"/>
    <w:rsid w:val="00A1657C"/>
    <w:rsid w:val="00A17019"/>
    <w:rsid w:val="00A241A0"/>
    <w:rsid w:val="00A26FEB"/>
    <w:rsid w:val="00A27262"/>
    <w:rsid w:val="00A27F72"/>
    <w:rsid w:val="00A31620"/>
    <w:rsid w:val="00A318B1"/>
    <w:rsid w:val="00A343E2"/>
    <w:rsid w:val="00A37E98"/>
    <w:rsid w:val="00A40769"/>
    <w:rsid w:val="00A422E3"/>
    <w:rsid w:val="00A42D0E"/>
    <w:rsid w:val="00A464A5"/>
    <w:rsid w:val="00A50FF7"/>
    <w:rsid w:val="00A5380A"/>
    <w:rsid w:val="00A56C7E"/>
    <w:rsid w:val="00A5731C"/>
    <w:rsid w:val="00A62458"/>
    <w:rsid w:val="00A677B4"/>
    <w:rsid w:val="00A67FA1"/>
    <w:rsid w:val="00A746D2"/>
    <w:rsid w:val="00A762C2"/>
    <w:rsid w:val="00A76402"/>
    <w:rsid w:val="00A77B77"/>
    <w:rsid w:val="00A77C02"/>
    <w:rsid w:val="00A818B5"/>
    <w:rsid w:val="00A81B3C"/>
    <w:rsid w:val="00A820FB"/>
    <w:rsid w:val="00A82B2A"/>
    <w:rsid w:val="00A83248"/>
    <w:rsid w:val="00A84BB8"/>
    <w:rsid w:val="00A93C07"/>
    <w:rsid w:val="00A95DAF"/>
    <w:rsid w:val="00AA096F"/>
    <w:rsid w:val="00AA1EA2"/>
    <w:rsid w:val="00AA3297"/>
    <w:rsid w:val="00AA3BA0"/>
    <w:rsid w:val="00AA3C4F"/>
    <w:rsid w:val="00AA576D"/>
    <w:rsid w:val="00AB13C4"/>
    <w:rsid w:val="00AB4F53"/>
    <w:rsid w:val="00AC0267"/>
    <w:rsid w:val="00AC1537"/>
    <w:rsid w:val="00AC1942"/>
    <w:rsid w:val="00AC1A94"/>
    <w:rsid w:val="00AC1F0A"/>
    <w:rsid w:val="00AC1F8B"/>
    <w:rsid w:val="00AC2706"/>
    <w:rsid w:val="00AC3697"/>
    <w:rsid w:val="00AC3FB7"/>
    <w:rsid w:val="00AC47EE"/>
    <w:rsid w:val="00AD0D3D"/>
    <w:rsid w:val="00AD12C3"/>
    <w:rsid w:val="00AD411F"/>
    <w:rsid w:val="00AD6B7D"/>
    <w:rsid w:val="00AD7403"/>
    <w:rsid w:val="00AE07DE"/>
    <w:rsid w:val="00AE1698"/>
    <w:rsid w:val="00AE3A0A"/>
    <w:rsid w:val="00AE4601"/>
    <w:rsid w:val="00AE48A0"/>
    <w:rsid w:val="00AE5C45"/>
    <w:rsid w:val="00AE5F4D"/>
    <w:rsid w:val="00AF1BB7"/>
    <w:rsid w:val="00AF1C72"/>
    <w:rsid w:val="00AF2D8F"/>
    <w:rsid w:val="00AF7656"/>
    <w:rsid w:val="00B02B8A"/>
    <w:rsid w:val="00B05DA0"/>
    <w:rsid w:val="00B137D3"/>
    <w:rsid w:val="00B144DA"/>
    <w:rsid w:val="00B15162"/>
    <w:rsid w:val="00B21B8E"/>
    <w:rsid w:val="00B22215"/>
    <w:rsid w:val="00B230FB"/>
    <w:rsid w:val="00B2392F"/>
    <w:rsid w:val="00B2433B"/>
    <w:rsid w:val="00B26BA4"/>
    <w:rsid w:val="00B32ED8"/>
    <w:rsid w:val="00B330E5"/>
    <w:rsid w:val="00B353DF"/>
    <w:rsid w:val="00B35DB9"/>
    <w:rsid w:val="00B36A72"/>
    <w:rsid w:val="00B4170D"/>
    <w:rsid w:val="00B418AC"/>
    <w:rsid w:val="00B427B8"/>
    <w:rsid w:val="00B44360"/>
    <w:rsid w:val="00B44F60"/>
    <w:rsid w:val="00B454BA"/>
    <w:rsid w:val="00B51AB8"/>
    <w:rsid w:val="00B542B9"/>
    <w:rsid w:val="00B542E6"/>
    <w:rsid w:val="00B54FAB"/>
    <w:rsid w:val="00B55E3C"/>
    <w:rsid w:val="00B565D2"/>
    <w:rsid w:val="00B61B02"/>
    <w:rsid w:val="00B61C16"/>
    <w:rsid w:val="00B62541"/>
    <w:rsid w:val="00B65977"/>
    <w:rsid w:val="00B65A9C"/>
    <w:rsid w:val="00B677ED"/>
    <w:rsid w:val="00B700BA"/>
    <w:rsid w:val="00B72A74"/>
    <w:rsid w:val="00B73353"/>
    <w:rsid w:val="00B818D0"/>
    <w:rsid w:val="00B832D0"/>
    <w:rsid w:val="00B85003"/>
    <w:rsid w:val="00B8611D"/>
    <w:rsid w:val="00B878D8"/>
    <w:rsid w:val="00B878F7"/>
    <w:rsid w:val="00B87F20"/>
    <w:rsid w:val="00B93F70"/>
    <w:rsid w:val="00B96118"/>
    <w:rsid w:val="00BA1382"/>
    <w:rsid w:val="00BA2847"/>
    <w:rsid w:val="00BA4360"/>
    <w:rsid w:val="00BA4BFA"/>
    <w:rsid w:val="00BA6DDD"/>
    <w:rsid w:val="00BA711A"/>
    <w:rsid w:val="00BB0388"/>
    <w:rsid w:val="00BB0C7F"/>
    <w:rsid w:val="00BB4676"/>
    <w:rsid w:val="00BB4C31"/>
    <w:rsid w:val="00BB7844"/>
    <w:rsid w:val="00BC2A9B"/>
    <w:rsid w:val="00BC509E"/>
    <w:rsid w:val="00BC550E"/>
    <w:rsid w:val="00BC5907"/>
    <w:rsid w:val="00BC5CC1"/>
    <w:rsid w:val="00BC5E98"/>
    <w:rsid w:val="00BC6D1B"/>
    <w:rsid w:val="00BC7C75"/>
    <w:rsid w:val="00BD053F"/>
    <w:rsid w:val="00BD1D41"/>
    <w:rsid w:val="00BD3376"/>
    <w:rsid w:val="00BD72B7"/>
    <w:rsid w:val="00BD739D"/>
    <w:rsid w:val="00BD7AEA"/>
    <w:rsid w:val="00BE214C"/>
    <w:rsid w:val="00BE3A37"/>
    <w:rsid w:val="00BE4B03"/>
    <w:rsid w:val="00BF0057"/>
    <w:rsid w:val="00BF28E6"/>
    <w:rsid w:val="00BF3857"/>
    <w:rsid w:val="00BF4A9D"/>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1296"/>
    <w:rsid w:val="00C36A7C"/>
    <w:rsid w:val="00C37E9E"/>
    <w:rsid w:val="00C40337"/>
    <w:rsid w:val="00C403C4"/>
    <w:rsid w:val="00C4181F"/>
    <w:rsid w:val="00C44C20"/>
    <w:rsid w:val="00C4581E"/>
    <w:rsid w:val="00C46AE7"/>
    <w:rsid w:val="00C476AF"/>
    <w:rsid w:val="00C5139A"/>
    <w:rsid w:val="00C5471F"/>
    <w:rsid w:val="00C560C0"/>
    <w:rsid w:val="00C57955"/>
    <w:rsid w:val="00C63AB2"/>
    <w:rsid w:val="00C65608"/>
    <w:rsid w:val="00C702F6"/>
    <w:rsid w:val="00C72FBD"/>
    <w:rsid w:val="00C73729"/>
    <w:rsid w:val="00C73F7E"/>
    <w:rsid w:val="00C74135"/>
    <w:rsid w:val="00C75E34"/>
    <w:rsid w:val="00C80094"/>
    <w:rsid w:val="00C83116"/>
    <w:rsid w:val="00C85E51"/>
    <w:rsid w:val="00C87744"/>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03B5"/>
    <w:rsid w:val="00CD25F9"/>
    <w:rsid w:val="00CD4185"/>
    <w:rsid w:val="00CD427F"/>
    <w:rsid w:val="00CD4CE6"/>
    <w:rsid w:val="00CD523D"/>
    <w:rsid w:val="00CE06D5"/>
    <w:rsid w:val="00CE0B77"/>
    <w:rsid w:val="00CE2A1B"/>
    <w:rsid w:val="00CE3CC2"/>
    <w:rsid w:val="00CE57BF"/>
    <w:rsid w:val="00CE641B"/>
    <w:rsid w:val="00CE6B24"/>
    <w:rsid w:val="00CF3197"/>
    <w:rsid w:val="00CF3C2A"/>
    <w:rsid w:val="00CF49E6"/>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5B9"/>
    <w:rsid w:val="00D26859"/>
    <w:rsid w:val="00D2688E"/>
    <w:rsid w:val="00D3001E"/>
    <w:rsid w:val="00D33560"/>
    <w:rsid w:val="00D33900"/>
    <w:rsid w:val="00D34A36"/>
    <w:rsid w:val="00D34C42"/>
    <w:rsid w:val="00D34F4D"/>
    <w:rsid w:val="00D35746"/>
    <w:rsid w:val="00D366A8"/>
    <w:rsid w:val="00D44A4F"/>
    <w:rsid w:val="00D456EC"/>
    <w:rsid w:val="00D46DB3"/>
    <w:rsid w:val="00D477E6"/>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919"/>
    <w:rsid w:val="00D74DCD"/>
    <w:rsid w:val="00D7573B"/>
    <w:rsid w:val="00D76335"/>
    <w:rsid w:val="00D77F50"/>
    <w:rsid w:val="00D803B6"/>
    <w:rsid w:val="00D80FBB"/>
    <w:rsid w:val="00D81B1A"/>
    <w:rsid w:val="00D81CAE"/>
    <w:rsid w:val="00D81E02"/>
    <w:rsid w:val="00D833D6"/>
    <w:rsid w:val="00D83A97"/>
    <w:rsid w:val="00D83BC6"/>
    <w:rsid w:val="00D83D04"/>
    <w:rsid w:val="00D83DE0"/>
    <w:rsid w:val="00D852AD"/>
    <w:rsid w:val="00D879B2"/>
    <w:rsid w:val="00D9033C"/>
    <w:rsid w:val="00D90BF1"/>
    <w:rsid w:val="00D90F18"/>
    <w:rsid w:val="00D94931"/>
    <w:rsid w:val="00D95B49"/>
    <w:rsid w:val="00D965CE"/>
    <w:rsid w:val="00D974B6"/>
    <w:rsid w:val="00DA37BB"/>
    <w:rsid w:val="00DA5D2E"/>
    <w:rsid w:val="00DA680D"/>
    <w:rsid w:val="00DA76AB"/>
    <w:rsid w:val="00DB2F43"/>
    <w:rsid w:val="00DB654B"/>
    <w:rsid w:val="00DC09FD"/>
    <w:rsid w:val="00DC0E33"/>
    <w:rsid w:val="00DC1663"/>
    <w:rsid w:val="00DC328C"/>
    <w:rsid w:val="00DC3333"/>
    <w:rsid w:val="00DC4890"/>
    <w:rsid w:val="00DC5E03"/>
    <w:rsid w:val="00DC6C78"/>
    <w:rsid w:val="00DD0071"/>
    <w:rsid w:val="00DD0BE3"/>
    <w:rsid w:val="00DD19C5"/>
    <w:rsid w:val="00DD43B7"/>
    <w:rsid w:val="00DD7455"/>
    <w:rsid w:val="00DE1492"/>
    <w:rsid w:val="00DE3392"/>
    <w:rsid w:val="00DE43E5"/>
    <w:rsid w:val="00DE510E"/>
    <w:rsid w:val="00DE5AA2"/>
    <w:rsid w:val="00DE5C00"/>
    <w:rsid w:val="00DE6C90"/>
    <w:rsid w:val="00DE719A"/>
    <w:rsid w:val="00DF0259"/>
    <w:rsid w:val="00DF1333"/>
    <w:rsid w:val="00DF2301"/>
    <w:rsid w:val="00DF37E0"/>
    <w:rsid w:val="00DF427B"/>
    <w:rsid w:val="00DF45D1"/>
    <w:rsid w:val="00DF4BED"/>
    <w:rsid w:val="00DF4F1C"/>
    <w:rsid w:val="00DF518A"/>
    <w:rsid w:val="00DF52A7"/>
    <w:rsid w:val="00E00F59"/>
    <w:rsid w:val="00E018CA"/>
    <w:rsid w:val="00E024D7"/>
    <w:rsid w:val="00E03C93"/>
    <w:rsid w:val="00E054AE"/>
    <w:rsid w:val="00E07B1C"/>
    <w:rsid w:val="00E1009B"/>
    <w:rsid w:val="00E114B4"/>
    <w:rsid w:val="00E13A6F"/>
    <w:rsid w:val="00E1401A"/>
    <w:rsid w:val="00E157C3"/>
    <w:rsid w:val="00E15924"/>
    <w:rsid w:val="00E25D94"/>
    <w:rsid w:val="00E27C38"/>
    <w:rsid w:val="00E303CB"/>
    <w:rsid w:val="00E3170C"/>
    <w:rsid w:val="00E33EA0"/>
    <w:rsid w:val="00E344D5"/>
    <w:rsid w:val="00E37308"/>
    <w:rsid w:val="00E422D2"/>
    <w:rsid w:val="00E42AD7"/>
    <w:rsid w:val="00E440AE"/>
    <w:rsid w:val="00E465A2"/>
    <w:rsid w:val="00E46B84"/>
    <w:rsid w:val="00E5000E"/>
    <w:rsid w:val="00E501C2"/>
    <w:rsid w:val="00E50BAC"/>
    <w:rsid w:val="00E51B6F"/>
    <w:rsid w:val="00E53F66"/>
    <w:rsid w:val="00E60699"/>
    <w:rsid w:val="00E6088A"/>
    <w:rsid w:val="00E608AD"/>
    <w:rsid w:val="00E6092D"/>
    <w:rsid w:val="00E63CD5"/>
    <w:rsid w:val="00E64C53"/>
    <w:rsid w:val="00E64FF6"/>
    <w:rsid w:val="00E65E36"/>
    <w:rsid w:val="00E664E2"/>
    <w:rsid w:val="00E72873"/>
    <w:rsid w:val="00E738BA"/>
    <w:rsid w:val="00E73E27"/>
    <w:rsid w:val="00E755CC"/>
    <w:rsid w:val="00E76242"/>
    <w:rsid w:val="00E76BC7"/>
    <w:rsid w:val="00E812EC"/>
    <w:rsid w:val="00E81CD2"/>
    <w:rsid w:val="00E834D4"/>
    <w:rsid w:val="00E8716E"/>
    <w:rsid w:val="00E935DB"/>
    <w:rsid w:val="00E935EC"/>
    <w:rsid w:val="00E956D0"/>
    <w:rsid w:val="00E95FBE"/>
    <w:rsid w:val="00E96333"/>
    <w:rsid w:val="00E96C5B"/>
    <w:rsid w:val="00E9739D"/>
    <w:rsid w:val="00E9763E"/>
    <w:rsid w:val="00E9795C"/>
    <w:rsid w:val="00EA150A"/>
    <w:rsid w:val="00EA2262"/>
    <w:rsid w:val="00EA2F99"/>
    <w:rsid w:val="00EA3B3B"/>
    <w:rsid w:val="00EA4039"/>
    <w:rsid w:val="00EA42A5"/>
    <w:rsid w:val="00EA4F7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3CE6"/>
    <w:rsid w:val="00EC7A2A"/>
    <w:rsid w:val="00ED1962"/>
    <w:rsid w:val="00ED2A18"/>
    <w:rsid w:val="00ED2C92"/>
    <w:rsid w:val="00ED33A5"/>
    <w:rsid w:val="00ED671E"/>
    <w:rsid w:val="00ED70C0"/>
    <w:rsid w:val="00ED72AE"/>
    <w:rsid w:val="00EE2B8D"/>
    <w:rsid w:val="00EE319C"/>
    <w:rsid w:val="00EF0D01"/>
    <w:rsid w:val="00EF40E0"/>
    <w:rsid w:val="00EF4D1F"/>
    <w:rsid w:val="00EF678B"/>
    <w:rsid w:val="00EF7D10"/>
    <w:rsid w:val="00F00310"/>
    <w:rsid w:val="00F02012"/>
    <w:rsid w:val="00F038B8"/>
    <w:rsid w:val="00F03F4A"/>
    <w:rsid w:val="00F059D3"/>
    <w:rsid w:val="00F11B71"/>
    <w:rsid w:val="00F12156"/>
    <w:rsid w:val="00F12962"/>
    <w:rsid w:val="00F178FE"/>
    <w:rsid w:val="00F21027"/>
    <w:rsid w:val="00F23F9A"/>
    <w:rsid w:val="00F24505"/>
    <w:rsid w:val="00F250DA"/>
    <w:rsid w:val="00F27AA5"/>
    <w:rsid w:val="00F31208"/>
    <w:rsid w:val="00F3143E"/>
    <w:rsid w:val="00F33270"/>
    <w:rsid w:val="00F3410A"/>
    <w:rsid w:val="00F34993"/>
    <w:rsid w:val="00F353B7"/>
    <w:rsid w:val="00F407AD"/>
    <w:rsid w:val="00F4347D"/>
    <w:rsid w:val="00F51361"/>
    <w:rsid w:val="00F51797"/>
    <w:rsid w:val="00F51C50"/>
    <w:rsid w:val="00F52A22"/>
    <w:rsid w:val="00F53CA7"/>
    <w:rsid w:val="00F55E88"/>
    <w:rsid w:val="00F56993"/>
    <w:rsid w:val="00F57B8A"/>
    <w:rsid w:val="00F60295"/>
    <w:rsid w:val="00F622B3"/>
    <w:rsid w:val="00F632D6"/>
    <w:rsid w:val="00F64227"/>
    <w:rsid w:val="00F648B6"/>
    <w:rsid w:val="00F65492"/>
    <w:rsid w:val="00F70DB9"/>
    <w:rsid w:val="00F71AC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4AB9"/>
    <w:rsid w:val="00FC5977"/>
    <w:rsid w:val="00FC6883"/>
    <w:rsid w:val="00FC76D7"/>
    <w:rsid w:val="00FD1ED3"/>
    <w:rsid w:val="00FD334A"/>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CE2A1B"/>
    <w:pPr>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18" Type="http://schemas.openxmlformats.org/officeDocument/2006/relationships/hyperlink" Target="https://doi.org/10.1098/rsos.15008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doi.org/10.1101/2025.10.30.685180" TargetMode="External"/><Relationship Id="rId2" Type="http://schemas.openxmlformats.org/officeDocument/2006/relationships/customXml" Target="../customXml/item2.xml"/><Relationship Id="rId16" Type="http://schemas.openxmlformats.org/officeDocument/2006/relationships/hyperlink" Target="https://doi.org/10.1038/nmeth.3869" TargetMode="External"/><Relationship Id="rId20" Type="http://schemas.openxmlformats.org/officeDocument/2006/relationships/hyperlink" Target="https://doi.org/10.1098/rspb.2021.26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hyperlink" Target="https://doi.org/10.1371/journal.pone.0257773" TargetMode="External"/><Relationship Id="rId4" Type="http://schemas.openxmlformats.org/officeDocument/2006/relationships/customXml" Target="../customXml/item4.xml"/><Relationship Id="rId9" Type="http://schemas.openxmlformats.org/officeDocument/2006/relationships/hyperlink" Target="mailto:gguri@uw.edu"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185</TotalTime>
  <Pages>20</Pages>
  <Words>7269</Words>
  <Characters>43957</Characters>
  <Application>Microsoft Office Word</Application>
  <DocSecurity>0</DocSecurity>
  <Lines>674</Lines>
  <Paragraphs>123</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51111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101</cp:revision>
  <cp:lastPrinted>2026-03-09T22:30:00Z</cp:lastPrinted>
  <dcterms:created xsi:type="dcterms:W3CDTF">2026-03-31T18:08:00Z</dcterms:created>
  <dcterms:modified xsi:type="dcterms:W3CDTF">2026-04-13T22:43:00Z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