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545D87F" w14:textId="77777777" w:rsidR="00093BBB" w:rsidRDefault="00000000" w:rsidP="00812D54">
      <w:pPr>
        <w:spacing w:after="200" w:line="276" w:lineRule="auto"/>
        <w:jc w:val="both"/>
      </w:pPr>
      <w:r>
        <w:t>Dear Editors,</w:t>
      </w:r>
    </w:p>
    <w:p w14:paraId="638F3496" w14:textId="77777777" w:rsidR="00093BBB" w:rsidRDefault="00000000" w:rsidP="00812D54">
      <w:pPr>
        <w:spacing w:after="220" w:line="276" w:lineRule="auto"/>
        <w:jc w:val="both"/>
      </w:pPr>
      <w:r>
        <w:t xml:space="preserve">On behalf of my co-authors, I am pleased to submit our manuscript, “Smart environmental DNA sampling strategies: Spatial autocorrelation can guide efficient survey design,” for consideration as a Standard Paper in </w:t>
      </w:r>
      <w:r>
        <w:rPr>
          <w:i/>
          <w:iCs/>
        </w:rPr>
        <w:t>Journal of Applied Ecology</w:t>
      </w:r>
      <w:r>
        <w:t>.</w:t>
      </w:r>
    </w:p>
    <w:p w14:paraId="07E13E08" w14:textId="1CC3C5F4" w:rsidR="00093BBB" w:rsidRDefault="00000000" w:rsidP="00812D54">
      <w:pPr>
        <w:spacing w:after="220" w:line="276" w:lineRule="auto"/>
        <w:jc w:val="both"/>
      </w:pPr>
      <w:r>
        <w:t>Sampling effort is the single largest driver of survey cost, yet guidance on how to set it is largely ad hoc and rarely tailored to the target species or the inferential goal. Our study addresses this gap by providing a quantitative, transferable framework that links a species’ spatial autocorrelation to the sampling effort required for reliable inference. Combining environmental DNA (eDNA) metabarcoding data for 12 fish species from 358 stations and five depth strata along the U.S. West Coast with simulated spatial fields, we use Bayesian Gaussian process models to quantify how reduced sampling degrades both spatial prediction and parameter recovery, and we identify where additional effort stops improving the information used for management decisions.</w:t>
      </w:r>
    </w:p>
    <w:p w14:paraId="3992F84E" w14:textId="0D521892" w:rsidR="00093BBB" w:rsidRDefault="00000000" w:rsidP="00812D54">
      <w:pPr>
        <w:spacing w:after="220" w:line="276" w:lineRule="auto"/>
        <w:jc w:val="both"/>
      </w:pPr>
      <w:r>
        <w:t>Crucially, our error model can be inverted</w:t>
      </w:r>
      <w:r w:rsidR="00812D54">
        <w:t>, as</w:t>
      </w:r>
      <w:r>
        <w:t xml:space="preserve"> given a required precision and a prior estimate of a taxon’s spatial autocorrelation, survey designers can solve for the minimum sampling density needed before a cruise is planned. We believe this work is well suited to </w:t>
      </w:r>
      <w:r>
        <w:rPr>
          <w:i/>
          <w:iCs/>
        </w:rPr>
        <w:t>Journal of Applied Ecology</w:t>
      </w:r>
      <w:r>
        <w:t xml:space="preserve"> because it develops a novel methodological approach with strong potential to change how applied ecological surveys are designed, and it translates that approach into clear, evidence-based recommendations for managers and survey designers. The framework generalizes well beyond our study system</w:t>
      </w:r>
      <w:r w:rsidR="00812D54">
        <w:t>,</w:t>
      </w:r>
      <w:r>
        <w:t xml:space="preserve"> it is applicable across taxa, monitoring </w:t>
      </w:r>
      <w:proofErr w:type="spellStart"/>
      <w:r>
        <w:t>programmes</w:t>
      </w:r>
      <w:proofErr w:type="spellEnd"/>
      <w:r>
        <w:t xml:space="preserve"> (e.g., protected-area networks, biodiversity assessments, fisheries-independent surveys), and survey objectives, and we expect it to be of broad interest to ecologists, resource managers, and practitioners grappling with the cost–information trade-offs inherent to large-scale monitoring.</w:t>
      </w:r>
    </w:p>
    <w:p w14:paraId="51BD6F23" w14:textId="77777777" w:rsidR="00093BBB" w:rsidRDefault="00000000" w:rsidP="00812D54">
      <w:pPr>
        <w:spacing w:after="260" w:line="276" w:lineRule="auto"/>
        <w:jc w:val="both"/>
      </w:pPr>
      <w:r>
        <w:t>Thank you for considering our manuscript. We look forward to your response.</w:t>
      </w:r>
    </w:p>
    <w:p w14:paraId="6B5D6495" w14:textId="77777777" w:rsidR="00093BBB" w:rsidRDefault="00000000" w:rsidP="00812D54">
      <w:pPr>
        <w:spacing w:after="200" w:line="276" w:lineRule="auto"/>
        <w:jc w:val="both"/>
      </w:pPr>
      <w:r>
        <w:t>Sincerely,</w:t>
      </w:r>
    </w:p>
    <w:p w14:paraId="78E8A448" w14:textId="77777777" w:rsidR="00093BBB" w:rsidRDefault="00000000" w:rsidP="00812D54">
      <w:pPr>
        <w:spacing w:after="40" w:line="276" w:lineRule="auto"/>
        <w:jc w:val="both"/>
      </w:pPr>
      <w:r>
        <w:t>Gledis Guri</w:t>
      </w:r>
    </w:p>
    <w:p w14:paraId="0FF35D9D" w14:textId="77777777" w:rsidR="00093BBB" w:rsidRDefault="00000000" w:rsidP="00812D54">
      <w:pPr>
        <w:spacing w:after="40" w:line="276" w:lineRule="auto"/>
        <w:jc w:val="both"/>
      </w:pPr>
      <w:r>
        <w:t>on behalf of all co-authors</w:t>
      </w:r>
    </w:p>
    <w:sectPr w:rsidR="00093BB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1FF0C0D"/>
    <w:multiLevelType w:val="hybridMultilevel"/>
    <w:tmpl w:val="0A628D42"/>
    <w:lvl w:ilvl="0" w:tplc="BAC6B50A">
      <w:start w:val="1"/>
      <w:numFmt w:val="bullet"/>
      <w:lvlText w:val="●"/>
      <w:lvlJc w:val="left"/>
      <w:pPr>
        <w:ind w:left="720" w:hanging="360"/>
      </w:pPr>
    </w:lvl>
    <w:lvl w:ilvl="1" w:tplc="E1540CA4">
      <w:start w:val="1"/>
      <w:numFmt w:val="bullet"/>
      <w:lvlText w:val="○"/>
      <w:lvlJc w:val="left"/>
      <w:pPr>
        <w:ind w:left="1440" w:hanging="360"/>
      </w:pPr>
    </w:lvl>
    <w:lvl w:ilvl="2" w:tplc="3D7C26CA">
      <w:start w:val="1"/>
      <w:numFmt w:val="bullet"/>
      <w:lvlText w:val="■"/>
      <w:lvlJc w:val="left"/>
      <w:pPr>
        <w:ind w:left="2160" w:hanging="360"/>
      </w:pPr>
    </w:lvl>
    <w:lvl w:ilvl="3" w:tplc="9F169E1E">
      <w:start w:val="1"/>
      <w:numFmt w:val="bullet"/>
      <w:lvlText w:val="●"/>
      <w:lvlJc w:val="left"/>
      <w:pPr>
        <w:ind w:left="2880" w:hanging="360"/>
      </w:pPr>
    </w:lvl>
    <w:lvl w:ilvl="4" w:tplc="84D42042">
      <w:start w:val="1"/>
      <w:numFmt w:val="bullet"/>
      <w:lvlText w:val="○"/>
      <w:lvlJc w:val="left"/>
      <w:pPr>
        <w:ind w:left="3600" w:hanging="360"/>
      </w:pPr>
    </w:lvl>
    <w:lvl w:ilvl="5" w:tplc="DAAA4150">
      <w:start w:val="1"/>
      <w:numFmt w:val="bullet"/>
      <w:lvlText w:val="■"/>
      <w:lvlJc w:val="left"/>
      <w:pPr>
        <w:ind w:left="4320" w:hanging="360"/>
      </w:pPr>
    </w:lvl>
    <w:lvl w:ilvl="6" w:tplc="EA2C3EB4">
      <w:start w:val="1"/>
      <w:numFmt w:val="bullet"/>
      <w:lvlText w:val="●"/>
      <w:lvlJc w:val="left"/>
      <w:pPr>
        <w:ind w:left="5040" w:hanging="360"/>
      </w:pPr>
    </w:lvl>
    <w:lvl w:ilvl="7" w:tplc="04F8140C">
      <w:start w:val="1"/>
      <w:numFmt w:val="bullet"/>
      <w:lvlText w:val="●"/>
      <w:lvlJc w:val="left"/>
      <w:pPr>
        <w:ind w:left="5760" w:hanging="360"/>
      </w:pPr>
    </w:lvl>
    <w:lvl w:ilvl="8" w:tplc="5022A822">
      <w:start w:val="1"/>
      <w:numFmt w:val="bullet"/>
      <w:lvlText w:val="●"/>
      <w:lvlJc w:val="left"/>
      <w:pPr>
        <w:ind w:left="6480" w:hanging="360"/>
      </w:pPr>
    </w:lvl>
  </w:abstractNum>
  <w:num w:numId="1" w16cid:durableId="1503205252">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6"/>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3BBB"/>
    <w:rsid w:val="00093BBB"/>
    <w:rsid w:val="00130111"/>
    <w:rsid w:val="00812D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4EB2A7C"/>
  <w15:docId w15:val="{56C7FDFF-EA7D-A544-A01D-96AF9A4B53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812D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309</Words>
  <Characters>1767</Characters>
  <Application>Microsoft Office Word</Application>
  <DocSecurity>0</DocSecurity>
  <Lines>14</Lines>
  <Paragraphs>4</Paragraphs>
  <ScaleCrop>false</ScaleCrop>
  <Company/>
  <LinksUpToDate>false</LinksUpToDate>
  <CharactersWithSpaces>2072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Gledis Guri</cp:lastModifiedBy>
  <cp:revision>2</cp:revision>
  <dcterms:created xsi:type="dcterms:W3CDTF">2026-08-24T03:48:00Z</dcterms:created>
  <dcterms:modified xsi:type="dcterms:W3CDTF">2026-08-24T04:07:00Z</dcterms:modified>
</cp:coreProperties>
</file>