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77777777" w:rsidR="000D6CB9" w:rsidRDefault="00000000">
      <w:pPr>
        <w:pStyle w:val="BodyText"/>
        <w:spacing w:line="480" w:lineRule="auto"/>
      </w:pPr>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p>
    <w:p w14:paraId="1A16C07B" w14:textId="0C23B746" w:rsidR="000D6CB9" w:rsidRDefault="00000000">
      <w:pPr>
        <w:pStyle w:val="BodyText"/>
        <w:spacing w:line="480" w:lineRule="auto"/>
      </w:pPr>
      <w:r>
        <w:t xml:space="preserve">3. </w:t>
      </w:r>
      <w:r w:rsidR="007440D9">
        <w:t>As expected, p</w:t>
      </w:r>
      <w:r>
        <w:t>rediction</w:t>
      </w:r>
      <w:r w:rsidR="007440D9">
        <w:t>s</w:t>
      </w:r>
      <w:r>
        <w:t xml:space="preserve"> </w:t>
      </w:r>
      <w:r w:rsidR="007440D9">
        <w:t>impro</w:t>
      </w:r>
      <w:r w:rsidR="007440D9">
        <w:t>ved</w:t>
      </w:r>
      <w:r>
        <w:t xml:space="preserve"> non-linearly with </w:t>
      </w:r>
      <w:r w:rsidR="007440D9">
        <w:t xml:space="preserve">increasing </w:t>
      </w:r>
      <w:r>
        <w:t>sampling density and with increasing</w:t>
      </w:r>
      <w:r w:rsidR="002B0D91">
        <w:t xml:space="preserve"> degrees of autocorrelation</w:t>
      </w:r>
      <w:r>
        <w:t xml:space="preserve"> </w:t>
      </w:r>
      <w:r w:rsidR="002B0D91">
        <w:t>(</w:t>
      </w:r>
      <w:r>
        <w:rPr>
          <w:i/>
          <w:iCs/>
        </w:rPr>
        <w:t>ρ</w:t>
      </w:r>
      <w:r w:rsidR="002B0D91">
        <w:t>)</w:t>
      </w:r>
      <w:r>
        <w:t>.</w:t>
      </w:r>
    </w:p>
    <w:p w14:paraId="75E2E814" w14:textId="77777777"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r>
        <w:t>(</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p>
    <w:p w14:paraId="1CEE31DB" w14:textId="1618CDDF" w:rsidR="000D6CB9" w:rsidRDefault="00000000">
      <w:pPr>
        <w:pStyle w:val="BodyText"/>
        <w:spacing w:line="480" w:lineRule="auto"/>
      </w:pPr>
      <w:r>
        <w:t>5. The inferential objective mattered as much as the effort: depth-specific means, which underpin abundance indices, were recovered reliably under sparse sampling, whereas</w:t>
      </w:r>
      <w:r w:rsidR="00547F50">
        <w:t xml:space="preserve"> estimating</w:t>
      </w:r>
      <w:r>
        <w:t xml:space="preserve"> </w:t>
      </w:r>
      <w:r>
        <w:rPr>
          <w:i/>
          <w:iCs/>
        </w:rPr>
        <w:t>ρ</w:t>
      </w:r>
      <w:r>
        <w:t xml:space="preserve"> required denser designs spanning a wide range of distances, stabilising above ~6 samples per 10,000 km</w:t>
      </w:r>
      <w:r>
        <w:rPr>
          <w:vertAlign w:val="superscript"/>
        </w:rPr>
        <w:t>2</w:t>
      </w:r>
      <w:r>
        <w:t>.</w:t>
      </w:r>
    </w:p>
    <w:p w14:paraId="78FB4D89" w14:textId="77777777" w:rsidR="000D6CB9" w:rsidRDefault="00000000">
      <w:pPr>
        <w:pStyle w:val="BodyText"/>
        <w:spacing w:line="480" w:lineRule="auto"/>
      </w:pPr>
      <w:r>
        <w:t xml:space="preserve">6. </w:t>
      </w:r>
      <w:r>
        <w:rPr>
          <w:i/>
          <w:iCs/>
        </w:rPr>
        <w:t>Synthesis and applications</w:t>
      </w:r>
      <w:r>
        <w:t>. Optimal eDNA sampling effort depends on the patchiness of the target taxon and on the purpose of the survey. Our error model can be inverted to convert a required precision and a prior estimate of spatial autocorrelation into a minimum sampling density, letting survey designers allocate ship time before a cruise. Across the California Current, 4–9 samples per 10,000 km</w:t>
      </w:r>
      <w:r>
        <w:rPr>
          <w:vertAlign w:val="superscript"/>
        </w:rPr>
        <w:t>2</w:t>
      </w:r>
      <w:r>
        <w:t xml:space="preserve"> per depth layer spanned the point of diminishing returns, </w:t>
      </w:r>
      <w:r>
        <w:t xml:space="preserve">modestly above the density of existing regional survey grids (3.4–3.6 samples per 10,000 </w:t>
      </w:r>
      <w:r>
        <w:t xml:space="preserve">km</w:t>
      </w:r>
      <w:r>
        <w:rPr>
          <w:vertAlign w:val="superscript"/>
        </w:rPr>
        <w:t>2</w:t>
      </w:r>
      <w:r>
        <w:t>). Programmes producing abundance indices for stock assessment can operate near current effort; those mapping fine-scale distributions need denser designs including clusters of closely spaced stations.</w:t>
      </w:r>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 survey cost-effectiveness</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16" w:name="introduction"/>
      <w:bookmarkEnd w:id="0"/>
      <w:r>
        <w:t>Introduction</w:t>
      </w:r>
    </w:p>
    <w:p w14:paraId="12A3A315" w14:textId="358CA57E" w:rsidR="00E656D3" w:rsidRDefault="00686350" w:rsidP="001643E6">
      <w:pPr>
        <w:pStyle w:val="BodyText"/>
        <w:spacing w:line="480" w:lineRule="auto"/>
      </w:pPr>
      <w:bookmarkStart w:id="17"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17"/>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xml:space="preserve">. Because agencies are now evaluating </w:t>
      </w:r>
      <w:r>
        <w:lastRenderedPageBreak/>
        <w:t>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5516F180" w14:textId="142FA4DF" w:rsidR="0032076E" w:rsidRDefault="001063EA" w:rsidP="001063EA">
      <w:pPr>
        <w:pStyle w:val="BodyText"/>
        <w:spacing w:line="480" w:lineRule="auto"/>
      </w:pPr>
      <w:r w:rsidRPr="001063EA">
        <w:t xml:space="preserve">We hypothesize that the sampling density a species requires depends on </w:t>
      </w:r>
      <w:r w:rsidRPr="001063EA">
        <w:t>its spatial autocorrelation</w:t>
      </w:r>
      <w:r>
        <w:t xml:space="preserve"> </w:t>
      </w:r>
      <w:r w:rsidRPr="001063EA">
        <w:t xml:space="preserve">(ρ). A species with a long length-scale varies gradually and can be reconstructed from </w:t>
      </w:r>
      <w:r>
        <w:t>fewer</w:t>
      </w:r>
      <w:r w:rsidRPr="001063EA">
        <w:t xml:space="preserve"> </w:t>
      </w:r>
      <w:r>
        <w:t>samples</w:t>
      </w:r>
      <w:r w:rsidRPr="001063EA">
        <w:t>, whereas one with a short length-scale varies abruptly</w:t>
      </w:r>
      <w:r>
        <w:t>, hence</w:t>
      </w:r>
      <w:r w:rsidRPr="001063EA">
        <w:t xml:space="preserve"> </w:t>
      </w:r>
      <w:r>
        <w:t xml:space="preserve">requires more samples </w:t>
      </w:r>
      <w:r w:rsidRPr="001063EA">
        <w:t xml:space="preserve">(Figure 1). </w:t>
      </w:r>
      <w:r>
        <w:t>Hence, 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r>
        <w:t>Therefore</w:t>
      </w:r>
      <w:r w:rsidR="00C416FB">
        <w:t>,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 xml:space="preserve">(i) </w:t>
      </w:r>
      <w:r w:rsidR="00741A6A" w:rsidRPr="00741A6A">
        <w:t>the predictive accuracy of species distribution models</w:t>
      </w:r>
      <w:r w:rsidR="00FB27EA">
        <w:t xml:space="preserve"> and (ii) the accuracy of GP parameter estimation. Our objective is deliberately operational: to give a survey planner guidance applicable before a cruise from a prior estimate of the spatial autocorrelation of the target taxa and a statement of the precision required</w:t>
      </w:r>
      <w:r w:rsidR="00765D4E">
        <w:t>.</w:t>
      </w:r>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lastRenderedPageBreak/>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5A1B3B09"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19" w:name="materials-and-methods"/>
      <w:bookmarkEnd w:id="16"/>
      <w:r>
        <w:t>Materials and methods</w:t>
      </w:r>
    </w:p>
    <w:p w14:paraId="6D460FDF" w14:textId="28F45267" w:rsidR="001B4F2A" w:rsidRDefault="003676DB" w:rsidP="001643E6">
      <w:pPr>
        <w:pStyle w:val="BodyText"/>
        <w:spacing w:line="480" w:lineRule="auto"/>
      </w:pPr>
      <w:bookmarkStart w:id="20"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w:t>
      </w:r>
      <w:r w:rsidR="002609C5" w:rsidRPr="002609C5">
        <w:lastRenderedPageBreak/>
        <w:t xml:space="preserve">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lastRenderedPageBreak/>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5629A3D0"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Samples underwent PCR amplification using the MiFish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w:t>
      </w:r>
      <w:r>
        <w:lastRenderedPageBreak/>
        <w:t xml:space="preserve">Illumina MiSeq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Clupea pallasii</w:t>
      </w:r>
      <w:r>
        <w:t xml:space="preserve">, </w:t>
      </w:r>
      <w:r>
        <w:rPr>
          <w:i/>
          <w:iCs/>
        </w:rPr>
        <w:t>Engraulis mordax</w:t>
      </w:r>
      <w:r>
        <w:t xml:space="preserve">, </w:t>
      </w:r>
      <w:r>
        <w:rPr>
          <w:i/>
          <w:iCs/>
        </w:rPr>
        <w:t>Leuroglossus stilbius</w:t>
      </w:r>
      <w:r>
        <w:t xml:space="preserve">, </w:t>
      </w:r>
      <w:r>
        <w:rPr>
          <w:i/>
          <w:iCs/>
        </w:rPr>
        <w:t>Microstomus pacificus</w:t>
      </w:r>
      <w:r>
        <w:t xml:space="preserve">, </w:t>
      </w:r>
      <w:r>
        <w:rPr>
          <w:i/>
          <w:iCs/>
        </w:rPr>
        <w:t>Sardinops sagax</w:t>
      </w:r>
      <w:r>
        <w:t xml:space="preserve">, </w:t>
      </w:r>
      <w:r>
        <w:rPr>
          <w:i/>
          <w:iCs/>
        </w:rPr>
        <w:t>Scomber japonicus</w:t>
      </w:r>
      <w:r>
        <w:t xml:space="preserve">, </w:t>
      </w:r>
      <w:r>
        <w:rPr>
          <w:i/>
          <w:iCs/>
        </w:rPr>
        <w:t>Sebastes entomelas</w:t>
      </w:r>
      <w:r>
        <w:t xml:space="preserve">, </w:t>
      </w:r>
      <w:r>
        <w:rPr>
          <w:i/>
          <w:iCs/>
        </w:rPr>
        <w:t>Stenobrachius leucopsarus</w:t>
      </w:r>
      <w:r>
        <w:t xml:space="preserve">, </w:t>
      </w:r>
      <w:r>
        <w:rPr>
          <w:i/>
          <w:iCs/>
        </w:rPr>
        <w:t>Tactostoma macropus</w:t>
      </w:r>
      <w:r>
        <w:t xml:space="preserve">, </w:t>
      </w:r>
      <w:r>
        <w:rPr>
          <w:i/>
          <w:iCs/>
        </w:rPr>
        <w:t>Tarletonbeania crenularis</w:t>
      </w:r>
      <w:r>
        <w:t xml:space="preserve">, </w:t>
      </w:r>
      <w:r>
        <w:rPr>
          <w:i/>
          <w:iCs/>
        </w:rPr>
        <w:t>Thaleichthys pacificus</w:t>
      </w:r>
      <w:r>
        <w:t xml:space="preserve"> and </w:t>
      </w:r>
      <w:r>
        <w:rPr>
          <w:i/>
          <w:iCs/>
        </w:rPr>
        <w:t>Trachurus symmetricus</w:t>
      </w:r>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r w:rsidRPr="001B3530">
        <w:rPr>
          <w:i/>
          <w:iCs/>
        </w:rPr>
        <w:t>μ</w:t>
      </w:r>
      <w:r w:rsidRPr="001B3530">
        <w:rPr>
          <w:i/>
          <w:iCs/>
          <w:vertAlign w:val="subscript"/>
        </w:rPr>
        <w:t>d</w:t>
      </w:r>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 xml:space="preserve">distributed across five depth </w:t>
      </w:r>
      <w:r w:rsidR="00D94C80" w:rsidRPr="00192DF5">
        <w:lastRenderedPageBreak/>
        <w:t>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t>This framework enables direct, like-for-like comparisons of reconstructed fields across sampling 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lastRenderedPageBreak/>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 xml:space="preserve">Throughout, the numeric subscript on ε identifies the analysis and the benchmark against which error is measured — 1 for the empirical data, benchmarked at N = 358 and defined here; 2 for the simulated data, benchmarked at N = 4,000; and 3 for the simulated data re-benchmarked at N = 358 to match the empirical sampling effort — while the subscript E denotes the sampling density at which the error was evaluated. </w:t>
      </w: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485A3ACA" w:rsidR="004242D5" w:rsidRDefault="00D46036" w:rsidP="001643E6">
      <w:pPr>
        <w:pStyle w:val="BodyText"/>
        <w:spacing w:line="480" w:lineRule="auto"/>
      </w:pPr>
      <w:r w:rsidRPr="00D46036">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r w:rsidR="004C5337">
        <w:t xml:space="preserve">Similar to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 xml:space="preserve">was held </w:t>
      </w:r>
      <w:r w:rsidR="0065046F" w:rsidRPr="00AA096F">
        <w:lastRenderedPageBreak/>
        <w:t>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bookmarkStart w:id="22"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22"/>
      <w:r w:rsidR="004D2E90">
        <w:t xml:space="preserve"> </w:t>
      </w:r>
      <w:bookmarkStart w:id="23"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A14311">
        <w:rPr>
          <w:lang w:val="el-GR"/>
        </w:rPr>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23"/>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lastRenderedPageBreak/>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24" w:name="statistical-inference"/>
      <w:bookmarkEnd w:id="20"/>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25"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25"/>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lastRenderedPageBreak/>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6B485E9E"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w:t>
      </w:r>
      <w:r w:rsidR="00AE5F09">
        <w:t>differently between the two datasets</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28"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28"/>
      <w:r w:rsidR="00017D18">
        <w:t xml:space="preserve"> </w:t>
      </w:r>
      <w:r>
        <w:t xml:space="preserve">Taking the N=358 subsample as the reference observation set and its prediction on Q as the baseline (Z), we compared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487261EE"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w:t>
      </w:r>
      <w:r>
        <w:t xml:space="preserve">discarding the first 1,000 iterations as warm-up. Stan's warm-up phase both discards these initial draws and adapts the sampler's step size and mass matrix, and so is not strictly equivalent to a conventional burn-in.</w:t>
      </w:r>
      <w:r w:rsidR="007C0AAD">
        <w:t xml:space="preserve">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 xml:space="preserve">1 </w:t>
      </w:r>
      <w:r w:rsidR="007C0AAD">
        <w:lastRenderedPageBreak/>
        <w:t>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r w:rsidR="00994043" w:rsidRPr="00D11C02">
        <w:rPr>
          <w:i/>
          <w:iCs/>
        </w:rPr>
        <w:t>lm()</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30"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31" w:name="fig:dag"/>
      <w:bookmarkEnd w:id="30"/>
      <w:r>
        <w:rPr>
          <w:noProof/>
        </w:rPr>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46A1C45D"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 xml:space="preserve">=4000) is used to fit a GP model and generate a predicted field (Z), which serves as the reference </w:t>
      </w:r>
      <w:r w:rsidR="00BA1382" w:rsidRPr="00BA1382">
        <w:lastRenderedPageBreak/>
        <w:t>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32" w:name="results"/>
      <w:bookmarkEnd w:id="19"/>
      <w:bookmarkEnd w:id="24"/>
      <w:bookmarkEnd w:id="31"/>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33" w:name="fig:epsilon"/>
      <w:r w:rsidRPr="00762C7D">
        <w:rPr>
          <w:b/>
          <w:bCs w:val="0"/>
        </w:rPr>
        <w:t>Empirical data</w:t>
      </w:r>
    </w:p>
    <w:p w14:paraId="57347855" w14:textId="10658886" w:rsidR="00D31C68" w:rsidRDefault="000443C6" w:rsidP="001643E6">
      <w:pPr>
        <w:pStyle w:val="BodyText"/>
        <w:spacing w:line="480" w:lineRule="auto"/>
      </w:pPr>
      <w:r w:rsidRPr="000443C6">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BD02A1">
        <w:t>.</w:t>
      </w:r>
      <w:r w:rsidRPr="000443C6">
        <w:t xml:space="preserve"> </w:t>
      </w:r>
      <w:r w:rsidRPr="00054D59">
        <w:rPr>
          <w:i/>
          <w:iCs/>
        </w:rPr>
        <w:t>Tactostoma macropus</w:t>
      </w:r>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w:t>
      </w:r>
      <w:r w:rsidRPr="00BC550E">
        <w:lastRenderedPageBreak/>
        <w:t xml:space="preserve">bottom-associated taxa, indicating greater </w:t>
      </w:r>
      <w:r>
        <w:t>process</w:t>
      </w:r>
      <w:r w:rsidRPr="00EC0F93">
        <w:t xml:space="preserve"> variance </w:t>
      </w:r>
      <w:r>
        <w:t xml:space="preserve">of the inferred </w:t>
      </w:r>
      <w:r w:rsidRPr="00BC550E">
        <w:t>eDNA fields.</w:t>
      </w:r>
      <w:r>
        <w:t xml:space="preserve">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33"/>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 xml:space="preserve">the signal amplitude </w:t>
      </w:r>
      <w:r w:rsidRPr="00826938">
        <w:lastRenderedPageBreak/>
        <w:t>(α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owever, this reduction was strongly modulated by the degree 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36" w:name="OLE_LINK8"/>
      <w:r w:rsidRPr="003D6E81">
        <w:rPr>
          <w:b/>
          <w:bCs w:val="0"/>
        </w:rPr>
        <w:t>Simulations</w:t>
      </w:r>
    </w:p>
    <w:p w14:paraId="4D52A2D2" w14:textId="2DA3BBCC"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 xml:space="preserve">6 samples per </w:t>
      </w:r>
      <w:r w:rsidR="006E4E43">
        <w:lastRenderedPageBreak/>
        <w:t>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improvements were greatest at low sampling effort and declined rapidly with additional 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36"/>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lastRenderedPageBreak/>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ach point represents the marginal change at the midpoint of a unit interval (e.g., E = 1.5 reflects the 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r w:rsidRPr="00127DFE">
        <w:rPr>
          <w:i/>
          <w:iCs/>
        </w:rPr>
        <w:t>μ</w:t>
      </w:r>
      <w:r w:rsidR="00127DFE" w:rsidRPr="00127DFE">
        <w:rPr>
          <w:i/>
          <w:iCs/>
          <w:vertAlign w:val="subscript"/>
        </w:rPr>
        <w:t>d</w:t>
      </w:r>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r w:rsidRPr="004B70A0">
        <w:rPr>
          <w:i/>
          <w:iCs/>
        </w:rPr>
        <w:t>μ</w:t>
      </w:r>
      <w:r w:rsidR="00E428C6" w:rsidRPr="004B70A0">
        <w:rPr>
          <w:i/>
          <w:iCs/>
          <w:vertAlign w:val="subscript"/>
        </w:rPr>
        <w:t>d</w:t>
      </w:r>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w:t>
      </w:r>
      <w:r w:rsidR="003F2203">
        <w:lastRenderedPageBreak/>
        <w:t>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lastRenderedPageBreak/>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r w:rsidR="004714FD" w:rsidRPr="006717D8">
        <w:t>μ</w:t>
      </w:r>
      <w:r w:rsidR="004714FD" w:rsidRPr="006717D8">
        <w:rPr>
          <w:vertAlign w:val="subscript"/>
        </w:rPr>
        <w:t>d</w:t>
      </w:r>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37" w:name="fig:epsilon_sp"/>
    </w:p>
    <w:p w14:paraId="5516F1CD" w14:textId="77777777" w:rsidR="0032076E" w:rsidRDefault="00D04708" w:rsidP="001643E6">
      <w:pPr>
        <w:pStyle w:val="Heading1"/>
        <w:spacing w:before="0" w:after="0" w:line="480" w:lineRule="auto"/>
      </w:pPr>
      <w:bookmarkStart w:id="38" w:name="discussion"/>
      <w:bookmarkEnd w:id="32"/>
      <w:bookmarkEnd w:id="37"/>
      <w:r>
        <w:t>Discussion</w:t>
      </w:r>
    </w:p>
    <w:p w14:paraId="5351486F" w14:textId="16269BED" w:rsidR="00390A6F" w:rsidRDefault="00101BFB" w:rsidP="001643E6">
      <w:pPr>
        <w:pStyle w:val="p2"/>
        <w:spacing w:before="0" w:beforeAutospacing="0" w:after="0" w:afterAutospacing="0" w:line="480" w:lineRule="auto"/>
        <w:jc w:val="both"/>
      </w:pPr>
      <w:bookmarkStart w:id="39"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We show that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40"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 xml:space="preserve">Prediction error decreased non-linearly with sampling effort and with increasing spatial autocorrelation, confirming that homogeneously </w:t>
      </w:r>
      <w:r w:rsidRPr="002D4B65">
        <w:lastRenderedPageBreak/>
        <w:t>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7F9080EE"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r w:rsidR="006D5877" w:rsidRPr="006D5877">
        <w:rPr>
          <w:vertAlign w:val="superscript"/>
          <w:lang w:val="el-GR"/>
        </w:rPr>
        <w:t>β</w:t>
      </w:r>
      <w:r w:rsidR="006D5877">
        <w:rPr>
          <w:lang w:val="el-GR"/>
        </w:rPr>
        <w:t>ρ</w:t>
      </w:r>
      <w:r w:rsidR="006D5877" w:rsidRPr="006D5877">
        <w:rPr>
          <w:vertAlign w:val="superscript"/>
          <w:lang w:val="el-GR"/>
        </w:rPr>
        <w:t>θ</w:t>
      </w:r>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pPr>
        <w:pStyle w:val="p3"/>
        <w:spacing w:before="0" w:beforeAutospacing="0" w:after="0" w:afterAutospacing="0" w:line="480" w:lineRule="auto"/>
        <w:jc w:val="both"/>
        <w:rPr/>
      </w:pPr>
      <w:r>
        <w:t xml:space="preserve">Although we express effort in samples per 10,000 km² to keep the guidance directly usable for cruise planning, the underlying relationship concerns sampling density relative to the scale of spatial structure rather than any particular unit of area. A density E corresponds to a mean spacing between neighbouring samples of approximately d = √(10,000/E) km, so the thresholds above can equivalently be stated as a ratio of sample spacing to length-scale: d/ρ ≈ 0.1 for smoothly distributed species (E ≈ 4–5 with ρ ≈ 500 km), but d/ρ ≈ 0.6–0.7 for patchily distributed ones (E ≈ 8–11 with ρ ≈ 50 km). Framed this way, the same principle transfers to systems orders of magnitude smaller or larger than the California Current, provided that E and ρ are expressed in consistent units. Two qualifications follow. First, the required ratio is not itself a constant: because Eq. 6 contains an interaction between E and ρ, error depends on the two jointly rather than on their ratio alone, and the acceptable ratio is larger for patchy species precisely because resolving them at the same relative fidelity as smooth species would demand prohibitive effort. Second, only the interaction coefficient γ is invariant to the choice of units; ω, β and θ are specific to the units in which the model was fitted (samples per 10,000 km² and km) and must be transformed accordingly before Eq. 6 is applied on a different unit basis.</w:t>
      </w:r>
    </w:p>
    <w:p w14:paraId="229281D3" w14:textId="77777777" w:rsidR="00BA4DE0" w:rsidRDefault="00BA4DE0" w:rsidP="001643E6">
      <w:pPr>
        <w:pStyle w:val="p3"/>
        <w:spacing w:before="0" w:beforeAutospacing="0" w:after="0" w:afterAutospacing="0" w:line="480" w:lineRule="auto"/>
        <w:jc w:val="both"/>
      </w:pPr>
    </w:p>
    <w:p w14:paraId="6A7B2F03" w14:textId="41CBD479" w:rsidR="00B9718F" w:rsidRDefault="00BA4DE0" w:rsidP="001643E6">
      <w:pPr>
        <w:pStyle w:val="p3"/>
        <w:spacing w:before="0" w:beforeAutospacing="0" w:after="0" w:afterAutospacing="0" w:line="480" w:lineRule="auto"/>
        <w:jc w:val="both"/>
      </w:pPr>
      <w:bookmarkStart w:id="41"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r w:rsidRPr="00C83611">
        <w:rPr>
          <w:i/>
          <w:iCs/>
        </w:rPr>
        <w:t>Leuroglossus stilbius</w:t>
      </w:r>
      <w:r w:rsidRPr="00BA4DE0">
        <w:t xml:space="preserve"> and </w:t>
      </w:r>
      <w:r w:rsidRPr="00C83611">
        <w:rPr>
          <w:i/>
          <w:iCs/>
        </w:rPr>
        <w:t>Microstomus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t xml:space="preserve">for context, this is slightly higher than the West Coast eDNA survey grid analysed here and the standard 75-station grid of the California Cooperative Oceanic Fisheries Investigations (CalCOFI), the long-running ship-based survey of the California Current, at 3.6 and 3.4 samples per 10,000 </w:t>
      </w:r>
      <w:r w:rsidR="00FF7D1B" w:rsidRPr="00FF7D1B">
        <w:t xml:space="preserve">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 xml:space="preserve">on 12 fish species, extending this conclusion to other taxa or ecosystems should be done with caution, and additional species may exhibit different scaling </w:t>
      </w:r>
      <w:r w:rsidR="0017095B" w:rsidRPr="0017095B">
        <w:t>relationships</w:t>
      </w:r>
      <w:r w:rsidR="0017095B" w:rsidRPr="0017095B">
        <w:t>.</w:t>
      </w:r>
      <w:r>
        <w:t xml:space="preserve"> More fundamentally, because metabarcoding recovers many taxa from a single water sample, one sampling design is applied simultaneously to species whose length-scales differ by an order of magnitude, and no single density is efficient for all of them. Any choice of sampling scale therefore embodies a trade-off: effort sufficient to resolve patchily distributed taxa oversamples smoothly distributed ones, whereas effort tuned to smooth taxa leaves patchy ones poorly resolved. Identifying which species a survey is actually required to resolve is thus an unavoidable first step in designing multispecies eDNA programmes.</w:t>
      </w:r>
    </w:p>
    <w:bookmarkEnd w:id="41"/>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xml:space="preserve">. From a sampling-efficiency perspective, this implies that surface-focused monitoring may require denser spatial sampling to reconstruct patchy distributions, whereas deep-layer monitoring may allow coarser sampling grids </w:t>
      </w:r>
      <w:r>
        <w:lastRenderedPageBreak/>
        <w:t>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r w:rsidR="002B45C6" w:rsidRPr="00CD3652">
        <w:rPr>
          <w:i/>
          <w:iCs/>
        </w:rPr>
        <w:t>μ</w:t>
      </w:r>
      <w:r w:rsidR="002B45C6" w:rsidRPr="00CD3652">
        <w:rPr>
          <w:i/>
          <w:iCs/>
          <w:vertAlign w:val="subscript"/>
        </w:rPr>
        <w:t>d</w:t>
      </w:r>
      <w:r w:rsidR="002B45C6" w:rsidRPr="00BC5CC1">
        <w:t xml:space="preserve"> can remain relatively robust under </w:t>
      </w:r>
      <w:r w:rsidR="00E37436">
        <w:t xml:space="preserve">reduced </w:t>
      </w:r>
      <w:r>
        <w:t xml:space="preserve">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lastRenderedPageBreak/>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w:t>
      </w:r>
      <w:r w:rsidR="00B427B8" w:rsidRPr="00BC5CC1">
        <w:t>undersampled reference as truth) can become 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40"/>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 xml:space="preserve">At the same time, extrapolating directly from simulations to natural systems requires care because real eDNA fields may violate the simplifying assumptions of the </w:t>
      </w:r>
      <w:r w:rsidR="00690C1C" w:rsidRPr="00CC24BD">
        <w:lastRenderedPageBreak/>
        <w:t>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(Shaffer et 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3D8F5ECF" w:rsidR="00286ADA" w:rsidRDefault="00587753" w:rsidP="001643E6">
      <w:pPr>
        <w:pStyle w:val="p3"/>
        <w:spacing w:before="0" w:beforeAutospacing="0" w:after="0" w:afterAutospacing="0" w:line="480" w:lineRule="auto"/>
        <w:jc w:val="both"/>
      </w:pPr>
      <w:r>
        <w:br/>
      </w:r>
      <w:r w:rsidRPr="00587753">
        <w:t xml:space="preserve">In addition, eDNA observation error is unlikely to be purely Gaussian, with variability arising from sources such as PCR bias, compositional constraints, incomplete calibration, and heterogeneity in filtration or extraction efficiency (Kelly et al., 2019; Gloor et al., 2017; Shaffer et al., 2025; Bessey et al., 2020). Our framework accounts for these sources (Guri et al., 2025), so they are unlikely to bias the results presented here. Finally, ecological processes such as migration, schooling, habitat discontinuities, or patchy prey fields can generate multi-scale patterns that </w:t>
      </w:r>
      <w:r w:rsidRPr="00587753">
        <w:lastRenderedPageBreak/>
        <w:t>depart from a single characteristic length-scale (Wagner &amp; Fortin, 2005).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 xml:space="preserve">Importantly, because the length-scale parameter here reflects the integrated effects of organism distribution together with eDNA transport and decay, the depth patterns observed in this study may </w:t>
      </w:r>
      <w:r w:rsidR="00F3410A" w:rsidRPr="004507D0">
        <w:lastRenderedPageBreak/>
        <w:t>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6494558B" w:rsidR="00D34C42" w:rsidRDefault="005A5E64" w:rsidP="001643E6">
      <w:pPr>
        <w:pStyle w:val="p2"/>
        <w:spacing w:before="0" w:beforeAutospacing="0" w:after="0" w:afterAutospacing="0" w:line="480" w:lineRule="auto"/>
        <w:jc w:val="both"/>
      </w:pPr>
      <w:bookmarkStart w:id="43"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44" w:name="OLE_LINK1"/>
      <w:bookmarkEnd w:id="43"/>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45" w:name="OLE_LINK4"/>
      <w:bookmarkEnd w:id="44"/>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w:t>
      </w:r>
      <w:r w:rsidR="00B337A5" w:rsidRPr="000F42A5">
        <w:rPr>
          <w:rFonts w:ascii="Times New Roman" w:eastAsia="Times New Roman" w:hAnsi="Times New Roman" w:cs="Times New Roman"/>
        </w:rPr>
        <w:lastRenderedPageBreak/>
        <w:t>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45"/>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r w:rsidRPr="00CE2CA0">
        <w:rPr>
          <w:rFonts w:ascii="Times New Roman" w:eastAsia="Times New Roman" w:hAnsi="Times New Roman" w:cs="Times New Roman"/>
        </w:rPr>
        <w:lastRenderedPageBreak/>
        <w:t>programmes, these considerations are most appropriately governed by the patchiest taxon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t xml:space="preserve">For managers and survey designers the practical message is that effort should be set by the patchiness of the taxa a programme is required to resolve and by the decision the data must support, and that both can be specified in advance rather than discovered afterwards.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 xml:space="preserve">. </w:t>
      </w:r>
    </w:p>
    <w:p w14:paraId="07D5FE49" w14:textId="77777777" w:rsidR="002877EE" w:rsidRDefault="003A4273" w:rsidP="001643E6">
      <w:pPr>
        <w:spacing w:after="0" w:line="480" w:lineRule="auto"/>
      </w:pPr>
      <w:r>
        <w:br w:type="page"/>
      </w:r>
      <w:bookmarkStart w:id="46" w:name="fig:mu_rho_N"/>
      <w:bookmarkStart w:id="47" w:name="appendix"/>
      <w:bookmarkEnd w:id="38"/>
      <w:bookmarkEnd w:id="39"/>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1FCB494" w14:textId="77777777" w:rsidR="004475F1" w:rsidRDefault="004475F1">
      <w:pPr>
        <w:pStyle w:val="BodyText"/>
        <w:spacing w:line="480" w:lineRule="auto"/>
        <w:rPr>
          <w:b/>
        </w:rPr>
      </w:pPr>
    </w:p>
    <w:p w14:paraId="50E20B05" w14:textId="3F8E526B" w:rsidR="000D6CB9" w:rsidRDefault="00000000">
      <w:pPr>
        <w:pStyle w:val="BodyText"/>
        <w:spacing w:line="480" w:lineRule="auto"/>
      </w:pPr>
      <w:r>
        <w:rPr>
          <w:b/>
        </w:rPr>
        <w:t>Conflict of interest statement</w:t>
      </w:r>
    </w:p>
    <w:p w14:paraId="0ACDADA4" w14:textId="77777777" w:rsidR="000D6CB9" w:rsidRDefault="00000000">
      <w:pPr>
        <w:pStyle w:val="BodyText"/>
        <w:spacing w:line="480" w:lineRule="auto"/>
      </w:pPr>
      <w:r>
        <w:t>The authors declare no conflict of interest.</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Zenodo repository with </w:t>
      </w:r>
      <w:r w:rsidR="007C4C73" w:rsidRPr="00957362">
        <w:rPr>
          <w:rFonts w:ascii="Times New Roman" w:hAnsi="Times New Roman"/>
          <w:bCs/>
        </w:rPr>
        <w:t xml:space="preserve">DOI number 10.5281/zenodo.21141367 and the code can be found on GitHub repository </w:t>
      </w:r>
      <w:hyperlink r:id="rId21"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46"/>
    <w:bookmarkEnd w:id="47"/>
    <w:p w14:paraId="1BCB8C1F" w14:textId="77777777" w:rsidR="001C4DF2" w:rsidRPr="001C4DF2" w:rsidRDefault="00F553D1" w:rsidP="00623D17">
      <w:pPr>
        <w:pStyle w:val="Bibliography"/>
        <w:spacing w:line="240" w:lineRule="auto"/>
      </w:pPr>
      <w:r w:rsidRPr="007A589B">
        <w:fldChar w:fldCharType="begin"/>
      </w:r>
      <w:r w:rsidR="001C4DF2">
        <w:instrText xml:space="preserve"> ADDIN ZOTERO_BIBL {"uncited":[],"omitted":[],"custom":[]} CSL_BIBLIOGRAPHY </w:instrText>
      </w:r>
      <w:r w:rsidRPr="007A589B">
        <w:fldChar w:fldCharType="separate"/>
      </w:r>
      <w:r w:rsidR="001C4DF2" w:rsidRPr="001C4DF2">
        <w:t xml:space="preserve">Baetscher, D. S., Omori, K. L., Goethel, D. R., Shelton, A. O., Berger, A. M., Ledger, K. J., Nichols, K. M., &amp; Larson, W. A. (2025). The Pragmatic Sceptic: A Practical Approach for Integrating Environmental </w:t>
      </w:r>
      <w:r w:rsidR="001C4DF2" w:rsidRPr="001C4DF2">
        <w:rPr>
          <w:smallCaps/>
        </w:rPr>
        <w:t>DNA</w:t>
      </w:r>
      <w:r w:rsidR="001C4DF2" w:rsidRPr="001C4DF2">
        <w:t xml:space="preserve"> Into Marine Stock Assessment and Fisheries Management. </w:t>
      </w:r>
      <w:r w:rsidR="001C4DF2" w:rsidRPr="001C4DF2">
        <w:rPr>
          <w:i/>
          <w:iCs/>
        </w:rPr>
        <w:t>Fish and Fisheries</w:t>
      </w:r>
      <w:r w:rsidR="001C4DF2" w:rsidRPr="001C4DF2">
        <w:t>, faf.70001. https://doi.org/10.1111/faf.70001</w:t>
      </w:r>
    </w:p>
    <w:p w14:paraId="6ACB4D63" w14:textId="77777777" w:rsidR="001C4DF2" w:rsidRPr="001C4DF2" w:rsidRDefault="001C4DF2" w:rsidP="00623D17">
      <w:pPr>
        <w:pStyle w:val="Bibliography"/>
        <w:spacing w:line="240" w:lineRule="auto"/>
      </w:pPr>
      <w:r w:rsidRPr="001C4DF2">
        <w:t xml:space="preserve">Bessey, C., Jarman, S. N., Berry, O., Olsen, Y. S., Bunce, M., Simpson, T., Power, M., McLaughlin, J., Edgar, G. J., &amp; Keesing, J. (2020). Maximizing fish detection with eDNA metabarcoding. </w:t>
      </w:r>
      <w:r w:rsidRPr="001C4DF2">
        <w:rPr>
          <w:i/>
          <w:iCs/>
        </w:rPr>
        <w:t>Environmental DNA</w:t>
      </w:r>
      <w:r w:rsidRPr="001C4DF2">
        <w:t xml:space="preserve">, </w:t>
      </w:r>
      <w:r w:rsidRPr="001C4DF2">
        <w:rPr>
          <w:i/>
          <w:iCs/>
        </w:rPr>
        <w:t>2</w:t>
      </w:r>
      <w:r w:rsidRPr="001C4DF2">
        <w:t>(4), 493–504. https://doi.org/10.1002/edn3.74</w:t>
      </w:r>
    </w:p>
    <w:p w14:paraId="1464BDC9" w14:textId="77777777" w:rsidR="001C4DF2" w:rsidRPr="001C4DF2" w:rsidRDefault="001C4DF2" w:rsidP="00623D17">
      <w:pPr>
        <w:pStyle w:val="Bibliography"/>
        <w:spacing w:line="240" w:lineRule="auto"/>
      </w:pPr>
      <w:r w:rsidRPr="001C4DF2">
        <w:t xml:space="preserve">Brandão‐Dias, P. F. P., Hallack, D. M. C., Snyder, E. D., Tank, J. L., Bolster, D., Volponi, S., Shogren, A. J., Lamberti, G. A., Bibby, K., &amp; Egan, S. P. (2023). Particle size influences decay rates of environmental DNA in aquatic systems. </w:t>
      </w:r>
      <w:r w:rsidRPr="001C4DF2">
        <w:rPr>
          <w:i/>
          <w:iCs/>
        </w:rPr>
        <w:t>Molecular Ecology Resources</w:t>
      </w:r>
      <w:r w:rsidRPr="001C4DF2">
        <w:t xml:space="preserve">, </w:t>
      </w:r>
      <w:r w:rsidRPr="001C4DF2">
        <w:rPr>
          <w:i/>
          <w:iCs/>
        </w:rPr>
        <w:t>23</w:t>
      </w:r>
      <w:r w:rsidRPr="001C4DF2">
        <w:t>(4), 756–770. https://doi.org/10.1111/1755-0998.13751</w:t>
      </w:r>
    </w:p>
    <w:p w14:paraId="77D1945E" w14:textId="77777777" w:rsidR="001C4DF2" w:rsidRPr="001C4DF2" w:rsidRDefault="001C4DF2" w:rsidP="00623D17">
      <w:pPr>
        <w:pStyle w:val="Bibliography"/>
        <w:spacing w:line="240" w:lineRule="auto"/>
      </w:pPr>
      <w:r w:rsidRPr="001C4DF2">
        <w:t xml:space="preserve">Callahan, B. J., McMurdie, P. J., Rosen, M. J., Han, A. W., Johnson, A. J. A., &amp; Holmes, S. P. (2016). DADA2: High-resolution sample inference from Illumina amplicon data. </w:t>
      </w:r>
      <w:r w:rsidRPr="001C4DF2">
        <w:rPr>
          <w:i/>
          <w:iCs/>
        </w:rPr>
        <w:t>Nature Methods</w:t>
      </w:r>
      <w:r w:rsidRPr="001C4DF2">
        <w:t xml:space="preserve">, </w:t>
      </w:r>
      <w:r w:rsidRPr="001C4DF2">
        <w:rPr>
          <w:i/>
          <w:iCs/>
        </w:rPr>
        <w:t>13</w:t>
      </w:r>
      <w:r w:rsidRPr="001C4DF2">
        <w:t>(7), 581–583. https://doi.org/10.1038/nmeth.3869</w:t>
      </w:r>
    </w:p>
    <w:p w14:paraId="3E35DDDF" w14:textId="77777777" w:rsidR="001C4DF2" w:rsidRPr="001C4DF2" w:rsidRDefault="001C4DF2" w:rsidP="00623D17">
      <w:pPr>
        <w:pStyle w:val="Bibliography"/>
        <w:spacing w:line="240" w:lineRule="auto"/>
      </w:pPr>
      <w:r w:rsidRPr="001C4DF2">
        <w:lastRenderedPageBreak/>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1C4DF2">
        <w:rPr>
          <w:i/>
          <w:iCs/>
        </w:rPr>
        <w:t>Ecography</w:t>
      </w:r>
      <w:r w:rsidRPr="001C4DF2">
        <w:t xml:space="preserve">, </w:t>
      </w:r>
      <w:r w:rsidRPr="001C4DF2">
        <w:rPr>
          <w:i/>
          <w:iCs/>
        </w:rPr>
        <w:t>30</w:t>
      </w:r>
      <w:r w:rsidRPr="001C4DF2">
        <w:t>(5), 609–628. https://doi.org/10.1111/j.2007.0906-7590.05171.x</w:t>
      </w:r>
    </w:p>
    <w:p w14:paraId="338D9A4A" w14:textId="77777777" w:rsidR="001C4DF2" w:rsidRPr="001C4DF2" w:rsidRDefault="001C4DF2" w:rsidP="00623D17">
      <w:pPr>
        <w:pStyle w:val="Bibliography"/>
        <w:spacing w:line="240" w:lineRule="auto"/>
      </w:pPr>
      <w:r w:rsidRPr="001C4DF2">
        <w:t xml:space="preserve">Fortin, M.-J., Drapeau, P., &amp; Legendre, P. (1989). Spatial autocorrelation and sampling design in plant ecology. </w:t>
      </w:r>
      <w:r w:rsidRPr="001C4DF2">
        <w:rPr>
          <w:i/>
          <w:iCs/>
        </w:rPr>
        <w:t>Vegetatio</w:t>
      </w:r>
      <w:r w:rsidRPr="001C4DF2">
        <w:t xml:space="preserve">, </w:t>
      </w:r>
      <w:r w:rsidRPr="001C4DF2">
        <w:rPr>
          <w:i/>
          <w:iCs/>
        </w:rPr>
        <w:t>83</w:t>
      </w:r>
      <w:r w:rsidRPr="001C4DF2">
        <w:t>(1–2), 209–222. https://doi.org/10.1007/BF00031693</w:t>
      </w:r>
    </w:p>
    <w:p w14:paraId="5A64E066" w14:textId="77777777" w:rsidR="001C4DF2" w:rsidRPr="001C4DF2" w:rsidRDefault="001C4DF2" w:rsidP="00623D17">
      <w:pPr>
        <w:pStyle w:val="Bibliography"/>
        <w:spacing w:line="240" w:lineRule="auto"/>
      </w:pPr>
      <w:r w:rsidRPr="001C4DF2">
        <w:t xml:space="preserve">Fukaya, K., Murakami, H., Yoon, S., Minami, K., Osada, Y., Yamamoto, S., Masuda, R., Kasai, A., Miyashita, K., Minamoto, T., &amp; Kondoh, M. (2021). Estimating fish population abundance by integrating quantitative data on environmental DNA and hydrodynamic modelling. </w:t>
      </w:r>
      <w:r w:rsidRPr="001C4DF2">
        <w:rPr>
          <w:i/>
          <w:iCs/>
        </w:rPr>
        <w:t>Molecular Ecology</w:t>
      </w:r>
      <w:r w:rsidRPr="001C4DF2">
        <w:t xml:space="preserve">, </w:t>
      </w:r>
      <w:r w:rsidRPr="001C4DF2">
        <w:rPr>
          <w:i/>
          <w:iCs/>
        </w:rPr>
        <w:t>30</w:t>
      </w:r>
      <w:r w:rsidRPr="001C4DF2">
        <w:t>(13), 3057–3067. https://doi.org/10.1111/mec.15530</w:t>
      </w:r>
    </w:p>
    <w:p w14:paraId="6B0188E3" w14:textId="77777777" w:rsidR="001C4DF2" w:rsidRPr="001C4DF2" w:rsidRDefault="001C4DF2" w:rsidP="00623D17">
      <w:pPr>
        <w:pStyle w:val="Bibliography"/>
        <w:spacing w:line="240" w:lineRule="auto"/>
      </w:pPr>
      <w:r w:rsidRPr="001C4DF2">
        <w:t xml:space="preserve">García‐Machado, E., Normandeau, E., Côté, G., Caza‐Allard, I., Babin, C., &amp; Bernatchez, L. (2024). Evaluating Sampling Designs to Survey Fish Diversity in Lakes From Northern Temperate Zones. </w:t>
      </w:r>
      <w:r w:rsidRPr="001C4DF2">
        <w:rPr>
          <w:i/>
          <w:iCs/>
        </w:rPr>
        <w:t>Environmental DNA</w:t>
      </w:r>
      <w:r w:rsidRPr="001C4DF2">
        <w:t xml:space="preserve">, </w:t>
      </w:r>
      <w:r w:rsidRPr="001C4DF2">
        <w:rPr>
          <w:i/>
          <w:iCs/>
        </w:rPr>
        <w:t>6</w:t>
      </w:r>
      <w:r w:rsidRPr="001C4DF2">
        <w:t>(6), e70015. https://doi.org/10.1002/edn3.70015</w:t>
      </w:r>
    </w:p>
    <w:p w14:paraId="34ED5285" w14:textId="77777777" w:rsidR="001C4DF2" w:rsidRPr="001C4DF2" w:rsidRDefault="001C4DF2" w:rsidP="00623D17">
      <w:pPr>
        <w:pStyle w:val="Bibliography"/>
        <w:spacing w:line="240" w:lineRule="auto"/>
      </w:pPr>
      <w:r w:rsidRPr="001C4DF2">
        <w:t xml:space="preserve">Gloor, G. B., Macklaim, J. M., Pawlowsky-Glahn, V., &amp; Egozcue, J. J. (2017). Microbiome Datasets Are Compositional: And This Is Not Optional. </w:t>
      </w:r>
      <w:r w:rsidRPr="001C4DF2">
        <w:rPr>
          <w:i/>
          <w:iCs/>
        </w:rPr>
        <w:t>Frontiers in Microbiology</w:t>
      </w:r>
      <w:r w:rsidRPr="001C4DF2">
        <w:t xml:space="preserve">, </w:t>
      </w:r>
      <w:r w:rsidRPr="001C4DF2">
        <w:rPr>
          <w:i/>
          <w:iCs/>
        </w:rPr>
        <w:t>8</w:t>
      </w:r>
      <w:r w:rsidRPr="001C4DF2">
        <w:t>, 2224. https://doi.org/10.3389/fmicb.2017.02224</w:t>
      </w:r>
    </w:p>
    <w:p w14:paraId="0F837AEE" w14:textId="77777777" w:rsidR="001C4DF2" w:rsidRPr="001C4DF2" w:rsidRDefault="001C4DF2" w:rsidP="00623D17">
      <w:pPr>
        <w:pStyle w:val="Bibliography"/>
        <w:spacing w:line="240" w:lineRule="auto"/>
      </w:pPr>
      <w:r w:rsidRPr="001C4DF2">
        <w:t xml:space="preserve">Gold, Z., Sprague, J., Kushner, D. J., Marin, E. Z., &amp; Barber, P. H. (2021). eDNA metabarcoding as a biomonitoring tool for marine protected areas. </w:t>
      </w:r>
      <w:r w:rsidRPr="001C4DF2">
        <w:rPr>
          <w:i/>
          <w:iCs/>
        </w:rPr>
        <w:t>PLoS ONE</w:t>
      </w:r>
      <w:r w:rsidRPr="001C4DF2">
        <w:t xml:space="preserve">, </w:t>
      </w:r>
      <w:r w:rsidRPr="001C4DF2">
        <w:rPr>
          <w:i/>
          <w:iCs/>
        </w:rPr>
        <w:t>16</w:t>
      </w:r>
      <w:r w:rsidRPr="001C4DF2">
        <w:t>(2 February 2021), 1–19. https://doi.org/10.1371/journal.pone.0238557</w:t>
      </w:r>
    </w:p>
    <w:p w14:paraId="420FC24B" w14:textId="77777777" w:rsidR="001C4DF2" w:rsidRPr="001C4DF2" w:rsidRDefault="001C4DF2" w:rsidP="00623D17">
      <w:pPr>
        <w:pStyle w:val="Bibliography"/>
        <w:spacing w:line="240" w:lineRule="auto"/>
      </w:pPr>
      <w:r w:rsidRPr="001C4DF2">
        <w:t xml:space="preserve">Guri, G., Liu, O. R., Kelly, R. P., Shaffer, M. R., Parsons, K. M., Ramón-Laca, A., Nichols, K. M., Brandão-Dias, P. F. P., Wells, A., &amp; Shelton, A. O. (2025). </w:t>
      </w:r>
      <w:r w:rsidRPr="001C4DF2">
        <w:rPr>
          <w:i/>
          <w:iCs/>
        </w:rPr>
        <w:t>Quantitative, Multispecies Monitoring at a Continental Scale</w:t>
      </w:r>
      <w:r w:rsidRPr="001C4DF2">
        <w:t>. Ecology. https://doi.org/10.1101/2025.10.30.685180</w:t>
      </w:r>
    </w:p>
    <w:p w14:paraId="719D9C2C" w14:textId="77777777" w:rsidR="001C4DF2" w:rsidRPr="001C4DF2" w:rsidRDefault="001C4DF2" w:rsidP="00623D17">
      <w:pPr>
        <w:pStyle w:val="Bibliography"/>
        <w:spacing w:line="240" w:lineRule="auto"/>
      </w:pPr>
      <w:r w:rsidRPr="001C4DF2">
        <w:t xml:space="preserve">Guri, G., Shelton, A. O., Kelly, R. P., Yoccoz, N., Johansen, T., Præbel, K., Hanebrekke, T., Ray, J. L., Fall, J., &amp; Westgaard, J.-I. (2024). Predicting trawl catches using environmental DNA. </w:t>
      </w:r>
      <w:r w:rsidRPr="001C4DF2">
        <w:rPr>
          <w:i/>
          <w:iCs/>
        </w:rPr>
        <w:t>ICES Journal of Marine Science</w:t>
      </w:r>
      <w:r w:rsidRPr="001C4DF2">
        <w:t>, fsae097. https://doi.org/10.1093/icesjms/fsae097</w:t>
      </w:r>
    </w:p>
    <w:p w14:paraId="467D3786" w14:textId="77777777" w:rsidR="001C4DF2" w:rsidRPr="001C4DF2" w:rsidRDefault="001C4DF2" w:rsidP="00623D17">
      <w:pPr>
        <w:pStyle w:val="Bibliography"/>
        <w:spacing w:line="240" w:lineRule="auto"/>
      </w:pPr>
      <w:r w:rsidRPr="001C4DF2">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sidRPr="001C4DF2">
        <w:rPr>
          <w:i/>
          <w:iCs/>
        </w:rPr>
        <w:t>Environmental DNA</w:t>
      </w:r>
      <w:r w:rsidRPr="001C4DF2">
        <w:t>, edn3.409. https://doi.org/10.1002/edn3.409</w:t>
      </w:r>
    </w:p>
    <w:p w14:paraId="4CC7ECF7" w14:textId="77777777" w:rsidR="001C4DF2" w:rsidRPr="001C4DF2" w:rsidRDefault="001C4DF2" w:rsidP="00623D17">
      <w:pPr>
        <w:pStyle w:val="Bibliography"/>
        <w:spacing w:line="240" w:lineRule="auto"/>
      </w:pPr>
      <w:r w:rsidRPr="001C4DF2">
        <w:t xml:space="preserve">Jo, T. S., Murakami, H., &amp; Nakadai, R. (2025). Spatial dispersal of environmental DNA particles in lentic and marine ecosystems: An overview and synthesis. </w:t>
      </w:r>
      <w:r w:rsidRPr="001C4DF2">
        <w:rPr>
          <w:i/>
          <w:iCs/>
        </w:rPr>
        <w:t>Ecological Indicators</w:t>
      </w:r>
      <w:r w:rsidRPr="001C4DF2">
        <w:t xml:space="preserve">, </w:t>
      </w:r>
      <w:r w:rsidRPr="001C4DF2">
        <w:rPr>
          <w:i/>
          <w:iCs/>
        </w:rPr>
        <w:t>174</w:t>
      </w:r>
      <w:r w:rsidRPr="001C4DF2">
        <w:t>, 113469. https://doi.org/10.1016/j.ecolind.2025.113469</w:t>
      </w:r>
    </w:p>
    <w:p w14:paraId="2CDA9F0A" w14:textId="77777777" w:rsidR="001C4DF2" w:rsidRPr="001C4DF2" w:rsidRDefault="001C4DF2" w:rsidP="00623D17">
      <w:pPr>
        <w:pStyle w:val="Bibliography"/>
        <w:spacing w:line="240" w:lineRule="auto"/>
      </w:pPr>
      <w:r w:rsidRPr="001C4DF2">
        <w:t xml:space="preserve">Kaufman, C. G., &amp; Shaby, B. A. (2013). The role of the range parameter for estimation and prediction in geostatistics. </w:t>
      </w:r>
      <w:r w:rsidRPr="001C4DF2">
        <w:rPr>
          <w:i/>
          <w:iCs/>
        </w:rPr>
        <w:t>Biometrika</w:t>
      </w:r>
      <w:r w:rsidRPr="001C4DF2">
        <w:t xml:space="preserve">, </w:t>
      </w:r>
      <w:r w:rsidRPr="001C4DF2">
        <w:rPr>
          <w:i/>
          <w:iCs/>
        </w:rPr>
        <w:t>100</w:t>
      </w:r>
      <w:r w:rsidRPr="001C4DF2">
        <w:t>(2), 473–484. https://doi.org/10.1093/biomet/ass079</w:t>
      </w:r>
    </w:p>
    <w:p w14:paraId="5A141E45" w14:textId="77777777" w:rsidR="001C4DF2" w:rsidRPr="001C4DF2" w:rsidRDefault="001C4DF2" w:rsidP="00623D17">
      <w:pPr>
        <w:pStyle w:val="Bibliography"/>
        <w:spacing w:line="240" w:lineRule="auto"/>
      </w:pPr>
      <w:r w:rsidRPr="001C4DF2">
        <w:t xml:space="preserve">Kelly, R. P., Shelton, A. O., &amp; Gallego, R. (2019). Understanding PCR Processes to Draw Meaningful Conclusions from Environmental DNA Studies. </w:t>
      </w:r>
      <w:r w:rsidRPr="001C4DF2">
        <w:rPr>
          <w:i/>
          <w:iCs/>
        </w:rPr>
        <w:t>Scientific Reports</w:t>
      </w:r>
      <w:r w:rsidRPr="001C4DF2">
        <w:t xml:space="preserve">, </w:t>
      </w:r>
      <w:r w:rsidRPr="001C4DF2">
        <w:rPr>
          <w:i/>
          <w:iCs/>
        </w:rPr>
        <w:t>9</w:t>
      </w:r>
      <w:r w:rsidRPr="001C4DF2">
        <w:t>(1), 1–14. https://doi.org/10.1038/s41598-019-48546-x</w:t>
      </w:r>
    </w:p>
    <w:p w14:paraId="50DA1C86" w14:textId="77777777" w:rsidR="001C4DF2" w:rsidRPr="001C4DF2" w:rsidRDefault="001C4DF2" w:rsidP="00623D17">
      <w:pPr>
        <w:pStyle w:val="Bibliography"/>
        <w:spacing w:line="240" w:lineRule="auto"/>
      </w:pPr>
      <w:r w:rsidRPr="001C4DF2">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1C4DF2">
        <w:rPr>
          <w:i/>
          <w:iCs/>
        </w:rPr>
        <w:t>Environmental DNA</w:t>
      </w:r>
      <w:r w:rsidRPr="001C4DF2">
        <w:t xml:space="preserve">, </w:t>
      </w:r>
      <w:r w:rsidRPr="001C4DF2">
        <w:rPr>
          <w:i/>
          <w:iCs/>
        </w:rPr>
        <w:t>3</w:t>
      </w:r>
      <w:r w:rsidRPr="001C4DF2">
        <w:t>(6), 1142–1155. https://doi.org/10.1002/edn3.236</w:t>
      </w:r>
    </w:p>
    <w:p w14:paraId="5A852A41" w14:textId="77777777" w:rsidR="001C4DF2" w:rsidRPr="001C4DF2" w:rsidRDefault="001C4DF2" w:rsidP="00623D17">
      <w:pPr>
        <w:pStyle w:val="Bibliography"/>
        <w:spacing w:line="240" w:lineRule="auto"/>
      </w:pPr>
      <w:r w:rsidRPr="001C4DF2">
        <w:lastRenderedPageBreak/>
        <w:t xml:space="preserve">Laroche, F. (2024). Efficient sampling designs to assess biodiversity spatial autocorrelation: Should we go fractal? </w:t>
      </w:r>
      <w:r w:rsidRPr="001C4DF2">
        <w:rPr>
          <w:i/>
          <w:iCs/>
        </w:rPr>
        <w:t>Peer Community Journal</w:t>
      </w:r>
      <w:r w:rsidRPr="001C4DF2">
        <w:t xml:space="preserve">, </w:t>
      </w:r>
      <w:r w:rsidRPr="001C4DF2">
        <w:rPr>
          <w:i/>
          <w:iCs/>
        </w:rPr>
        <w:t>4</w:t>
      </w:r>
      <w:r w:rsidRPr="001C4DF2">
        <w:t>, e76. https://doi.org/10.24072/pcjournal.454</w:t>
      </w:r>
    </w:p>
    <w:p w14:paraId="41B2D6D4" w14:textId="77777777" w:rsidR="001C4DF2" w:rsidRPr="001C4DF2" w:rsidRDefault="001C4DF2" w:rsidP="00623D17">
      <w:pPr>
        <w:pStyle w:val="Bibliography"/>
        <w:spacing w:line="240" w:lineRule="auto"/>
      </w:pPr>
      <w:r w:rsidRPr="001C4DF2">
        <w:t xml:space="preserve">Lewy, P., &amp; Kristensen, K. (2009). Modelling the distribution of fish accounting for spatial correlation and overdispersion. </w:t>
      </w:r>
      <w:r w:rsidRPr="001C4DF2">
        <w:rPr>
          <w:i/>
          <w:iCs/>
        </w:rPr>
        <w:t>Canadian Journal of Fisheries and Aquatic Sciences</w:t>
      </w:r>
      <w:r w:rsidRPr="001C4DF2">
        <w:t xml:space="preserve">, </w:t>
      </w:r>
      <w:r w:rsidRPr="001C4DF2">
        <w:rPr>
          <w:i/>
          <w:iCs/>
        </w:rPr>
        <w:t>66</w:t>
      </w:r>
      <w:r w:rsidRPr="001C4DF2">
        <w:t>(10), 1809–1820. https://doi.org/10.1139/F09-114</w:t>
      </w:r>
    </w:p>
    <w:p w14:paraId="04E86D58" w14:textId="77777777" w:rsidR="001C4DF2" w:rsidRPr="001C4DF2" w:rsidRDefault="001C4DF2" w:rsidP="00623D17">
      <w:pPr>
        <w:pStyle w:val="Bibliography"/>
        <w:spacing w:line="240" w:lineRule="auto"/>
      </w:pPr>
      <w:r w:rsidRPr="001C4DF2">
        <w:t xml:space="preserve">Liu, O. R., Shelton, A. O., Ramón-Laca, A., Nichols, K. M., Ward, E. J., Phillips, E. M., Zamon, J. E., Wells, A., &amp; Kelly, R. P. (2026). Mapping the marine distribution of eulachon (Thaleichthys pacificus) in the Northeast Pacific using environmental DNA. </w:t>
      </w:r>
      <w:r w:rsidRPr="001C4DF2">
        <w:rPr>
          <w:i/>
          <w:iCs/>
        </w:rPr>
        <w:t>Communications Biology</w:t>
      </w:r>
      <w:r w:rsidRPr="001C4DF2">
        <w:t xml:space="preserve">, </w:t>
      </w:r>
      <w:r w:rsidRPr="001C4DF2">
        <w:rPr>
          <w:i/>
          <w:iCs/>
        </w:rPr>
        <w:t>9</w:t>
      </w:r>
      <w:r w:rsidRPr="001C4DF2">
        <w:t>(1), 465. https://doi.org/10.1038/s42003-026-09733-5</w:t>
      </w:r>
    </w:p>
    <w:p w14:paraId="63B772C7" w14:textId="77777777" w:rsidR="001C4DF2" w:rsidRPr="001C4DF2" w:rsidRDefault="001C4DF2" w:rsidP="00623D17">
      <w:pPr>
        <w:pStyle w:val="Bibliography"/>
        <w:spacing w:line="240" w:lineRule="auto"/>
      </w:pPr>
      <w:r w:rsidRPr="001C4DF2">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sidRPr="001C4DF2">
        <w:rPr>
          <w:i/>
          <w:iCs/>
        </w:rPr>
        <w:t>Royal Society Open Science</w:t>
      </w:r>
      <w:r w:rsidRPr="001C4DF2">
        <w:t>. https://doi.org/10.1098/rsos.150088</w:t>
      </w:r>
    </w:p>
    <w:p w14:paraId="0FBB23C6" w14:textId="77777777" w:rsidR="001C4DF2" w:rsidRPr="001C4DF2" w:rsidRDefault="001C4DF2" w:rsidP="00623D17">
      <w:pPr>
        <w:pStyle w:val="Bibliography"/>
        <w:spacing w:line="240" w:lineRule="auto"/>
      </w:pPr>
      <w:r w:rsidRPr="001C4DF2">
        <w:t xml:space="preserve">Paciorek, C. J. (2010). The Importance of Scale for Spatial-Confounding Bias and Precision of Spatial Regression Estimators. </w:t>
      </w:r>
      <w:r w:rsidRPr="001C4DF2">
        <w:rPr>
          <w:i/>
          <w:iCs/>
        </w:rPr>
        <w:t>Statistical Science</w:t>
      </w:r>
      <w:r w:rsidRPr="001C4DF2">
        <w:t xml:space="preserve">, </w:t>
      </w:r>
      <w:r w:rsidRPr="001C4DF2">
        <w:rPr>
          <w:i/>
          <w:iCs/>
        </w:rPr>
        <w:t>25</w:t>
      </w:r>
      <w:r w:rsidRPr="001C4DF2">
        <w:t>(1). https://doi.org/10.1214/10-STS326</w:t>
      </w:r>
    </w:p>
    <w:p w14:paraId="1958107D" w14:textId="77777777" w:rsidR="001C4DF2" w:rsidRPr="001C4DF2" w:rsidRDefault="001C4DF2" w:rsidP="00623D17">
      <w:pPr>
        <w:pStyle w:val="Bibliography"/>
        <w:spacing w:line="240" w:lineRule="auto"/>
      </w:pPr>
      <w:r w:rsidRPr="001C4DF2">
        <w:t xml:space="preserve">Paciorek, C. J., &amp; Schervish, M. J. (2006). Spatial modelling using a new class of nonstationary covariance functions. </w:t>
      </w:r>
      <w:r w:rsidRPr="001C4DF2">
        <w:rPr>
          <w:i/>
          <w:iCs/>
        </w:rPr>
        <w:t>Environmetrics</w:t>
      </w:r>
      <w:r w:rsidRPr="001C4DF2">
        <w:t xml:space="preserve">, </w:t>
      </w:r>
      <w:r w:rsidRPr="001C4DF2">
        <w:rPr>
          <w:i/>
          <w:iCs/>
        </w:rPr>
        <w:t>17</w:t>
      </w:r>
      <w:r w:rsidRPr="001C4DF2">
        <w:t>(5), 483–506. https://doi.org/10.1002/env.785</w:t>
      </w:r>
    </w:p>
    <w:p w14:paraId="627D4FAB" w14:textId="77777777" w:rsidR="001C4DF2" w:rsidRPr="001C4DF2" w:rsidRDefault="001C4DF2" w:rsidP="00623D17">
      <w:pPr>
        <w:pStyle w:val="Bibliography"/>
        <w:spacing w:line="240" w:lineRule="auto"/>
      </w:pPr>
      <w:r w:rsidRPr="001C4DF2">
        <w:t xml:space="preserve">Perkins, N. R., Prall, M., Chakraborty, A., White, J. W., Baskett, M. L., &amp; Morgan, S. G. (2021). Quantifying the statistical power of monitoring programs for marine protected areas. </w:t>
      </w:r>
      <w:r w:rsidRPr="001C4DF2">
        <w:rPr>
          <w:i/>
          <w:iCs/>
        </w:rPr>
        <w:t>Ecological Applications</w:t>
      </w:r>
      <w:r w:rsidRPr="001C4DF2">
        <w:t xml:space="preserve">, </w:t>
      </w:r>
      <w:r w:rsidRPr="001C4DF2">
        <w:rPr>
          <w:i/>
          <w:iCs/>
        </w:rPr>
        <w:t>31</w:t>
      </w:r>
      <w:r w:rsidRPr="001C4DF2">
        <w:t>(1), e2215. https://doi.org/10.1002/eap.2215</w:t>
      </w:r>
    </w:p>
    <w:p w14:paraId="7C663F2A" w14:textId="77777777" w:rsidR="001C4DF2" w:rsidRPr="001C4DF2" w:rsidRDefault="001C4DF2" w:rsidP="00623D17">
      <w:pPr>
        <w:pStyle w:val="Bibliography"/>
        <w:spacing w:line="240" w:lineRule="auto"/>
      </w:pPr>
      <w:r w:rsidRPr="001C4DF2">
        <w:t xml:space="preserve">Perret, J., Charpentier, A., Pradel, R., Papuga, G., &amp; Besnard, A. (2022). Spatially balanced sampling methods are always more precise than random ones for estimating the size of aggregated populations. </w:t>
      </w:r>
      <w:r w:rsidRPr="001C4DF2">
        <w:rPr>
          <w:i/>
          <w:iCs/>
        </w:rPr>
        <w:t>Methods in Ecology and Evolution</w:t>
      </w:r>
      <w:r w:rsidRPr="001C4DF2">
        <w:t xml:space="preserve">, </w:t>
      </w:r>
      <w:r w:rsidRPr="001C4DF2">
        <w:rPr>
          <w:i/>
          <w:iCs/>
        </w:rPr>
        <w:t>13</w:t>
      </w:r>
      <w:r w:rsidRPr="001C4DF2">
        <w:t>(12), 2743–2756. https://doi.org/10.1111/2041-210X.14015</w:t>
      </w:r>
    </w:p>
    <w:p w14:paraId="79922B9C" w14:textId="77777777" w:rsidR="001C4DF2" w:rsidRPr="001C4DF2" w:rsidRDefault="001C4DF2" w:rsidP="00623D17">
      <w:pPr>
        <w:pStyle w:val="Bibliography"/>
        <w:spacing w:line="240" w:lineRule="auto"/>
      </w:pPr>
      <w:r w:rsidRPr="001C4DF2">
        <w:t xml:space="preserve">Radinger, J., Britton, J. R., Carlson, S. M., Magurran, A. E., Alcaraz‐Hernández, J. D., Almodóvar, A., Benejam, L., Fernández‐Delgado, C., Nicola, G. G., Oliva‐Paterna, F. J., Torralva, M., &amp; García‐Berthou, E. (2019). Effective monitoring of freshwater fish. </w:t>
      </w:r>
      <w:r w:rsidRPr="001C4DF2">
        <w:rPr>
          <w:i/>
          <w:iCs/>
        </w:rPr>
        <w:t>Fish and Fisheries</w:t>
      </w:r>
      <w:r w:rsidRPr="001C4DF2">
        <w:t xml:space="preserve">, </w:t>
      </w:r>
      <w:r w:rsidRPr="001C4DF2">
        <w:rPr>
          <w:i/>
          <w:iCs/>
        </w:rPr>
        <w:t>20</w:t>
      </w:r>
      <w:r w:rsidRPr="001C4DF2">
        <w:t>(4), 729–747. https://doi.org/10.1111/faf.12373</w:t>
      </w:r>
    </w:p>
    <w:p w14:paraId="779FFB86" w14:textId="77777777" w:rsidR="001C4DF2" w:rsidRPr="001C4DF2" w:rsidRDefault="001C4DF2" w:rsidP="00623D17">
      <w:pPr>
        <w:pStyle w:val="Bibliography"/>
        <w:spacing w:line="240" w:lineRule="auto"/>
      </w:pPr>
      <w:r w:rsidRPr="001C4DF2">
        <w:t xml:space="preserve">Ramón-Laca, A., Wells, A., &amp; Park, L. (2021). A workflow for the relative quantification of multiple fish species from oceanic water samples using environmental DNA (eDNA) to support large-scale fishery surveys. </w:t>
      </w:r>
      <w:r w:rsidRPr="001C4DF2">
        <w:rPr>
          <w:i/>
          <w:iCs/>
        </w:rPr>
        <w:t>PLOS ONE</w:t>
      </w:r>
      <w:r w:rsidRPr="001C4DF2">
        <w:t xml:space="preserve">, </w:t>
      </w:r>
      <w:r w:rsidRPr="001C4DF2">
        <w:rPr>
          <w:i/>
          <w:iCs/>
        </w:rPr>
        <w:t>16</w:t>
      </w:r>
      <w:r w:rsidRPr="001C4DF2">
        <w:t>(9), e0257773. https://doi.org/10.1371/journal.pone.0257773</w:t>
      </w:r>
    </w:p>
    <w:p w14:paraId="4F814D9F" w14:textId="77777777" w:rsidR="001C4DF2" w:rsidRPr="001C4DF2" w:rsidRDefault="001C4DF2" w:rsidP="00623D17">
      <w:pPr>
        <w:pStyle w:val="Bibliography"/>
        <w:spacing w:line="240" w:lineRule="auto"/>
      </w:pPr>
      <w:r w:rsidRPr="001C4DF2">
        <w:t xml:space="preserve">Redfern, J., Ferguson, M., Becker, E., Hyrenbach, K., Good, C., Barlow, J., Kaschner, K., Baumgartner, M., Forney, K., Ballance, L., Fauchald, P., Halpin, P., Hamazaki, T., Pershing, A., Qian, S., Read, A., Reilly, S., Torres, L., &amp; Werne, F. (2006). Techniques for cetaceanhabitat modeling. </w:t>
      </w:r>
      <w:r w:rsidRPr="001C4DF2">
        <w:rPr>
          <w:i/>
          <w:iCs/>
        </w:rPr>
        <w:t>Marine Ecology Progress Series</w:t>
      </w:r>
      <w:r w:rsidRPr="001C4DF2">
        <w:t xml:space="preserve">, </w:t>
      </w:r>
      <w:r w:rsidRPr="001C4DF2">
        <w:rPr>
          <w:i/>
          <w:iCs/>
        </w:rPr>
        <w:t>310</w:t>
      </w:r>
      <w:r w:rsidRPr="001C4DF2">
        <w:t>, 271–295. https://doi.org/10.3354/meps310271</w:t>
      </w:r>
    </w:p>
    <w:p w14:paraId="2E8BB60A" w14:textId="77777777" w:rsidR="001C4DF2" w:rsidRPr="001C4DF2" w:rsidRDefault="001C4DF2" w:rsidP="00623D17">
      <w:pPr>
        <w:pStyle w:val="Bibliography"/>
        <w:spacing w:line="240" w:lineRule="auto"/>
      </w:pPr>
      <w:r w:rsidRPr="001C4DF2">
        <w:t xml:space="preserve">Rocha, A. D., Groen, T. A., Skidmore, A. K., &amp; Willemen, L. (2021). Role of Sampling Design When Predicting Spatially Dependent Ecological Data With Remote Sensing. </w:t>
      </w:r>
      <w:r w:rsidRPr="001C4DF2">
        <w:rPr>
          <w:i/>
          <w:iCs/>
        </w:rPr>
        <w:t>IEEE Transactions on Geoscience and Remote Sensing</w:t>
      </w:r>
      <w:r w:rsidRPr="001C4DF2">
        <w:t xml:space="preserve">, </w:t>
      </w:r>
      <w:r w:rsidRPr="001C4DF2">
        <w:rPr>
          <w:i/>
          <w:iCs/>
        </w:rPr>
        <w:t>59</w:t>
      </w:r>
      <w:r w:rsidRPr="001C4DF2">
        <w:t>(1), 663–674. https://doi.org/10.1109/TGRS.2020.2989216</w:t>
      </w:r>
    </w:p>
    <w:p w14:paraId="40D358FA" w14:textId="77777777" w:rsidR="001C4DF2" w:rsidRPr="001C4DF2" w:rsidRDefault="001C4DF2" w:rsidP="00623D17">
      <w:pPr>
        <w:pStyle w:val="Bibliography"/>
        <w:spacing w:line="240" w:lineRule="auto"/>
      </w:pPr>
      <w:r w:rsidRPr="001C4DF2">
        <w:t xml:space="preserve">Salter, I., Brandner, M., Djurhuus, A., Præbel, K., &amp; Wangensteen, O. (2026). Comparison of Environmental </w:t>
      </w:r>
      <w:r w:rsidRPr="001C4DF2">
        <w:rPr>
          <w:smallCaps/>
        </w:rPr>
        <w:t>DNA</w:t>
      </w:r>
      <w:r w:rsidRPr="001C4DF2">
        <w:t xml:space="preserve"> Metabarcoding and Trawl Data Highlights Gear Selectivity of Marine Demersal Fish Surveys on the Faroese Plateau. </w:t>
      </w:r>
      <w:r w:rsidRPr="001C4DF2">
        <w:rPr>
          <w:i/>
          <w:iCs/>
        </w:rPr>
        <w:t>Environmental DNA</w:t>
      </w:r>
      <w:r w:rsidRPr="001C4DF2">
        <w:t xml:space="preserve">, </w:t>
      </w:r>
      <w:r w:rsidRPr="001C4DF2">
        <w:rPr>
          <w:i/>
          <w:iCs/>
        </w:rPr>
        <w:t>8</w:t>
      </w:r>
      <w:r w:rsidRPr="001C4DF2">
        <w:t>(2), e70253. https://doi.org/10.1002/edn3.70253</w:t>
      </w:r>
    </w:p>
    <w:p w14:paraId="07094345" w14:textId="77777777" w:rsidR="001C4DF2" w:rsidRPr="001C4DF2" w:rsidRDefault="001C4DF2" w:rsidP="00623D17">
      <w:pPr>
        <w:pStyle w:val="Bibliography"/>
        <w:spacing w:line="240" w:lineRule="auto"/>
      </w:pPr>
      <w:r w:rsidRPr="001C4DF2">
        <w:lastRenderedPageBreak/>
        <w:t xml:space="preserve">Schweiger, A. H., Irl, S. D. H., Steinbauer, M. J., Dengler, J., &amp; Beierkuhnlein, C. (2016). Optimizing sampling approaches along ecological gradients. </w:t>
      </w:r>
      <w:r w:rsidRPr="001C4DF2">
        <w:rPr>
          <w:i/>
          <w:iCs/>
        </w:rPr>
        <w:t>Methods in Ecology and Evolution</w:t>
      </w:r>
      <w:r w:rsidRPr="001C4DF2">
        <w:t xml:space="preserve">, </w:t>
      </w:r>
      <w:r w:rsidRPr="001C4DF2">
        <w:rPr>
          <w:i/>
          <w:iCs/>
        </w:rPr>
        <w:t>7</w:t>
      </w:r>
      <w:r w:rsidRPr="001C4DF2">
        <w:t>(4), 463–471. https://doi.org/10.1111/2041-210X.12495</w:t>
      </w:r>
    </w:p>
    <w:p w14:paraId="09665662" w14:textId="77777777" w:rsidR="001C4DF2" w:rsidRPr="001C4DF2" w:rsidRDefault="001C4DF2" w:rsidP="00623D17">
      <w:pPr>
        <w:pStyle w:val="Bibliography"/>
        <w:spacing w:line="240" w:lineRule="auto"/>
      </w:pPr>
      <w:r w:rsidRPr="001C4DF2">
        <w:t xml:space="preserve">Shaffer, M. R., Andruszkiewicz Allan, E., Van Cise, A. M., Parsons, K. M., Shelton, A. O., &amp; Kelly, R. P. (2025). Observation Bias in Metabarcoding. </w:t>
      </w:r>
      <w:r w:rsidRPr="001C4DF2">
        <w:rPr>
          <w:i/>
          <w:iCs/>
        </w:rPr>
        <w:t>Molecular Ecology Resources</w:t>
      </w:r>
      <w:r w:rsidRPr="001C4DF2">
        <w:t xml:space="preserve">, </w:t>
      </w:r>
      <w:r w:rsidRPr="001C4DF2">
        <w:rPr>
          <w:i/>
          <w:iCs/>
        </w:rPr>
        <w:t>25</w:t>
      </w:r>
      <w:r w:rsidRPr="001C4DF2">
        <w:t>(7), e14119. https://doi.org/10.1111/1755-0998.14119</w:t>
      </w:r>
    </w:p>
    <w:p w14:paraId="360C9670" w14:textId="77777777" w:rsidR="001C4DF2" w:rsidRPr="001C4DF2" w:rsidRDefault="001C4DF2" w:rsidP="00623D17">
      <w:pPr>
        <w:pStyle w:val="Bibliography"/>
        <w:spacing w:line="240" w:lineRule="auto"/>
      </w:pPr>
      <w:r w:rsidRPr="001C4DF2">
        <w:t xml:space="preserve">Shelton, A. O., Ramón-Laca, A., Wells, A., Clemons, J., Chu, D., Feist, B. E., Kelly, R. P., Parker-Stetter, S. L., Thomas, R., Nichols, K. M., &amp; Park, L. (2022). Environmental DNA provides quantitative estimates of Pacific hake abundance and distribution in the open ocean. </w:t>
      </w:r>
      <w:r w:rsidRPr="001C4DF2">
        <w:rPr>
          <w:i/>
          <w:iCs/>
        </w:rPr>
        <w:t>Proceedings of the Royal Society B: Biological Sciences</w:t>
      </w:r>
      <w:r w:rsidRPr="001C4DF2">
        <w:t xml:space="preserve">, </w:t>
      </w:r>
      <w:r w:rsidRPr="001C4DF2">
        <w:rPr>
          <w:i/>
          <w:iCs/>
        </w:rPr>
        <w:t>289</w:t>
      </w:r>
      <w:r w:rsidRPr="001C4DF2">
        <w:t>(1971), 20212613. https://doi.org/https://doi.org/10.1098/rspb.2021.2613</w:t>
      </w:r>
    </w:p>
    <w:p w14:paraId="1BF4204E" w14:textId="77777777" w:rsidR="001C4DF2" w:rsidRPr="001C4DF2" w:rsidRDefault="001C4DF2" w:rsidP="00623D17">
      <w:pPr>
        <w:pStyle w:val="Bibliography"/>
        <w:spacing w:line="240" w:lineRule="auto"/>
      </w:pPr>
      <w:r w:rsidRPr="001C4DF2">
        <w:t xml:space="preserve">Stan Development Team. (2023). </w:t>
      </w:r>
      <w:r w:rsidRPr="001C4DF2">
        <w:rPr>
          <w:i/>
          <w:iCs/>
        </w:rPr>
        <w:t>Stan Modeling Language Users Guide and Reference Manual</w:t>
      </w:r>
      <w:r w:rsidRPr="001C4DF2">
        <w:t xml:space="preserve"> (Version 2.26.1) [Computer software]. https://mc-stan.org/</w:t>
      </w:r>
    </w:p>
    <w:p w14:paraId="7F880D19" w14:textId="77777777" w:rsidR="001C4DF2" w:rsidRPr="001C4DF2" w:rsidRDefault="001C4DF2" w:rsidP="00623D17">
      <w:pPr>
        <w:pStyle w:val="Bibliography"/>
        <w:spacing w:line="240" w:lineRule="auto"/>
      </w:pPr>
      <w:r w:rsidRPr="001C4DF2">
        <w:t xml:space="preserve">Stein, A., &amp; Ettema, C. (2003). An overview of spatial sampling procedures and experimental design of spatial studies for ecosystem comparisons. </w:t>
      </w:r>
      <w:r w:rsidRPr="001C4DF2">
        <w:rPr>
          <w:i/>
          <w:iCs/>
        </w:rPr>
        <w:t>Agriculture, Ecosystems &amp; Environment</w:t>
      </w:r>
      <w:r w:rsidRPr="001C4DF2">
        <w:t xml:space="preserve">, </w:t>
      </w:r>
      <w:r w:rsidRPr="001C4DF2">
        <w:rPr>
          <w:i/>
          <w:iCs/>
        </w:rPr>
        <w:t>94</w:t>
      </w:r>
      <w:r w:rsidRPr="001C4DF2">
        <w:t>(1), 31–47. https://doi.org/10.1016/S0167-8809(02)00013-0</w:t>
      </w:r>
    </w:p>
    <w:p w14:paraId="216B8433" w14:textId="77777777" w:rsidR="001C4DF2" w:rsidRPr="001C4DF2" w:rsidRDefault="001C4DF2" w:rsidP="00623D17">
      <w:pPr>
        <w:pStyle w:val="Bibliography"/>
        <w:spacing w:line="240" w:lineRule="auto"/>
      </w:pPr>
      <w:r w:rsidRPr="001C4DF2">
        <w:t xml:space="preserve">Taberlet, P., Coissac, E., Hajibabaei, M., &amp; Rieseberg, L. H. (2012). Environmental DNA. </w:t>
      </w:r>
      <w:r w:rsidRPr="001C4DF2">
        <w:rPr>
          <w:i/>
          <w:iCs/>
        </w:rPr>
        <w:t>Molecular Ecology</w:t>
      </w:r>
      <w:r w:rsidRPr="001C4DF2">
        <w:t xml:space="preserve">, </w:t>
      </w:r>
      <w:r w:rsidRPr="001C4DF2">
        <w:rPr>
          <w:i/>
          <w:iCs/>
        </w:rPr>
        <w:t>21</w:t>
      </w:r>
      <w:r w:rsidRPr="001C4DF2">
        <w:t>(8), 1789–1793. https://doi.org/10.1111/j.1365-294X.2012.05542.x</w:t>
      </w:r>
    </w:p>
    <w:p w14:paraId="34BB65A1" w14:textId="77777777" w:rsidR="001C4DF2" w:rsidRPr="001C4DF2" w:rsidRDefault="001C4DF2" w:rsidP="00623D17">
      <w:pPr>
        <w:pStyle w:val="Bibliography"/>
        <w:spacing w:line="240" w:lineRule="auto"/>
      </w:pPr>
      <w:r w:rsidRPr="001C4DF2">
        <w:t xml:space="preserve">Thorson, J. T., Shelton, A. O., Ward, E. J., &amp; Skaug, H. J. (2015). Geostatistical delta-generalized linear mixed models improve precision for estimated abundance indices for West Coast groundfishes. </w:t>
      </w:r>
      <w:r w:rsidRPr="001C4DF2">
        <w:rPr>
          <w:i/>
          <w:iCs/>
        </w:rPr>
        <w:t>ICES Journal of Marine Science</w:t>
      </w:r>
      <w:r w:rsidRPr="001C4DF2">
        <w:t xml:space="preserve">, </w:t>
      </w:r>
      <w:r w:rsidRPr="001C4DF2">
        <w:rPr>
          <w:i/>
          <w:iCs/>
        </w:rPr>
        <w:t>72</w:t>
      </w:r>
      <w:r w:rsidRPr="001C4DF2">
        <w:t>(5), 1297–1310. https://doi.org/10.1093/icesjms/fsu243</w:t>
      </w:r>
    </w:p>
    <w:p w14:paraId="1436A7CF" w14:textId="77777777" w:rsidR="001C4DF2" w:rsidRPr="001C4DF2" w:rsidRDefault="001C4DF2" w:rsidP="00623D17">
      <w:pPr>
        <w:pStyle w:val="Bibliography"/>
        <w:spacing w:line="240" w:lineRule="auto"/>
      </w:pPr>
      <w:r w:rsidRPr="001C4DF2">
        <w:t xml:space="preserve">Wagner, H. H., &amp; Fortin, M.-J. (2005). Spatial analysis of landscapes: Concepts and statistics. </w:t>
      </w:r>
      <w:r w:rsidRPr="001C4DF2">
        <w:rPr>
          <w:i/>
          <w:iCs/>
        </w:rPr>
        <w:t>Ecology</w:t>
      </w:r>
      <w:r w:rsidRPr="001C4DF2">
        <w:t xml:space="preserve">, </w:t>
      </w:r>
      <w:r w:rsidRPr="001C4DF2">
        <w:rPr>
          <w:i/>
          <w:iCs/>
        </w:rPr>
        <w:t>86</w:t>
      </w:r>
      <w:r w:rsidRPr="001C4DF2">
        <w:t>(8), 1975–1987. https://doi.org/10.1890/04-0914</w:t>
      </w:r>
    </w:p>
    <w:p w14:paraId="0FD06D45" w14:textId="77777777" w:rsidR="001C4DF2" w:rsidRPr="001C4DF2" w:rsidRDefault="001C4DF2" w:rsidP="00623D17">
      <w:pPr>
        <w:pStyle w:val="Bibliography"/>
        <w:spacing w:line="240" w:lineRule="auto"/>
      </w:pPr>
      <w:r w:rsidRPr="001C4DF2">
        <w:t xml:space="preserve">Xu, B., Zhang, C., Xue, Y., Ren, Y., &amp; Chen, Y. (2015). Optimization of sampling effort for a fishery-independent survey with multiple goals. </w:t>
      </w:r>
      <w:r w:rsidRPr="001C4DF2">
        <w:rPr>
          <w:i/>
          <w:iCs/>
        </w:rPr>
        <w:t>Environmental Monitoring and Assessment</w:t>
      </w:r>
      <w:r w:rsidRPr="001C4DF2">
        <w:t xml:space="preserve">, </w:t>
      </w:r>
      <w:r w:rsidRPr="001C4DF2">
        <w:rPr>
          <w:i/>
          <w:iCs/>
        </w:rPr>
        <w:t>187</w:t>
      </w:r>
      <w:r w:rsidRPr="001C4DF2">
        <w:t>(5). https://doi.org/10.1007/s10661-015-4483-9</w:t>
      </w:r>
    </w:p>
    <w:p w14:paraId="49FCA4F7" w14:textId="77777777" w:rsidR="001C4DF2" w:rsidRPr="001C4DF2" w:rsidRDefault="001C4DF2" w:rsidP="00623D17">
      <w:pPr>
        <w:pStyle w:val="Bibliography"/>
        <w:spacing w:line="240" w:lineRule="auto"/>
      </w:pPr>
      <w:r w:rsidRPr="001C4DF2">
        <w:t xml:space="preserve">Yoccoz, N. G., Nichols, J. D., &amp; Boulinier, T. (2001). Monitoring of biological diversity in space and time. </w:t>
      </w:r>
      <w:r w:rsidRPr="001C4DF2">
        <w:rPr>
          <w:i/>
          <w:iCs/>
        </w:rPr>
        <w:t>Trends in Ecology &amp; Evolution</w:t>
      </w:r>
      <w:r w:rsidRPr="001C4DF2">
        <w:t xml:space="preserve">, </w:t>
      </w:r>
      <w:r w:rsidRPr="001C4DF2">
        <w:rPr>
          <w:i/>
          <w:iCs/>
        </w:rPr>
        <w:t>16</w:t>
      </w:r>
      <w:r w:rsidRPr="001C4DF2">
        <w:t>(8), 446–453. https://doi.org/10.1016/S0169-5347(01)02205-4</w:t>
      </w:r>
    </w:p>
    <w:p w14:paraId="7C517AB5" w14:textId="77777777" w:rsidR="001C4DF2" w:rsidRPr="001C4DF2" w:rsidRDefault="001C4DF2" w:rsidP="00623D17">
      <w:pPr>
        <w:pStyle w:val="Bibliography"/>
        <w:spacing w:line="240" w:lineRule="auto"/>
      </w:pPr>
      <w:r w:rsidRPr="001C4DF2">
        <w:t xml:space="preserve">Zhao, J., Yang, K., &amp; Ma, J. (2022). Optimization of Sampling Effort for Different Fishery Groups in the Yangtze River Estuary, China. </w:t>
      </w:r>
      <w:r w:rsidRPr="001C4DF2">
        <w:rPr>
          <w:i/>
          <w:iCs/>
        </w:rPr>
        <w:t>Marine and Coastal Fisheries</w:t>
      </w:r>
      <w:r w:rsidRPr="001C4DF2">
        <w:t xml:space="preserve">, </w:t>
      </w:r>
      <w:r w:rsidRPr="001C4DF2">
        <w:rPr>
          <w:i/>
          <w:iCs/>
        </w:rPr>
        <w:t>14</w:t>
      </w:r>
      <w:r w:rsidRPr="001C4DF2">
        <w:t>(4). https://doi.org/10.1002/mcf2.10214</w:t>
      </w:r>
    </w:p>
    <w:p w14:paraId="5940244E" w14:textId="5CDD6FEF" w:rsidR="000974AE" w:rsidRDefault="00F553D1" w:rsidP="00623D17">
      <w:pPr>
        <w:pStyle w:val="Bibliography"/>
        <w:spacing w:line="240" w:lineRule="auto"/>
      </w:pPr>
      <w:r w:rsidRPr="007A589B">
        <w:rPr>
          <w:rFonts w:cs="Times New Roman"/>
        </w:rPr>
        <w:fldChar w:fldCharType="end"/>
      </w:r>
      <w:r w:rsidR="000974AE">
        <w:br w:type="page"/>
      </w:r>
    </w:p>
    <w:sectPr w:rsidR="000974AE"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C6A056" w14:textId="77777777" w:rsidR="00FC4800" w:rsidRDefault="00FC4800" w:rsidP="009A2297">
      <w:pPr>
        <w:spacing w:after="0"/>
      </w:pPr>
      <w:r>
        <w:separator/>
      </w:r>
    </w:p>
  </w:endnote>
  <w:endnote w:type="continuationSeparator" w:id="0">
    <w:p w14:paraId="70C8CE28" w14:textId="77777777" w:rsidR="00FC4800" w:rsidRDefault="00FC4800"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BFF92" w14:textId="77777777" w:rsidR="00FC4800" w:rsidRDefault="00FC4800" w:rsidP="009A2297">
      <w:pPr>
        <w:spacing w:after="0"/>
      </w:pPr>
      <w:r>
        <w:separator/>
      </w:r>
    </w:p>
  </w:footnote>
  <w:footnote w:type="continuationSeparator" w:id="0">
    <w:p w14:paraId="0683F953" w14:textId="77777777" w:rsidR="00FC4800" w:rsidRDefault="00FC4800"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yan Kelly">
    <w15:presenceInfo w15:providerId="AD" w15:userId="S::rpkelly@uw.edu::bdd078d1-2c18-4ae4-92e7-09a089cd5da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image" Target="media/image3.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gledguri/Smart-eDNA-sampling" TargetMode="External"/><Relationship Id="rId7" Type="http://schemas.openxmlformats.org/officeDocument/2006/relationships/settings" Target="settings.xml"/><Relationship Id="rId17" Type="http://schemas.openxmlformats.org/officeDocument/2006/relationships/image" Target="media/image2.jpe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fontTable" Target="fontTable.xml"/><Relationship Id="rId5" Type="http://schemas.openxmlformats.org/officeDocument/2006/relationships/numbering" Target="numbering.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35</Pages>
  <Words>27389</Words>
  <Characters>156120</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183143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Ryan Kelly</cp:lastModifiedBy>
  <cp:revision>14</cp:revision>
  <cp:lastPrinted>2026-04-15T23:13:00Z</cp:lastPrinted>
  <dcterms:created xsi:type="dcterms:W3CDTF">2026-08-05T22:31:00Z</dcterms:created>
  <dcterms:modified xsi:type="dcterms:W3CDTF">2026-08-05T22:54:00Z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id="KoN9VrR8"/&gt;&lt;style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