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Smart environmental DNA sampling strategies: Spatial autocorrelation can guide efficient survey 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p>
    <w:p w14:paraId="01A46080" w14:textId="77777777" w:rsidR="000D6CB9" w:rsidRDefault="00000000">
      <w:pPr>
        <w:pStyle w:val="BodyText"/>
        <w:spacing w:line="480" w:lineRule="auto"/>
      </w:pPr>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p>
    <w:p w14:paraId="1A16C07B" w14:textId="0C23B746" w:rsidR="000D6CB9" w:rsidRDefault="00000000">
      <w:pPr>
        <w:pStyle w:val="BodyText"/>
        <w:spacing w:line="480" w:lineRule="auto"/>
      </w:pPr>
      <w:r>
        <w:t xml:space="preserve">3. </w:t>
      </w:r>
      <w:r w:rsidR="007440D9">
        <w:t>As expected, p</w:t>
      </w:r>
      <w:r>
        <w:t>rediction</w:t>
      </w:r>
      <w:r w:rsidR="007440D9">
        <w:t>s</w:t>
      </w:r>
      <w:r>
        <w:t xml:space="preserve"> </w:t>
      </w:r>
      <w:r w:rsidR="007440D9">
        <w:t>improved</w:t>
      </w:r>
      <w:r>
        <w:t xml:space="preserve"> non-linearly with </w:t>
      </w:r>
      <w:r w:rsidR="007440D9">
        <w:t xml:space="preserve">increasing </w:t>
      </w:r>
      <w:r>
        <w:t>sampling density and with increasing</w:t>
      </w:r>
      <w:r w:rsidR="002B0D91">
        <w:t xml:space="preserve"> degrees of autocorrelation</w:t>
      </w:r>
      <w:r>
        <w:t xml:space="preserve"> </w:t>
      </w:r>
      <w:r w:rsidR="002B0D91">
        <w:t>(</w:t>
      </w:r>
      <w:r>
        <w:rPr>
          <w:i/>
          <w:iCs/>
        </w:rPr>
        <w:t>ρ</w:t>
      </w:r>
      <w:r w:rsidR="002B0D91">
        <w:t>)</w:t>
      </w:r>
      <w:r>
        <w:t>.</w:t>
      </w:r>
    </w:p>
    <w:p w14:paraId="75E2E814" w14:textId="2D5BF6E4" w:rsidR="000D6CB9" w:rsidRDefault="00000000">
      <w:pPr>
        <w:pStyle w:val="BodyText"/>
        <w:spacing w:line="480" w:lineRule="auto"/>
      </w:pPr>
      <w:r>
        <w:t>4. Marginal gains became negligible at 4–5 samples per 10,000 km</w:t>
      </w:r>
      <w:r>
        <w:rPr>
          <w:vertAlign w:val="superscript"/>
        </w:rPr>
        <w:t>2</w:t>
      </w:r>
      <w:r>
        <w:t xml:space="preserve"> per depth layer for smoothly distributed species (</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r w:rsidR="009E197D">
        <w:t xml:space="preserve"> </w:t>
      </w:r>
      <w:r w:rsidR="009E197D" w:rsidRPr="009E197D">
        <w:t>More generally, these thresholds reflect sample spacing relative to the species’ spatial autocorrelation length-scale, providing a scale-independent basis for translating sampling requirements across systems.</w:t>
      </w:r>
    </w:p>
    <w:p w14:paraId="1CEE31DB" w14:textId="1618CDDF" w:rsidR="000D6CB9" w:rsidRDefault="00000000">
      <w:pPr>
        <w:pStyle w:val="BodyText"/>
        <w:spacing w:line="480" w:lineRule="auto"/>
      </w:pPr>
      <w:r>
        <w:t>5. The inferential objective mattered as much as the effort: depth-specific means, which underpin abundance indices, were recovered reliably under sparse sampling, whereas</w:t>
      </w:r>
      <w:r w:rsidR="00547F50">
        <w:t xml:space="preserve"> estimating</w:t>
      </w:r>
      <w:r>
        <w:t xml:space="preserve"> </w:t>
      </w:r>
      <w:r>
        <w:rPr>
          <w:i/>
          <w:iCs/>
        </w:rPr>
        <w:t>ρ</w:t>
      </w:r>
      <w:r>
        <w:t xml:space="preserve"> required denser designs spanning a wide range of distances, </w:t>
      </w:r>
      <w:proofErr w:type="spellStart"/>
      <w:r>
        <w:t>stabilising</w:t>
      </w:r>
      <w:proofErr w:type="spellEnd"/>
      <w:r>
        <w:t xml:space="preserve"> above ~6 samples per 10,000 km</w:t>
      </w:r>
      <w:r>
        <w:rPr>
          <w:vertAlign w:val="superscript"/>
        </w:rPr>
        <w:t>2</w:t>
      </w:r>
      <w:r>
        <w:t>.</w:t>
      </w:r>
    </w:p>
    <w:p w14:paraId="78FB4D89" w14:textId="79964659" w:rsidR="000D6CB9" w:rsidRDefault="00000000">
      <w:pPr>
        <w:pStyle w:val="BodyText"/>
        <w:spacing w:line="480" w:lineRule="auto"/>
      </w:pPr>
      <w:r>
        <w:t xml:space="preserve">6. </w:t>
      </w:r>
      <w:r>
        <w:rPr>
          <w:i/>
          <w:iCs/>
        </w:rPr>
        <w:t>Synthesis and applications</w:t>
      </w:r>
      <w:r>
        <w:t xml:space="preserve">. Optimal eDNA sampling effort depends on the patchiness of the target </w:t>
      </w:r>
      <w:proofErr w:type="spellStart"/>
      <w:r>
        <w:t>taxon</w:t>
      </w:r>
      <w:proofErr w:type="spellEnd"/>
      <w:r>
        <w:t xml:space="preserve"> and on the purpose of the survey. Our error model can be inverted to convert a required precision and a prior estimate of spatial autocorrelation into a minimum sampling density, letting </w:t>
      </w:r>
      <w:r>
        <w:lastRenderedPageBreak/>
        <w:t>survey designers allocate ship time before a cruise. Across the California Current, 4–9 samples per 10,000 km</w:t>
      </w:r>
      <w:r>
        <w:rPr>
          <w:vertAlign w:val="superscript"/>
        </w:rPr>
        <w:t>2</w:t>
      </w:r>
      <w:r>
        <w:t xml:space="preserve"> per depth layer spanned the point of diminishing returns, modestly above the density of existing regional survey grids (3.4–3.6 samples per 10,000 km</w:t>
      </w:r>
      <w:r>
        <w:rPr>
          <w:vertAlign w:val="superscript"/>
        </w:rPr>
        <w:t>2</w:t>
      </w:r>
      <w:r>
        <w:t xml:space="preserve">). </w:t>
      </w:r>
      <w:proofErr w:type="spellStart"/>
      <w:r>
        <w:t>Programmes</w:t>
      </w:r>
      <w:proofErr w:type="spellEnd"/>
      <w:r>
        <w:t xml:space="preserve"> producing abundance indices for stock assessment can operate near current effort; those mapping fine-scale distributions need denser designs including clusters of closely spaced stations.</w:t>
      </w:r>
    </w:p>
    <w:p w14:paraId="4345CD1D" w14:textId="77777777" w:rsidR="003B5D12" w:rsidRPr="00915163" w:rsidRDefault="003B5D12" w:rsidP="001643E6">
      <w:pPr>
        <w:pStyle w:val="BodyText"/>
        <w:spacing w:line="480" w:lineRule="auto"/>
      </w:pPr>
    </w:p>
    <w:p w14:paraId="5516F177" w14:textId="52892F70" w:rsidR="0032076E" w:rsidRDefault="00D04708" w:rsidP="001643E6">
      <w:pPr>
        <w:pStyle w:val="FirstParagraph"/>
        <w:spacing w:line="480" w:lineRule="auto"/>
      </w:pPr>
      <w:r>
        <w:rPr>
          <w:b/>
        </w:rPr>
        <w:t>Keywords</w:t>
      </w:r>
      <w:r>
        <w:t>: biodiversity monitoring, environmental DNA, fisheries management, Gaussian process, metabarcoding, sampling design, spatial autocorrelation, survey cost-effectiveness</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 w:name="introduction"/>
      <w:bookmarkEnd w:id="0"/>
      <w:r>
        <w:t>Introduction</w:t>
      </w:r>
    </w:p>
    <w:p w14:paraId="12A3A315" w14:textId="358CA57E" w:rsidR="00E656D3" w:rsidRDefault="00686350" w:rsidP="001643E6">
      <w:pPr>
        <w:pStyle w:val="BodyText"/>
        <w:spacing w:line="480" w:lineRule="auto"/>
      </w:pPr>
      <w:bookmarkStart w:id="3"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
    <w:p w14:paraId="25688A63" w14:textId="77777777" w:rsidR="00D477E6" w:rsidRDefault="00D477E6" w:rsidP="001643E6">
      <w:pPr>
        <w:pStyle w:val="BodyText"/>
        <w:spacing w:line="480" w:lineRule="auto"/>
      </w:pPr>
    </w:p>
    <w:p w14:paraId="0267C06D" w14:textId="537E66ED"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 xml:space="preserve">Recent synthesis work shows that eDNA methods have matured sufficiently for key uncertainties to be quantified and incorporated into existing fisheries stock-assessment frameworks, enabling the development of </w:t>
      </w:r>
      <w:r w:rsidR="00C72FBD" w:rsidRPr="00C72FBD">
        <w:lastRenderedPageBreak/>
        <w:t>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pPr>
    </w:p>
    <w:p w14:paraId="204E2337" w14:textId="7B540BBC"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pPr>
    </w:p>
    <w:p w14:paraId="406949DD" w14:textId="562A8FC5" w:rsidR="00286ADA" w:rsidRPr="00C36F1B" w:rsidRDefault="00FC70CA" w:rsidP="001643E6">
      <w:pPr>
        <w:pStyle w:val="BodyText"/>
        <w:spacing w:line="480" w:lineRule="auto"/>
      </w:pPr>
      <w:bookmarkStart w:id="4" w:name="OLE_LINK6"/>
      <w:r w:rsidRPr="00FC70CA">
        <w:t>We conceptualize species spatial distributions as realizations of a Gaussian Process (GP), in which spatial dependence is characterized by a species-specific length-scale parameter (ρ) describing the distance over which observations remain correlated. We hypothesize that the sampling density required to characterize a species’ distribution depends on this spatial length-scale.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w:t>
      </w:r>
      <w:r>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FB27EA">
        <w:t xml:space="preserve">. </w:t>
      </w:r>
      <w:bookmarkEnd w:id="4"/>
      <w:r w:rsidRPr="00FC70CA">
        <w:t xml:space="preserve">In this study, we assess how species spatial autocorrelation influences the efficiency of eDNA metabarcoding marine sampling strategies. Using both simulated and empirical eDNA data for species that differ in their spatial distributions, we quantify how spatial autocorrelation and </w:t>
      </w:r>
      <w:r w:rsidRPr="00FC70CA">
        <w:lastRenderedPageBreak/>
        <w:t>sampling effort affect (</w:t>
      </w:r>
      <w:proofErr w:type="spellStart"/>
      <w:r w:rsidRPr="00FC70CA">
        <w:t>i</w:t>
      </w:r>
      <w:proofErr w:type="spellEnd"/>
      <w:r w:rsidRPr="00FC70CA">
        <w:t>) the predictive accuracy of species distribution models and (ii) the accuracy of GP parameter estimation. Our objective is deliberately operational: to provide survey planners with guidance that can be applied before a cruise, based on a prior estimate of the spatial autocorrelation of target taxa and the level of precision required.</w:t>
      </w: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102C6FA9" w:rsidR="007D49E0" w:rsidRPr="00871E3F" w:rsidRDefault="00B65A9C" w:rsidP="001643E6">
      <w:pPr>
        <w:pStyle w:val="BodyText"/>
        <w:spacing w:line="480" w:lineRule="auto"/>
        <w:rPr>
          <w:i/>
          <w:iCs/>
        </w:rPr>
      </w:pPr>
      <w:r w:rsidRPr="00871E3F">
        <w:rPr>
          <w:i/>
          <w:iCs/>
        </w:rPr>
        <w:t>Figure 1. Conceptual illustrati</w:t>
      </w:r>
      <w:r w:rsidR="00E63C19">
        <w:rPr>
          <w:i/>
          <w:iCs/>
        </w:rPr>
        <w:t>on</w:t>
      </w:r>
      <w:r w:rsidRPr="00871E3F">
        <w:rPr>
          <w:i/>
          <w:iCs/>
        </w:rPr>
        <w:t xml:space="preserve">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5" w:name="materials-and-methods"/>
      <w:bookmarkEnd w:id="2"/>
      <w:r>
        <w:lastRenderedPageBreak/>
        <w:t>Materials and methods</w:t>
      </w:r>
    </w:p>
    <w:p w14:paraId="6D460FDF" w14:textId="28F45267" w:rsidR="001B4F2A" w:rsidRDefault="003676DB" w:rsidP="001643E6">
      <w:pPr>
        <w:pStyle w:val="BodyText"/>
        <w:spacing w:line="480" w:lineRule="auto"/>
      </w:pPr>
      <w:bookmarkStart w:id="6"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t>For both empirical and simulated data, we evaluated how reduced sampling effort affected spatial prediction accuracy and the recovery of GP parameters through systematic thinning analyses.</w:t>
      </w:r>
      <w:r w:rsidR="001B4F2A">
        <w:t xml:space="preserve"> </w:t>
      </w:r>
      <w:r>
        <w: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w:t>
      </w:r>
      <w:r w:rsidR="0044189E">
        <w:lastRenderedPageBreak/>
        <w:t xml:space="preserve">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pPr>
    </w:p>
    <w:p w14:paraId="1FF8BFD3" w14:textId="5629A3D0" w:rsidR="000974AE" w:rsidRDefault="000974AE" w:rsidP="001643E6">
      <w:pPr>
        <w:pStyle w:val="Heading2"/>
        <w:spacing w:before="0" w:after="0" w:line="480" w:lineRule="auto"/>
      </w:pPr>
      <w:r>
        <w:t>Empirical eDNA data</w:t>
      </w:r>
    </w:p>
    <w:p w14:paraId="4E6F073F" w14:textId="785F7F19"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6D18E8CF" w:rsidR="00E05D8F" w:rsidRDefault="000974AE" w:rsidP="001643E6">
      <w:pPr>
        <w:pStyle w:val="BodyText"/>
        <w:spacing w:line="480" w:lineRule="auto"/>
      </w:pPr>
      <w:r>
        <w:t xml:space="preserve">Samples underwent PCR amplification using the </w:t>
      </w:r>
      <w:proofErr w:type="spellStart"/>
      <w:r>
        <w:t>MiFish</w:t>
      </w:r>
      <w:proofErr w:type="spellEnd"/>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MiSeq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including </w:t>
      </w:r>
      <w:r>
        <w:rPr>
          <w:i/>
          <w:iCs/>
        </w:rPr>
        <w:t xml:space="preserve">Clupea </w:t>
      </w:r>
      <w:proofErr w:type="spellStart"/>
      <w:r>
        <w:rPr>
          <w:i/>
          <w:iCs/>
        </w:rPr>
        <w:t>pallasii</w:t>
      </w:r>
      <w:proofErr w:type="spellEnd"/>
      <w:r>
        <w:t xml:space="preserve">, </w:t>
      </w:r>
      <w:proofErr w:type="spellStart"/>
      <w:r>
        <w:rPr>
          <w:i/>
          <w:iCs/>
        </w:rPr>
        <w:t>Engraulis</w:t>
      </w:r>
      <w:proofErr w:type="spellEnd"/>
      <w:r>
        <w:rPr>
          <w:i/>
          <w:iCs/>
        </w:rPr>
        <w:t xml:space="preserve"> mordax</w:t>
      </w:r>
      <w:r>
        <w:t xml:space="preserve">, </w:t>
      </w:r>
      <w:proofErr w:type="spellStart"/>
      <w:r>
        <w:rPr>
          <w:i/>
          <w:iCs/>
        </w:rPr>
        <w:t>Leuroglossus</w:t>
      </w:r>
      <w:proofErr w:type="spellEnd"/>
      <w:r>
        <w:rPr>
          <w:i/>
          <w:iCs/>
        </w:rPr>
        <w:t xml:space="preserve"> </w:t>
      </w:r>
      <w:proofErr w:type="spellStart"/>
      <w:r>
        <w:rPr>
          <w:i/>
          <w:iCs/>
        </w:rPr>
        <w:t>stilbius</w:t>
      </w:r>
      <w:proofErr w:type="spellEnd"/>
      <w:r>
        <w:t xml:space="preserve">, </w:t>
      </w:r>
      <w:proofErr w:type="spellStart"/>
      <w:r>
        <w:rPr>
          <w:i/>
          <w:iCs/>
        </w:rPr>
        <w:t>Microstomus</w:t>
      </w:r>
      <w:proofErr w:type="spellEnd"/>
      <w:r>
        <w:rPr>
          <w:i/>
          <w:iCs/>
        </w:rPr>
        <w:t xml:space="preserve"> pacificus</w:t>
      </w:r>
      <w:r>
        <w:t xml:space="preserve">, </w:t>
      </w:r>
      <w:proofErr w:type="spellStart"/>
      <w:r>
        <w:rPr>
          <w:i/>
          <w:iCs/>
        </w:rPr>
        <w:t>Sardinops</w:t>
      </w:r>
      <w:proofErr w:type="spellEnd"/>
      <w:r>
        <w:rPr>
          <w:i/>
          <w:iCs/>
        </w:rPr>
        <w:t xml:space="preserve"> </w:t>
      </w:r>
      <w:proofErr w:type="spellStart"/>
      <w:r>
        <w:rPr>
          <w:i/>
          <w:iCs/>
        </w:rPr>
        <w:t>sagax</w:t>
      </w:r>
      <w:proofErr w:type="spellEnd"/>
      <w:r>
        <w:t xml:space="preserve">, </w:t>
      </w:r>
      <w:proofErr w:type="spellStart"/>
      <w:r>
        <w:rPr>
          <w:i/>
          <w:iCs/>
        </w:rPr>
        <w:t>Scomber</w:t>
      </w:r>
      <w:proofErr w:type="spellEnd"/>
      <w:r>
        <w:rPr>
          <w:i/>
          <w:iCs/>
        </w:rPr>
        <w:t xml:space="preserve"> japonicus</w:t>
      </w:r>
      <w:r>
        <w:t xml:space="preserve">, </w:t>
      </w:r>
      <w:r>
        <w:rPr>
          <w:i/>
          <w:iCs/>
        </w:rPr>
        <w:t xml:space="preserve">Sebastes </w:t>
      </w:r>
      <w:proofErr w:type="spellStart"/>
      <w:r>
        <w:rPr>
          <w:i/>
          <w:iCs/>
        </w:rPr>
        <w:t>entomelas</w:t>
      </w:r>
      <w:proofErr w:type="spellEnd"/>
      <w:r>
        <w:t xml:space="preserve">, </w:t>
      </w:r>
      <w:proofErr w:type="spellStart"/>
      <w:r>
        <w:rPr>
          <w:i/>
          <w:iCs/>
        </w:rPr>
        <w:t>Stenobrachius</w:t>
      </w:r>
      <w:proofErr w:type="spellEnd"/>
      <w:r>
        <w:rPr>
          <w:i/>
          <w:iCs/>
        </w:rPr>
        <w:t xml:space="preserve"> </w:t>
      </w:r>
      <w:proofErr w:type="spellStart"/>
      <w:r>
        <w:rPr>
          <w:i/>
          <w:iCs/>
        </w:rPr>
        <w:t>leucopsarus</w:t>
      </w:r>
      <w:proofErr w:type="spellEnd"/>
      <w:r>
        <w:t xml:space="preserve">, </w:t>
      </w:r>
      <w:proofErr w:type="spellStart"/>
      <w:r>
        <w:rPr>
          <w:i/>
          <w:iCs/>
        </w:rPr>
        <w:t>Tactostoma</w:t>
      </w:r>
      <w:proofErr w:type="spellEnd"/>
      <w:r>
        <w:rPr>
          <w:i/>
          <w:iCs/>
        </w:rPr>
        <w:t xml:space="preserve"> </w:t>
      </w:r>
      <w:proofErr w:type="spellStart"/>
      <w:r>
        <w:rPr>
          <w:i/>
          <w:iCs/>
        </w:rPr>
        <w:t>macropus</w:t>
      </w:r>
      <w:proofErr w:type="spellEnd"/>
      <w:r>
        <w:t xml:space="preserve">, </w:t>
      </w:r>
      <w:proofErr w:type="spellStart"/>
      <w:r>
        <w:rPr>
          <w:i/>
          <w:iCs/>
        </w:rPr>
        <w:t>Tarletonbeania</w:t>
      </w:r>
      <w:proofErr w:type="spellEnd"/>
      <w:r>
        <w:rPr>
          <w:i/>
          <w:iCs/>
        </w:rPr>
        <w:t xml:space="preserve"> </w:t>
      </w:r>
      <w:proofErr w:type="spellStart"/>
      <w:r>
        <w:rPr>
          <w:i/>
          <w:iCs/>
        </w:rPr>
        <w:t>crenularis</w:t>
      </w:r>
      <w:proofErr w:type="spellEnd"/>
      <w:r>
        <w:t xml:space="preserve">, </w:t>
      </w:r>
      <w:proofErr w:type="spellStart"/>
      <w:r>
        <w:rPr>
          <w:i/>
          <w:iCs/>
        </w:rPr>
        <w:t>Thaleichthys</w:t>
      </w:r>
      <w:proofErr w:type="spellEnd"/>
      <w:r>
        <w:rPr>
          <w:i/>
          <w:iCs/>
        </w:rPr>
        <w:t xml:space="preserve"> pacificus</w:t>
      </w:r>
      <w:r>
        <w:t xml:space="preserve"> and </w:t>
      </w:r>
      <w:r>
        <w:rPr>
          <w:i/>
          <w:iCs/>
        </w:rPr>
        <w:t xml:space="preserve">Trachurus </w:t>
      </w:r>
      <w:proofErr w:type="spellStart"/>
      <w:r>
        <w:rPr>
          <w:i/>
          <w:iCs/>
        </w:rPr>
        <w:t>symmetricus</w:t>
      </w:r>
      <w:proofErr w:type="spellEnd"/>
      <w:r>
        <w:t>.</w:t>
      </w:r>
      <w:r w:rsidR="00FC3664">
        <w:t xml:space="preserve"> </w:t>
      </w:r>
      <w:r>
        <w:t>The final empirical dataset included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47E99947"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w:t>
      </w:r>
      <w:r>
        <w:lastRenderedPageBreak/>
        <w:t>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t>.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0DE0A720"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t>
      </w:r>
      <w:r w:rsidR="009F7803">
        <w:t>for</w:t>
      </w:r>
      <w:r w:rsidR="007E6DD0">
        <w:t xml:space="preserve"> </w:t>
      </w:r>
      <w:r w:rsidR="007E6DD0" w:rsidRPr="00FB072C">
        <w:rPr>
          <w:i/>
          <w:iCs/>
        </w:rPr>
        <w:t>Z</w:t>
      </w:r>
      <w:r w:rsidR="00920328">
        <w:t xml:space="preserve">, </w:t>
      </w:r>
      <w:r w:rsidR="007E6DD0">
        <w:rPr>
          <w:i/>
          <w:iCs/>
        </w:rPr>
        <w:t>Y</w:t>
      </w:r>
      <w:r w:rsidR="007E6DD0">
        <w:rPr>
          <w:i/>
          <w:iCs/>
          <w:vertAlign w:val="subscript"/>
        </w:rPr>
        <w:t>E</w:t>
      </w:r>
      <w:r w:rsidR="007E6DD0">
        <w:t xml:space="preserve"> </w:t>
      </w:r>
      <w:r w:rsidR="009F7803">
        <w:t>for</w:t>
      </w:r>
      <w:r w:rsidR="007E6DD0">
        <w:t xml:space="preserve">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t>
      </w:r>
      <w:r w:rsidR="009F7803">
        <w:t>for</w:t>
      </w:r>
      <w:r w:rsidR="00920328">
        <w:t xml:space="preserve"> </w:t>
      </w:r>
      <w:r w:rsidR="00920328">
        <w:rPr>
          <w:i/>
          <w:iCs/>
        </w:rPr>
        <w:t>X</w:t>
      </w:r>
      <w:r w:rsidR="00920328">
        <w:t xml:space="preserve"> </w:t>
      </w:r>
      <w:r w:rsidR="007E6DD0">
        <w:t xml:space="preserve">in Eq. 3. </w:t>
      </w:r>
      <w:r>
        <w:t xml:space="preserve">This framework enables direct, like-for-like comparisons of reconstructed fields across sampling </w:t>
      </w:r>
      <w:r>
        <w:lastRenderedPageBreak/>
        <w:t>intensities since the predicted field is the same (</w:t>
      </w:r>
      <w:r>
        <w:rPr>
          <w:i/>
          <w:iCs/>
        </w:rPr>
        <w:t>Q</w:t>
      </w:r>
      <w:r>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44991793"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07D18BBB" w:rsidR="004242D5" w:rsidRDefault="00D46036" w:rsidP="001643E6">
      <w:pPr>
        <w:pStyle w:val="BodyText"/>
        <w:spacing w:line="480" w:lineRule="auto"/>
      </w:pPr>
      <w:r w:rsidRPr="00D46036">
        <w:lastRenderedPageBreak/>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proofErr w:type="gramStart"/>
      <w:r w:rsidR="004C5337">
        <w:t>Similar to</w:t>
      </w:r>
      <w:proofErr w:type="gramEnd"/>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ED6538">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D6538">
        <w:t xml:space="preserve">, </w:t>
      </w:r>
      <w:r w:rsidR="00EA4F22">
        <w:t>allowing</w:t>
      </w:r>
      <w:r w:rsidR="009315C7">
        <w:t xml:space="preserve"> the eDNA concentration at each depth to be independent</w:t>
      </w:r>
      <w:r w:rsidR="000C1D95" w:rsidRPr="000C1D95">
        <w:t>.</w:t>
      </w:r>
      <w:r w:rsidR="000C1D95">
        <w:t xml:space="preserve"> </w:t>
      </w:r>
      <w:bookmarkStart w:id="7"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7"/>
      <w:r w:rsidR="004D2E90">
        <w:t xml:space="preserve"> </w:t>
      </w:r>
      <w:bookmarkStart w:id="8" w:name="OLE_LINK12"/>
      <w:r w:rsidR="00A14311">
        <w:t>Both</w:t>
      </w:r>
      <w:r w:rsidR="00A14311" w:rsidRPr="00A14311">
        <w:t xml:space="preserve"> values were fixed based on the empirical estimates, where </w:t>
      </w:r>
      <w:r w:rsidR="00A14311">
        <w:rPr>
          <w:lang w:val="el-GR"/>
        </w:rPr>
        <w:t>α</w:t>
      </w:r>
      <w:r w:rsidR="00A14311" w:rsidRPr="00A14311">
        <w:rPr>
          <w:vertAlign w:val="superscript"/>
        </w:rPr>
        <w:t>2</w:t>
      </w:r>
      <w:r w:rsidR="00ED6538">
        <w:t xml:space="preserve"> </w:t>
      </w:r>
      <w:r w:rsidR="00A14311" w:rsidRPr="00A14311">
        <w:t xml:space="preserve">ranged from 2 to 4 across species and </w:t>
      </w:r>
      <w:r w:rsidR="00A14311">
        <w:rPr>
          <w:lang w:val="el-GR"/>
        </w:rPr>
        <w:t>σ</w:t>
      </w:r>
      <w:r w:rsidR="00A14311" w:rsidRPr="00A14311">
        <w:rPr>
          <w:vertAlign w:val="superscript"/>
        </w:rPr>
        <w:t>2</w:t>
      </w:r>
      <w:r w:rsidR="00A14311">
        <w:t xml:space="preserve"> </w:t>
      </w:r>
      <w:r w:rsidR="00A14311" w:rsidRPr="00A14311">
        <w:t>was approximately 3 (Appendix S1: Table S1).</w:t>
      </w:r>
    </w:p>
    <w:bookmarkEnd w:id="8"/>
    <w:p w14:paraId="5A754501" w14:textId="77777777" w:rsidR="00180245" w:rsidRDefault="00180245" w:rsidP="001643E6">
      <w:pPr>
        <w:pStyle w:val="BodyText"/>
        <w:spacing w:line="480" w:lineRule="auto"/>
      </w:pPr>
    </w:p>
    <w:p w14:paraId="3144ED2B" w14:textId="0C54C0DC"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proofErr w:type="spellStart"/>
      <w:r>
        <w:rPr>
          <w:i/>
          <w:iCs/>
        </w:rPr>
        <w:t>μ</w:t>
      </w:r>
      <w:r>
        <w:rPr>
          <w:i/>
          <w:iCs/>
          <w:vertAlign w:val="subscript"/>
        </w:rPr>
        <w:t>d</w:t>
      </w:r>
      <w:proofErr w:type="spellEnd"/>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773E587E" w:rsidR="00B11167" w:rsidRDefault="00D71941" w:rsidP="001643E6">
      <w:pPr>
        <w:pStyle w:val="BodyText"/>
        <w:spacing w:line="480" w:lineRule="auto"/>
      </w:pPr>
      <w:r>
        <w:lastRenderedPageBreak/>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rsidRPr="00D71941">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bookmarkStart w:id="9" w:name="statistical-inference"/>
      <w:bookmarkEnd w:id="6"/>
      <w:r w:rsidR="00C578B8" w:rsidRPr="00C578B8">
        <w:t xml:space="preserve">    This allowed us to quantify how accurately different sampling efforts (E) reconstructed the underlying eDNA field.</w:t>
      </w:r>
    </w:p>
    <w:p w14:paraId="7487C35D" w14:textId="77777777" w:rsidR="00BB5672" w:rsidRDefault="00BB5672" w:rsidP="001643E6">
      <w:pPr>
        <w:pStyle w:val="BodyText"/>
        <w:spacing w:line="480" w:lineRule="auto"/>
      </w:pPr>
    </w:p>
    <w:p w14:paraId="4CFA0088" w14:textId="3061A50A"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ED6538">
        <w:t xml:space="preserve">, </w:t>
      </w:r>
      <w:r w:rsidR="00F35716" w:rsidRPr="0005416C">
        <w:rPr>
          <w:i/>
          <w:iCs/>
          <w:lang w:val="el-GR"/>
        </w:rPr>
        <w:t>μ</w:t>
      </w:r>
      <w:r w:rsidR="00F35716" w:rsidRPr="0005416C">
        <w:rPr>
          <w:i/>
          <w:iCs/>
          <w:vertAlign w:val="subscript"/>
        </w:rPr>
        <w:t>d</w:t>
      </w:r>
      <w:r w:rsidR="00ED6538">
        <w:t xml:space="preserve">, </w:t>
      </w:r>
      <w:r w:rsidR="0005416C" w:rsidRPr="0005416C">
        <w:rPr>
          <w:i/>
          <w:iCs/>
          <w:lang w:val="el-GR"/>
        </w:rPr>
        <w:t>σ</w:t>
      </w:r>
      <w:r w:rsidR="0005416C" w:rsidRPr="0005416C">
        <w:rPr>
          <w:i/>
          <w:iCs/>
          <w:vertAlign w:val="superscript"/>
        </w:rPr>
        <w:t>2</w:t>
      </w:r>
      <w:r w:rsidR="00ED6538">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D6538">
        <w:t xml:space="preserve"> </w:t>
      </w:r>
      <w:r w:rsidR="00E428C6">
        <w:rPr>
          <w:lang w:val="el-GR"/>
        </w:rPr>
        <w:t>τ</w:t>
      </w:r>
      <w:r w:rsidRPr="009F5EDA">
        <w:t xml:space="preserve">). </w:t>
      </w:r>
      <w:r>
        <w:t>This allowed us to quantify how reliably different sampling effort (</w:t>
      </w:r>
      <w:r>
        <w:rPr>
          <w:i/>
          <w:iCs/>
        </w:rPr>
        <w:t>E</w:t>
      </w:r>
      <w:r>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58DABC85" w14:textId="4AA1FA1B" w:rsidR="00F65D5F" w:rsidRDefault="00C0694F" w:rsidP="001643E6">
      <w:pPr>
        <w:pStyle w:val="BodyText"/>
        <w:spacing w:line="480" w:lineRule="auto"/>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pPr>
    </w:p>
    <w:p w14:paraId="4B1FC85F" w14:textId="088A87AA" w:rsidR="007D39EF" w:rsidRPr="007D39EF" w:rsidRDefault="007D39EF" w:rsidP="001643E6">
      <w:pPr>
        <w:pStyle w:val="FirstParagraph"/>
        <w:spacing w:line="480" w:lineRule="auto"/>
      </w:pPr>
      <w:bookmarkStart w:id="10" w:name="OLE_LINK5"/>
      <w:r w:rsidRPr="007D39EF">
        <w:lastRenderedPageBreak/>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bookmarkEnd w:id="10"/>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6B485E9E"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w:t>
      </w:r>
      <w:r w:rsidR="00AE5F09">
        <w:t>differently between the two datasets</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4,000 samples</w:t>
      </w:r>
      <w:r w:rsidR="0022466F">
        <w:t xml:space="preserve"> (Figure 2)</w:t>
      </w:r>
      <w:r>
        <w:t xml:space="preserve">. </w:t>
      </w:r>
    </w:p>
    <w:p w14:paraId="465C749A" w14:textId="77777777" w:rsidR="008A2651" w:rsidRDefault="008A2651" w:rsidP="001643E6">
      <w:pPr>
        <w:pStyle w:val="BodyText"/>
        <w:spacing w:line="480" w:lineRule="auto"/>
      </w:pPr>
      <w:bookmarkStart w:id="11" w:name="OLE_LINK7"/>
    </w:p>
    <w:p w14:paraId="566D1DFE" w14:textId="2699025D"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1"/>
      <w:r w:rsidR="00017D18">
        <w:t xml:space="preserve"> </w:t>
      </w:r>
      <w:r>
        <w:t xml:space="preserve">Taking the N=358 subsample as the reference observation set and its prediction on Q as the baseline (Z), we 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2AA982AB"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w:t>
      </w:r>
      <w:r>
        <w:t>discarding the first 1,000 iterations as warm-up. Stan's warm-up phase both discards these initial draws and adapts the sampler's step size and mass matrix, and so is not strictly equivalent to a conventional burn-in.</w:t>
      </w:r>
      <w:r w:rsidR="007C0AAD">
        <w:t xml:space="preserve">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t xml:space="preserve"> function in R (R Core Team, 2024</w:t>
      </w:r>
      <w:r w:rsidR="00CF6917">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2"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3" w:name="fig:dag"/>
      <w:bookmarkEnd w:id="12"/>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6848C889"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w:t>
      </w:r>
      <w:r w:rsidR="00ED6538">
        <w:t xml:space="preserve">, </w:t>
      </w:r>
      <w:r w:rsidR="006B15E7">
        <w:rPr>
          <w:lang w:val="el-GR"/>
        </w:rPr>
        <w:t>ρ</w:t>
      </w:r>
      <w:r w:rsidR="00ED6538">
        <w:t xml:space="preserve">, </w:t>
      </w:r>
      <w:r w:rsidR="006B15E7">
        <w:rPr>
          <w:lang w:val="el-GR"/>
        </w:rPr>
        <w:t>σ</w:t>
      </w:r>
      <w:r w:rsidR="00ED6538">
        <w:t>)</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 xml:space="preserve">=358 samples </w:t>
      </w:r>
      <w:proofErr w:type="gramStart"/>
      <w:r w:rsidR="000607B1" w:rsidRPr="000607B1">
        <w:t>is</w:t>
      </w:r>
      <w:proofErr w:type="gramEnd"/>
      <w:r w:rsidR="000607B1" w:rsidRPr="000607B1">
        <w:t xml:space="preserve">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t>Panel B (in-situ data) applies the same thinning and refitting to the observed dataset (Y, N=358); deviations of the thinned predictions from that baseline quantify ε</w:t>
      </w:r>
      <w:r>
        <w:rPr>
          <w:vertAlign w:val="subscript"/>
        </w:rPr>
        <w:t>1</w:t>
      </w:r>
      <w:r>
        <w:t>.</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4" w:name="results"/>
      <w:bookmarkEnd w:id="5"/>
      <w:bookmarkEnd w:id="9"/>
      <w:bookmarkEnd w:id="13"/>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5" w:name="fig:epsilon"/>
      <w:r w:rsidRPr="00762C7D">
        <w:rPr>
          <w:b/>
          <w:bCs w:val="0"/>
        </w:rPr>
        <w:t>Empirical data</w:t>
      </w:r>
    </w:p>
    <w:p w14:paraId="57347855" w14:textId="10658886" w:rsidR="00D31C68" w:rsidRDefault="000443C6" w:rsidP="001643E6">
      <w:pPr>
        <w:pStyle w:val="BodyText"/>
        <w:spacing w:line="480" w:lineRule="auto"/>
      </w:pPr>
      <w:r w:rsidRPr="000443C6">
        <w:lastRenderedPageBreak/>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BD02A1">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6" w:name="OLE_LINK8"/>
      <w:r w:rsidRPr="003D6E81">
        <w:rPr>
          <w:b/>
          <w:bCs w:val="0"/>
        </w:rPr>
        <w:t>Simulations</w:t>
      </w:r>
    </w:p>
    <w:p w14:paraId="4D52A2D2" w14:textId="2267A288"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ED6538">
        <w:t xml:space="preserve"> =</w:t>
      </w:r>
      <w:r w:rsidR="00BA4360">
        <w:t xml:space="preserve"> </w:t>
      </w:r>
      <w:r w:rsidR="00BA4360" w:rsidRPr="00BA4360">
        <w:t>-0.176) and spatial autocorrelation (</w:t>
      </w:r>
      <w:r w:rsidR="00BA4360" w:rsidRPr="009B6E03">
        <w:rPr>
          <w:i/>
          <w:iCs/>
          <w:lang w:val="el-GR"/>
        </w:rPr>
        <w:t>θ</w:t>
      </w:r>
      <w:r w:rsidR="00ED6538">
        <w:t xml:space="preserve"> </w:t>
      </w:r>
      <w:r w:rsidR="00BA4360" w:rsidRPr="00BA4360">
        <w:t>=</w:t>
      </w:r>
      <w:r w:rsidR="00ED6538">
        <w:t xml:space="preserve"> </w:t>
      </w:r>
      <w:r w:rsidR="00BA4360" w:rsidRPr="00BA4360">
        <w:t>-0.228), with an additional negative interaction (</w:t>
      </w:r>
      <w:r w:rsidR="00BA4360">
        <w:rPr>
          <w:lang w:val="el-GR"/>
        </w:rPr>
        <w:t>γ</w:t>
      </w:r>
      <w:r w:rsidR="00ED6538">
        <w:t xml:space="preserve"> </w:t>
      </w:r>
      <w:r w:rsidR="00BA4360" w:rsidRPr="00BA4360">
        <w:t>=</w:t>
      </w:r>
      <w:r w:rsidR="00ED6538">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ED6538">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ED6538">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6"/>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 xml:space="preserve">ach point represents the marginal change at the midpoint of a unit interval (e.g., E = 1.5 reflects the </w:t>
      </w:r>
      <w:r w:rsidR="007227C3" w:rsidRPr="007227C3">
        <w:lastRenderedPageBreak/>
        <w:t>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w:t>
      </w:r>
      <w:r w:rsidRPr="00F70DB9">
        <w:lastRenderedPageBreak/>
        <w:t>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50C6F48"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lastRenderedPageBreak/>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6036AFB"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7" w:name="fig:epsilon_sp"/>
    </w:p>
    <w:p w14:paraId="5516F1CD" w14:textId="77777777" w:rsidR="0032076E" w:rsidRDefault="00D04708" w:rsidP="001643E6">
      <w:pPr>
        <w:pStyle w:val="Heading1"/>
        <w:spacing w:before="0" w:after="0" w:line="480" w:lineRule="auto"/>
      </w:pPr>
      <w:bookmarkStart w:id="18" w:name="discussion"/>
      <w:bookmarkEnd w:id="14"/>
      <w:bookmarkEnd w:id="17"/>
      <w:r>
        <w:t>Discussion</w:t>
      </w:r>
    </w:p>
    <w:p w14:paraId="5351486F" w14:textId="16269BED" w:rsidR="00390A6F" w:rsidRDefault="00101BFB" w:rsidP="001643E6">
      <w:pPr>
        <w:pStyle w:val="p2"/>
        <w:spacing w:before="0" w:beforeAutospacing="0" w:after="0" w:afterAutospacing="0" w:line="480" w:lineRule="auto"/>
        <w:jc w:val="both"/>
      </w:pPr>
      <w:bookmarkStart w:id="19"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We show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20"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jc w:val="both"/>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both"/>
      </w:pPr>
    </w:p>
    <w:p w14:paraId="08932BE5" w14:textId="05542E5B"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t xml:space="preserve">Once the required precision and ρ are known </w:t>
      </w:r>
      <w:r w:rsidR="000B644D">
        <w:t>(</w:t>
      </w:r>
      <w:r>
        <w:t>from prior literature, pilot sampling or expert judgement</w:t>
      </w:r>
      <w:r w:rsidR="000B644D">
        <w:t>),</w:t>
      </w:r>
      <w:r>
        <w:t xml:space="preserve"> the log</w:t>
      </w:r>
      <w:r w:rsidR="005275B2">
        <w:t>-</w:t>
      </w:r>
      <w:r w:rsidR="007E1D5D" w:rsidRPr="007E1D5D">
        <w:t>log model </w:t>
      </w:r>
      <w:r w:rsidR="007E1D5D">
        <w:rPr>
          <w:lang w:val="el-GR"/>
        </w:rPr>
        <w:t>ε</w:t>
      </w:r>
      <w:r w:rsidR="00ED6538">
        <w:t xml:space="preserve">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ED6538">
        <w:t>(</w:t>
      </w:r>
      <w:r w:rsidR="006D5877">
        <w:t>E</w:t>
      </w:r>
      <w:r w:rsidR="006D5877">
        <w:rPr>
          <w:lang w:val="el-GR"/>
        </w:rPr>
        <w:t>ρ</w:t>
      </w:r>
      <w:r w:rsidR="00ED6538">
        <w:t>)</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r w:rsidR="009F7803">
        <w:t xml:space="preserve"> </w:t>
      </w:r>
    </w:p>
    <w:p w14:paraId="66710A65" w14:textId="77777777" w:rsidR="00376B55" w:rsidRDefault="00376B55" w:rsidP="00376B55">
      <w:pPr>
        <w:pStyle w:val="p3"/>
        <w:spacing w:before="0" w:beforeAutospacing="0" w:after="0" w:afterAutospacing="0" w:line="480" w:lineRule="auto"/>
        <w:jc w:val="both"/>
      </w:pPr>
    </w:p>
    <w:p w14:paraId="6A7B2F03" w14:textId="592F9C28" w:rsidR="00B9718F" w:rsidRDefault="00BA4DE0" w:rsidP="001643E6">
      <w:pPr>
        <w:pStyle w:val="p3"/>
        <w:spacing w:before="0" w:beforeAutospacing="0" w:after="0" w:afterAutospacing="0" w:line="480" w:lineRule="auto"/>
        <w:jc w:val="both"/>
      </w:pPr>
      <w:bookmarkStart w:id="2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t>
      </w:r>
      <w:r w:rsidR="008751E1">
        <w:t>(with high</w:t>
      </w:r>
      <w:r w:rsidR="008751E1" w:rsidRPr="00BA4DE0">
        <w:t xml:space="preserve"> spatial</w:t>
      </w:r>
      <w:r w:rsidR="008751E1">
        <w:t xml:space="preserve"> autocorrelations)</w:t>
      </w:r>
      <w:r w:rsidRPr="00BA4DE0">
        <w:t xml:space="preserve">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lastRenderedPageBreak/>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 xml:space="preserve">10000 </w:t>
      </w:r>
      <w:r w:rsidR="00FF7D1B" w:rsidRPr="00FF7D1B">
        <w:t>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p w14:paraId="39A68EAB" w14:textId="77777777" w:rsidR="008751E1" w:rsidRDefault="008751E1" w:rsidP="001643E6">
      <w:pPr>
        <w:pStyle w:val="p3"/>
        <w:spacing w:before="0" w:beforeAutospacing="0" w:after="0" w:afterAutospacing="0" w:line="480" w:lineRule="auto"/>
        <w:jc w:val="both"/>
      </w:pPr>
    </w:p>
    <w:bookmarkEnd w:id="21"/>
    <w:p w14:paraId="4D9E45C9" w14:textId="77777777" w:rsidR="008751E1" w:rsidRDefault="008751E1" w:rsidP="008751E1">
      <w:pPr>
        <w:pStyle w:val="p3"/>
        <w:spacing w:before="0" w:beforeAutospacing="0" w:after="0" w:afterAutospacing="0" w:line="480" w:lineRule="auto"/>
        <w:jc w:val="both"/>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4C7CBAD4" w:rsidR="00541A82" w:rsidRDefault="00541A82" w:rsidP="001643E6">
      <w:pPr>
        <w:pStyle w:val="p3"/>
        <w:spacing w:before="0" w:beforeAutospacing="0" w:after="0" w:afterAutospacing="0" w:line="480" w:lineRule="auto"/>
        <w:jc w:val="both"/>
      </w:pPr>
      <w:r>
        <w:t>Surface-associated species were consistently patchier than deep-associated ones and showed larger surface–deep differences in mean concentration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xml:space="preserve">. From a sampling-efficiency </w:t>
      </w:r>
      <w:r>
        <w:lastRenderedPageBreak/>
        <w:t>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2057F66" w:rsidR="00E6092D" w:rsidRDefault="00180FAF" w:rsidP="001643E6">
      <w:pPr>
        <w:pStyle w:val="p3"/>
        <w:spacing w:before="0" w:beforeAutospacing="0" w:after="0" w:afterAutospacing="0" w:line="480" w:lineRule="auto"/>
        <w:jc w:val="both"/>
      </w:pPr>
      <w:r w:rsidRPr="00BC5CC1">
        <w:t>E</w:t>
      </w:r>
      <w:r w:rsidR="00D71E05" w:rsidRPr="00BC5CC1">
        <w:t>stimation</w:t>
      </w:r>
      <w:r w:rsidRPr="00BC5CC1">
        <w:t xml:space="preserve"> of </w:t>
      </w:r>
      <w:r w:rsidRPr="00E27661">
        <w:rPr>
          <w:i/>
          <w:iCs/>
          <w:lang w:val="el-GR"/>
        </w:rPr>
        <w:t>μ</w:t>
      </w:r>
      <w:r w:rsidRPr="00E27661">
        <w:rPr>
          <w:i/>
          <w:iCs/>
          <w:vertAlign w:val="subscript"/>
        </w:rPr>
        <w:t>d</w:t>
      </w:r>
      <w:r w:rsidR="00D71E05" w:rsidRPr="00BC5CC1">
        <w:t xml:space="preserve"> improved with increasing effort when </w:t>
      </w:r>
      <w:r w:rsidR="0044757D" w:rsidRPr="00BC5CC1">
        <w:t>scenarios</w:t>
      </w:r>
      <w:r w:rsidR="00D71E05" w:rsidRPr="00BC5CC1">
        <w:t xml:space="preserve"> had </w:t>
      </w:r>
      <w:r w:rsidRPr="00BC5CC1">
        <w:t>small</w:t>
      </w:r>
      <w:r w:rsidR="00D71E05" w:rsidRPr="00BC5CC1">
        <w:t xml:space="preserve"> spatial</w:t>
      </w:r>
      <w:r w:rsidRPr="00BC5CC1">
        <w:t xml:space="preserve"> autocorrelations</w:t>
      </w:r>
      <w:r w:rsidR="00D71E05" w:rsidRPr="00BC5CC1">
        <w:t xml:space="preserve">, but for </w:t>
      </w:r>
      <w:r w:rsidR="002C53EB" w:rsidRPr="00BC5CC1">
        <w:t xml:space="preserve">highly </w:t>
      </w:r>
      <w:r w:rsidR="00D71E05" w:rsidRPr="00BC5CC1">
        <w:t xml:space="preserve">autocorrelated </w:t>
      </w:r>
      <w:r w:rsidR="0044757D" w:rsidRPr="00BC5CC1">
        <w:t>scenarios</w:t>
      </w:r>
      <w:r w:rsidR="002C53EB" w:rsidRPr="00BC5CC1">
        <w:t xml:space="preserve"> (</w:t>
      </w:r>
      <w:r w:rsidR="00D71E05" w:rsidRPr="00BC5CC1">
        <w:t>especially above 400 km</w:t>
      </w:r>
      <w:r w:rsidR="002C53EB" w:rsidRPr="00BC5CC1">
        <w:t>)</w:t>
      </w:r>
      <w:r w:rsidR="00D71E05" w:rsidRPr="00BC5CC1">
        <w:t xml:space="preserve"> error </w:t>
      </w:r>
      <w:r w:rsidR="0044757D" w:rsidRPr="00BC5CC1">
        <w:t>(</w:t>
      </w:r>
      <w:r w:rsidR="00B73005" w:rsidRPr="00E27661">
        <w:rPr>
          <w:i/>
          <w:iCs/>
          <w:lang w:val="el-GR"/>
        </w:rPr>
        <w:t>τ</w:t>
      </w:r>
      <w:r w:rsidR="0044757D" w:rsidRPr="00BC5CC1">
        <w:t xml:space="preserve">) </w:t>
      </w:r>
      <w:r w:rsidR="00D71E05" w:rsidRPr="00BC5CC1">
        <w:t xml:space="preserve">in </w:t>
      </w:r>
      <w:r w:rsidR="00516CB5">
        <w:t xml:space="preserve">estimating </w:t>
      </w:r>
      <w:r w:rsidR="00D71E05" w:rsidRPr="00CD3652">
        <w:rPr>
          <w:i/>
          <w:iCs/>
        </w:rPr>
        <w:t>μ</w:t>
      </w:r>
      <w:r w:rsidR="00D71E05"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p>
    <w:p w14:paraId="070060E8" w14:textId="77777777" w:rsidR="00286ADA" w:rsidRPr="00BC5CC1" w:rsidRDefault="00286ADA" w:rsidP="001643E6">
      <w:pPr>
        <w:pStyle w:val="p3"/>
        <w:spacing w:before="0" w:beforeAutospacing="0" w:after="0" w:afterAutospacing="0" w:line="480" w:lineRule="auto"/>
        <w:jc w:val="both"/>
      </w:pPr>
    </w:p>
    <w:p w14:paraId="25AAB611" w14:textId="624A3AC5"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t xml:space="preserve">sampling effort, provided that the spatial structure is still contained within the extent of the survey. 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Pr>
          <w:noProof/>
        </w:rPr>
        <w:t>(Paciorek, 2010)</w:t>
      </w:r>
      <w:r w:rsidR="000F31EB">
        <w:fldChar w:fldCharType="end"/>
      </w:r>
      <w:r>
        <w:t>.</w:t>
      </w:r>
    </w:p>
    <w:p w14:paraId="25031E9E" w14:textId="77777777" w:rsidR="00286ADA" w:rsidRPr="00BC5CC1" w:rsidRDefault="00286ADA" w:rsidP="001643E6">
      <w:pPr>
        <w:pStyle w:val="p3"/>
        <w:spacing w:before="0" w:beforeAutospacing="0" w:after="0" w:afterAutospacing="0" w:line="480" w:lineRule="auto"/>
        <w:jc w:val="both"/>
      </w:pPr>
    </w:p>
    <w:p w14:paraId="7A4F82FF" w14:textId="7921113D" w:rsidR="003D5CCB" w:rsidRDefault="009C61C5" w:rsidP="001643E6">
      <w:pPr>
        <w:pStyle w:val="p3"/>
        <w:spacing w:before="0" w:beforeAutospacing="0" w:after="0" w:afterAutospacing="0" w:line="480" w:lineRule="auto"/>
        <w:jc w:val="both"/>
      </w:pPr>
      <w:r>
        <w:lastRenderedPageBreak/>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t xml:space="preserve">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This, in turn,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20"/>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026C8C6A" w14:textId="5983753F" w:rsidR="0092112F" w:rsidRDefault="00275178" w:rsidP="0092112F">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w:t>
      </w:r>
      <w:r w:rsidRPr="00CC24BD">
        <w:lastRenderedPageBreak/>
        <w:t>the scale of ten-degree latitude.</w:t>
      </w:r>
      <w:r w:rsidR="00792F2D">
        <w:t xml:space="preserve"> </w:t>
      </w:r>
      <w:r w:rsidR="00690C1C" w:rsidRPr="00CC24BD">
        <w:t>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w:t>
      </w:r>
      <w:r w:rsidR="0092112F" w:rsidRPr="00587753">
        <w:t xml:space="preserve">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rsidR="0092112F">
        <w:t xml:space="preserve">. </w:t>
      </w:r>
      <w:r w:rsidR="0092112F" w:rsidRPr="00587753">
        <w:t>Our framework accounts for these sources</w:t>
      </w:r>
      <w:r w:rsidR="0092112F">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w:t>
      </w:r>
      <w:r w:rsidR="0092112F" w:rsidRPr="00587753">
        <w:t>so they are unlikely to bias the results presented here. Finally, ecological processes such as migration, schooling, habitat discontinuities, or patchy prey fields can generate multi-scale patterns that depart from a single characteristic length-scale</w:t>
      </w:r>
      <w:r w:rsidR="0092112F">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xml:space="preserve">. </w:t>
      </w:r>
      <w:r w:rsidR="0092112F" w:rsidRPr="00587753">
        <w:t>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30854AE1" w14:textId="77777777" w:rsidR="00587753" w:rsidRPr="00CC24BD" w:rsidRDefault="00587753" w:rsidP="001643E6">
      <w:pPr>
        <w:pStyle w:val="p3"/>
        <w:spacing w:before="0" w:beforeAutospacing="0" w:after="0" w:afterAutospacing="0" w:line="480" w:lineRule="auto"/>
        <w:jc w:val="both"/>
      </w:pPr>
    </w:p>
    <w:p w14:paraId="5B85BEC3" w14:textId="76ECFAC7" w:rsidR="00D62DEA" w:rsidRDefault="00D62DEA" w:rsidP="001643E6">
      <w:pPr>
        <w:pStyle w:val="p2"/>
        <w:spacing w:before="0" w:beforeAutospacing="0" w:after="0" w:afterAutospacing="0" w:line="480" w:lineRule="auto"/>
        <w:jc w:val="both"/>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 xml:space="preserve">Our prediction error (ε2) is also computed </w:t>
      </w:r>
      <w:r w:rsidRPr="00D62DEA">
        <w:lastRenderedPageBreak/>
        <w:t>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both"/>
      </w:pPr>
    </w:p>
    <w:p w14:paraId="551C9684" w14:textId="125728D5"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773AFD">
        <w:t>.</w:t>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length-scale</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02E94553" w:rsidR="00D34C42" w:rsidRDefault="005A5E64" w:rsidP="001643E6">
      <w:pPr>
        <w:pStyle w:val="p2"/>
        <w:spacing w:before="0" w:beforeAutospacing="0" w:after="0" w:afterAutospacing="0" w:line="480" w:lineRule="auto"/>
        <w:jc w:val="both"/>
      </w:pPr>
      <w:bookmarkStart w:id="22"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3" w:name="OLE_LINK1"/>
      <w:bookmarkEnd w:id="22"/>
      <w:r w:rsidRPr="00870EEE">
        <w:rPr>
          <w:rFonts w:ascii="Times New Roman" w:eastAsia="Times New Roman" w:hAnsi="Times New Roman" w:cs="Times New Roman"/>
          <w:b/>
          <w:bCs/>
        </w:rPr>
        <w:t xml:space="preserve">Implications for survey design and management applications </w:t>
      </w:r>
    </w:p>
    <w:p w14:paraId="10721492" w14:textId="7D7BC227" w:rsidR="00F04F50" w:rsidRPr="00D12FC8" w:rsidRDefault="009A110E" w:rsidP="001643E6">
      <w:pPr>
        <w:spacing w:after="0" w:line="480" w:lineRule="auto"/>
        <w:jc w:val="both"/>
        <w:rPr>
          <w:rFonts w:ascii="Times New Roman" w:eastAsia="Times New Roman" w:hAnsi="Times New Roman" w:cs="Times New Roman"/>
        </w:rPr>
      </w:pPr>
      <w:bookmarkStart w:id="24" w:name="OLE_LINK4"/>
      <w:bookmarkEnd w:id="23"/>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r w:rsidR="002E6AE6">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4"/>
    <w:p w14:paraId="0697FEC0" w14:textId="633DD506"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both"/>
        <w:rPr>
          <w:rFonts w:ascii="Times New Roman" w:eastAsia="Times New Roman" w:hAnsi="Times New Roman" w:cs="Times New Roman"/>
        </w:rPr>
      </w:pPr>
    </w:p>
    <w:p w14:paraId="34C4184A" w14:textId="67BC5924" w:rsidR="00CE2CA0" w:rsidRDefault="00CE2CA0" w:rsidP="001643E6">
      <w:pPr>
        <w:spacing w:after="0" w:line="480" w:lineRule="auto"/>
        <w:jc w:val="both"/>
        <w:rPr>
          <w:rFonts w:ascii="Times New Roman" w:eastAsia="Times New Roman" w:hAnsi="Times New Roman" w:cs="Times New Roman"/>
        </w:rPr>
      </w:pPr>
      <w:r w:rsidRPr="00CE2CA0">
        <w:rPr>
          <w:rFonts w:ascii="Times New Roman" w:eastAsia="Times New Roman" w:hAnsi="Times New Roman" w:cs="Times New Roman"/>
        </w:rPr>
        <w:lastRenderedPageBreak/>
        <w:t xml:space="preserve">Taken together, these results suggest that the framework translates into a small set of design considerations that can be resolved before a cruise is planned.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allows Eq. 6 to be used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proofErr w:type="spellStart"/>
      <w:r w:rsidRPr="00CE2CA0">
        <w:rPr>
          <w:rFonts w:ascii="Times New Roman" w:eastAsia="Times New Roman" w:hAnsi="Times New Roman" w:cs="Times New Roman"/>
        </w:rPr>
        <w:t>programmes</w:t>
      </w:r>
      <w:proofErr w:type="spellEnd"/>
      <w:r w:rsidRPr="00CE2CA0">
        <w:rPr>
          <w:rFonts w:ascii="Times New Roman" w:eastAsia="Times New Roman" w:hAnsi="Times New Roman" w:cs="Times New Roman"/>
        </w:rPr>
        <w:t xml:space="preserve">, these considerations are most appropriately governed by the patchiest </w:t>
      </w:r>
      <w:proofErr w:type="spellStart"/>
      <w:r w:rsidRPr="00CE2CA0">
        <w:rPr>
          <w:rFonts w:ascii="Times New Roman" w:eastAsia="Times New Roman" w:hAnsi="Times New Roman" w:cs="Times New Roman"/>
        </w:rPr>
        <w:t>taxon</w:t>
      </w:r>
      <w:proofErr w:type="spellEnd"/>
      <w:r w:rsidRPr="00CE2CA0">
        <w:rPr>
          <w:rFonts w:ascii="Times New Roman" w:eastAsia="Times New Roman" w:hAnsi="Times New Roman" w:cs="Times New Roman"/>
        </w:rPr>
        <w:t xml:space="preserve"> the survey is intended to resolve.</w:t>
      </w:r>
    </w:p>
    <w:p w14:paraId="78F5CE79" w14:textId="7327C70B" w:rsidR="00820F4B" w:rsidRDefault="00000000" w:rsidP="00CE2CA0">
      <w:pPr>
        <w:pStyle w:val="p3"/>
        <w:spacing w:line="480" w:lineRule="auto"/>
        <w:jc w:val="both"/>
      </w:pPr>
      <w:r>
        <w:t>Applied to existing programs this yields a concrete conclusion. The West Coast eDNA grid analy</w:t>
      </w:r>
      <w:r w:rsidR="00CE2CA0">
        <w:t>z</w:t>
      </w:r>
      <w:r>
        <w:t>ed here (3.6 samples per 10,000 km</w:t>
      </w:r>
      <w:r>
        <w:rPr>
          <w:vertAlign w:val="superscript"/>
        </w:rPr>
        <w:t>2</w:t>
      </w:r>
      <w:r>
        <w:t xml:space="preserve"> per depth layer) and the </w:t>
      </w:r>
      <w:proofErr w:type="spellStart"/>
      <w:r>
        <w:t>CalCOFI</w:t>
      </w:r>
      <w:proofErr w:type="spellEnd"/>
      <w:r>
        <w:t xml:space="preserve">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jc w:val="both"/>
      </w:pPr>
      <w:r>
        <w:lastRenderedPageBreak/>
        <w:t xml:space="preserve">For managers and survey designers the practical message is that effort should be set by the patchiness of the taxa a </w:t>
      </w:r>
      <w:proofErr w:type="spellStart"/>
      <w:r>
        <w:t>programme</w:t>
      </w:r>
      <w:proofErr w:type="spellEnd"/>
      <w:r>
        <w:t xml:space="preserve"> is required to resolve and by the decision the data must support, and that both can be specified in advance rather than discovered afterwards. </w:t>
      </w:r>
      <w:r w:rsidR="002E285D" w:rsidRPr="007954AF">
        <w:t xml:space="preserve">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0145BE">
        <w:t xml:space="preserve">. </w:t>
      </w:r>
    </w:p>
    <w:p w14:paraId="07D5FE49" w14:textId="77777777" w:rsidR="002877EE" w:rsidRDefault="003A4273" w:rsidP="001643E6">
      <w:pPr>
        <w:spacing w:after="0" w:line="480" w:lineRule="auto"/>
      </w:pPr>
      <w:r>
        <w:br w:type="page"/>
      </w:r>
      <w:bookmarkStart w:id="25" w:name="fig:mu_rho_N"/>
      <w:bookmarkStart w:id="26" w:name="appendix"/>
      <w:bookmarkEnd w:id="18"/>
      <w:bookmarkEnd w:id="19"/>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51FCB494" w14:textId="77777777" w:rsidR="004475F1" w:rsidRDefault="004475F1">
      <w:pPr>
        <w:pStyle w:val="BodyText"/>
        <w:spacing w:line="480" w:lineRule="auto"/>
        <w:rPr>
          <w:b/>
        </w:rPr>
      </w:pPr>
    </w:p>
    <w:p w14:paraId="50E20B05" w14:textId="3F8E526B" w:rsidR="000D6CB9" w:rsidRDefault="00000000">
      <w:pPr>
        <w:pStyle w:val="BodyText"/>
        <w:spacing w:line="480" w:lineRule="auto"/>
      </w:pPr>
      <w:r>
        <w:rPr>
          <w:b/>
        </w:rPr>
        <w:t>Conflict of interest statement</w:t>
      </w:r>
    </w:p>
    <w:p w14:paraId="0ACDADA4" w14:textId="77777777" w:rsidR="000D6CB9" w:rsidRDefault="00000000">
      <w:pPr>
        <w:pStyle w:val="BodyText"/>
        <w:spacing w:line="480" w:lineRule="auto"/>
      </w:pPr>
      <w:r>
        <w:t>The authors declare no conflict of interest.</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w:t>
      </w:r>
      <w:proofErr w:type="spellStart"/>
      <w:r w:rsidRPr="00957362">
        <w:rPr>
          <w:rFonts w:ascii="Times New Roman" w:hAnsi="Times New Roman"/>
          <w:bCs/>
        </w:rPr>
        <w:t>Zenodo</w:t>
      </w:r>
      <w:proofErr w:type="spellEnd"/>
      <w:r w:rsidRPr="00957362">
        <w:rPr>
          <w:rFonts w:ascii="Times New Roman" w:hAnsi="Times New Roman"/>
          <w:bCs/>
        </w:rPr>
        <w:t xml:space="preserve"> repository with </w:t>
      </w:r>
      <w:r w:rsidR="007C4C73" w:rsidRPr="00957362">
        <w:rPr>
          <w:rFonts w:ascii="Times New Roman" w:hAnsi="Times New Roman"/>
          <w:bCs/>
        </w:rPr>
        <w:t xml:space="preserve">DOI number 10.5281/zenodo.21141367 and the code can be found on GitHub repository </w:t>
      </w:r>
      <w:hyperlink r:id="rId17"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5"/>
    <w:bookmarkEnd w:id="26"/>
    <w:p w14:paraId="2D34DFAE" w14:textId="77777777" w:rsidR="0092112F" w:rsidRPr="0092112F" w:rsidRDefault="00F553D1" w:rsidP="0092112F">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proofErr w:type="spellStart"/>
      <w:r w:rsidR="0092112F" w:rsidRPr="0092112F">
        <w:rPr>
          <w:rFonts w:cs="Times New Roman"/>
        </w:rPr>
        <w:t>Baetscher</w:t>
      </w:r>
      <w:proofErr w:type="spellEnd"/>
      <w:r w:rsidR="0092112F" w:rsidRPr="0092112F">
        <w:rPr>
          <w:rFonts w:cs="Times New Roman"/>
        </w:rPr>
        <w:t xml:space="preserve">,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6075CE7B" w14:textId="77777777" w:rsidR="0092112F" w:rsidRPr="0092112F" w:rsidRDefault="0092112F" w:rsidP="0092112F">
      <w:pPr>
        <w:pStyle w:val="Bibliography"/>
        <w:rPr>
          <w:rFonts w:cs="Times New Roman"/>
        </w:rPr>
      </w:pPr>
      <w:r w:rsidRPr="0092112F">
        <w:rPr>
          <w:rFonts w:cs="Times New Roman"/>
        </w:rPr>
        <w:t xml:space="preserve">Bessey, C., Jarman, S. N., Berry, O., Olsen, Y. S., Bunce, M., Simpson, T., Power, M., McLaughlin, J., Edgar, G. J., &amp; </w:t>
      </w:r>
      <w:proofErr w:type="spellStart"/>
      <w:r w:rsidRPr="0092112F">
        <w:rPr>
          <w:rFonts w:cs="Times New Roman"/>
        </w:rPr>
        <w:t>Keesing</w:t>
      </w:r>
      <w:proofErr w:type="spellEnd"/>
      <w:r w:rsidRPr="0092112F">
        <w:rPr>
          <w:rFonts w:cs="Times New Roman"/>
        </w:rPr>
        <w:t xml:space="preserve">,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227F2E56" w14:textId="77777777" w:rsidR="0092112F" w:rsidRPr="0092112F" w:rsidRDefault="0092112F" w:rsidP="0092112F">
      <w:pPr>
        <w:pStyle w:val="Bibliography"/>
        <w:rPr>
          <w:rFonts w:cs="Times New Roman"/>
        </w:rPr>
      </w:pPr>
      <w:r w:rsidRPr="0092112F">
        <w:rPr>
          <w:rFonts w:cs="Times New Roman"/>
        </w:rPr>
        <w:lastRenderedPageBreak/>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04215111" w14:textId="77777777" w:rsidR="0092112F" w:rsidRPr="0092112F" w:rsidRDefault="0092112F" w:rsidP="0092112F">
      <w:pPr>
        <w:pStyle w:val="Bibliography"/>
        <w:rPr>
          <w:rFonts w:cs="Times New Roman"/>
        </w:rPr>
      </w:pPr>
      <w:r w:rsidRPr="0092112F">
        <w:rPr>
          <w:rFonts w:cs="Times New Roman"/>
        </w:rPr>
        <w:t xml:space="preserve">Callahan, B. J., McMurdie, P. J., Rosen, M. J., Han, A. W., Johnson, A. J. A., &amp; Holmes, S. P. (2016). DADA2: High-resolution sample inference from Illumina amplicon data. </w:t>
      </w:r>
      <w:r w:rsidRPr="0092112F">
        <w:rPr>
          <w:rFonts w:cs="Times New Roman"/>
          <w:i/>
          <w:iCs/>
        </w:rPr>
        <w:t>Nature Methods</w:t>
      </w:r>
      <w:r w:rsidRPr="0092112F">
        <w:rPr>
          <w:rFonts w:cs="Times New Roman"/>
        </w:rPr>
        <w:t xml:space="preserve">, </w:t>
      </w:r>
      <w:r w:rsidRPr="0092112F">
        <w:rPr>
          <w:rFonts w:cs="Times New Roman"/>
          <w:i/>
          <w:iCs/>
        </w:rPr>
        <w:t>13</w:t>
      </w:r>
      <w:r w:rsidRPr="0092112F">
        <w:rPr>
          <w:rFonts w:cs="Times New Roman"/>
        </w:rPr>
        <w:t>(7), 581–583. https://doi.org/10.1038/nmeth.3869</w:t>
      </w:r>
    </w:p>
    <w:p w14:paraId="0D2FB905" w14:textId="77777777" w:rsidR="0092112F" w:rsidRPr="0092112F" w:rsidRDefault="0092112F" w:rsidP="0092112F">
      <w:pPr>
        <w:pStyle w:val="Bibliography"/>
        <w:rPr>
          <w:rFonts w:cs="Times New Roman"/>
        </w:rPr>
      </w:pPr>
      <w:r w:rsidRPr="0092112F">
        <w:rPr>
          <w:rFonts w:cs="Times New Roman"/>
        </w:rPr>
        <w:t xml:space="preserve">Dormann, C. F., McPherson, J. M., Araújo, M. B., </w:t>
      </w:r>
      <w:proofErr w:type="spellStart"/>
      <w:r w:rsidRPr="0092112F">
        <w:rPr>
          <w:rFonts w:cs="Times New Roman"/>
        </w:rPr>
        <w:t>Bivand</w:t>
      </w:r>
      <w:proofErr w:type="spellEnd"/>
      <w:r w:rsidRPr="0092112F">
        <w:rPr>
          <w:rFonts w:cs="Times New Roman"/>
        </w:rPr>
        <w:t xml:space="preserve">, R., Bolliger, J., Carl, G., Davies, R. G., Hirzel, A., </w:t>
      </w:r>
      <w:proofErr w:type="spellStart"/>
      <w:r w:rsidRPr="0092112F">
        <w:rPr>
          <w:rFonts w:cs="Times New Roman"/>
        </w:rPr>
        <w:t>Jetz</w:t>
      </w:r>
      <w:proofErr w:type="spellEnd"/>
      <w:r w:rsidRPr="0092112F">
        <w:rPr>
          <w:rFonts w:cs="Times New Roman"/>
        </w:rPr>
        <w:t xml:space="preserve">, W., Daniel Kissling, W., Kühn, I., </w:t>
      </w:r>
      <w:proofErr w:type="spellStart"/>
      <w:r w:rsidRPr="0092112F">
        <w:rPr>
          <w:rFonts w:cs="Times New Roman"/>
        </w:rPr>
        <w:t>Ohlemüller</w:t>
      </w:r>
      <w:proofErr w:type="spellEnd"/>
      <w:r w:rsidRPr="0092112F">
        <w:rPr>
          <w:rFonts w:cs="Times New Roman"/>
        </w:rPr>
        <w:t xml:space="preserve">, R., Peres‐Neto, P. R., Reineking, B., Schröder, B., Schurr, F. M., &amp; Wilson, R. (2007). Methods to account for spatial autocorrelation in the analysis of species distributional data: A review. </w:t>
      </w:r>
      <w:proofErr w:type="spellStart"/>
      <w:r w:rsidRPr="0092112F">
        <w:rPr>
          <w:rFonts w:cs="Times New Roman"/>
          <w:i/>
          <w:iCs/>
        </w:rPr>
        <w:t>Ecography</w:t>
      </w:r>
      <w:proofErr w:type="spellEnd"/>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AD99EFF" w14:textId="77777777" w:rsidR="0092112F" w:rsidRPr="0092112F" w:rsidRDefault="0092112F" w:rsidP="0092112F">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09B5A6F5" w14:textId="77777777" w:rsidR="0092112F" w:rsidRPr="0092112F" w:rsidRDefault="0092112F" w:rsidP="0092112F">
      <w:pPr>
        <w:pStyle w:val="Bibliography"/>
        <w:rPr>
          <w:rFonts w:cs="Times New Roman"/>
        </w:rPr>
      </w:pPr>
      <w:r w:rsidRPr="0092112F">
        <w:rPr>
          <w:rFonts w:cs="Times New Roman"/>
        </w:rPr>
        <w:t xml:space="preserve">Fukaya, K., Murakami, H., Yoon, S., Minami, K., Osada, Y., Yamamoto, S., Masuda, R., Kasai, A., Miyashita, K., Minamoto, T., &amp; </w:t>
      </w:r>
      <w:proofErr w:type="spellStart"/>
      <w:r w:rsidRPr="0092112F">
        <w:rPr>
          <w:rFonts w:cs="Times New Roman"/>
        </w:rPr>
        <w:t>Kondoh</w:t>
      </w:r>
      <w:proofErr w:type="spellEnd"/>
      <w:r w:rsidRPr="0092112F">
        <w:rPr>
          <w:rFonts w:cs="Times New Roman"/>
        </w:rPr>
        <w:t xml:space="preserve">,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18D2C452" w14:textId="77777777" w:rsidR="0092112F" w:rsidRPr="0092112F" w:rsidRDefault="0092112F" w:rsidP="0092112F">
      <w:pPr>
        <w:pStyle w:val="Bibliography"/>
        <w:rPr>
          <w:rFonts w:cs="Times New Roman"/>
        </w:rPr>
      </w:pPr>
      <w:r w:rsidRPr="0092112F">
        <w:rPr>
          <w:rFonts w:cs="Times New Roman"/>
        </w:rPr>
        <w:t xml:space="preserve">García‐Machado, E., Normandeau, E., Côté, G., Caza‐Allard, I., Babin, C., &amp; Bernatchez, L. (2024). Evaluating Sampling Designs to Survey Fish Diversity in Lakes </w:t>
      </w:r>
      <w:proofErr w:type="gramStart"/>
      <w:r w:rsidRPr="0092112F">
        <w:rPr>
          <w:rFonts w:cs="Times New Roman"/>
        </w:rPr>
        <w:t>From</w:t>
      </w:r>
      <w:proofErr w:type="gramEnd"/>
      <w:r w:rsidRPr="0092112F">
        <w:rPr>
          <w:rFonts w:cs="Times New Roman"/>
        </w:rPr>
        <w:t xml:space="preserve">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68C243EB" w14:textId="77777777" w:rsidR="0092112F" w:rsidRPr="0092112F" w:rsidRDefault="0092112F" w:rsidP="0092112F">
      <w:pPr>
        <w:pStyle w:val="Bibliography"/>
        <w:rPr>
          <w:rFonts w:cs="Times New Roman"/>
        </w:rPr>
      </w:pPr>
      <w:r w:rsidRPr="0092112F">
        <w:rPr>
          <w:rFonts w:cs="Times New Roman"/>
        </w:rPr>
        <w:t xml:space="preserve">Gloor, G. B., </w:t>
      </w:r>
      <w:proofErr w:type="spellStart"/>
      <w:r w:rsidRPr="0092112F">
        <w:rPr>
          <w:rFonts w:cs="Times New Roman"/>
        </w:rPr>
        <w:t>Macklaim</w:t>
      </w:r>
      <w:proofErr w:type="spellEnd"/>
      <w:r w:rsidRPr="0092112F">
        <w:rPr>
          <w:rFonts w:cs="Times New Roman"/>
        </w:rPr>
        <w:t xml:space="preserve">, J. M., </w:t>
      </w:r>
      <w:proofErr w:type="spellStart"/>
      <w:r w:rsidRPr="0092112F">
        <w:rPr>
          <w:rFonts w:cs="Times New Roman"/>
        </w:rPr>
        <w:t>Pawlowsky</w:t>
      </w:r>
      <w:proofErr w:type="spellEnd"/>
      <w:r w:rsidRPr="0092112F">
        <w:rPr>
          <w:rFonts w:cs="Times New Roman"/>
        </w:rPr>
        <w:t xml:space="preserve">-Glahn, V., &amp; </w:t>
      </w:r>
      <w:proofErr w:type="spellStart"/>
      <w:r w:rsidRPr="0092112F">
        <w:rPr>
          <w:rFonts w:cs="Times New Roman"/>
        </w:rPr>
        <w:t>Egozcue</w:t>
      </w:r>
      <w:proofErr w:type="spellEnd"/>
      <w:r w:rsidRPr="0092112F">
        <w:rPr>
          <w:rFonts w:cs="Times New Roman"/>
        </w:rPr>
        <w:t xml:space="preserv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7FB48F2B" w14:textId="77777777" w:rsidR="0092112F" w:rsidRPr="0092112F" w:rsidRDefault="0092112F" w:rsidP="0092112F">
      <w:pPr>
        <w:pStyle w:val="Bibliography"/>
        <w:rPr>
          <w:rFonts w:cs="Times New Roman"/>
        </w:rPr>
      </w:pPr>
      <w:r w:rsidRPr="0092112F">
        <w:rPr>
          <w:rFonts w:cs="Times New Roman"/>
        </w:rPr>
        <w:lastRenderedPageBreak/>
        <w:t xml:space="preserve">Gold, Z., Sprague, J., Kushner, D. J., Marin, E. Z., &amp; Barber, P. H. (2021). eDNA metabarcoding as a biomonitoring tool for marine protected areas. </w:t>
      </w:r>
      <w:proofErr w:type="spellStart"/>
      <w:r w:rsidRPr="0092112F">
        <w:rPr>
          <w:rFonts w:cs="Times New Roman"/>
          <w:i/>
          <w:iCs/>
        </w:rPr>
        <w:t>PLoS</w:t>
      </w:r>
      <w:proofErr w:type="spellEnd"/>
      <w:r w:rsidRPr="0092112F">
        <w:rPr>
          <w:rFonts w:cs="Times New Roman"/>
          <w:i/>
          <w:iCs/>
        </w:rPr>
        <w:t xml:space="preserve">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4CE56E0A" w14:textId="77777777" w:rsidR="0092112F" w:rsidRPr="0092112F" w:rsidRDefault="0092112F" w:rsidP="0092112F">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8BB546B" w14:textId="77777777" w:rsidR="0092112F" w:rsidRPr="0092112F" w:rsidRDefault="0092112F" w:rsidP="0092112F">
      <w:pPr>
        <w:pStyle w:val="Bibliography"/>
        <w:rPr>
          <w:rFonts w:cs="Times New Roman"/>
        </w:rPr>
      </w:pPr>
      <w:r w:rsidRPr="0092112F">
        <w:rPr>
          <w:rFonts w:cs="Times New Roman"/>
        </w:rPr>
        <w:t xml:space="preserve">Guri, G., Shelton, A. O., Kelly, R. P., </w:t>
      </w:r>
      <w:proofErr w:type="spellStart"/>
      <w:r w:rsidRPr="0092112F">
        <w:rPr>
          <w:rFonts w:cs="Times New Roman"/>
        </w:rPr>
        <w:t>Yoccoz</w:t>
      </w:r>
      <w:proofErr w:type="spellEnd"/>
      <w:r w:rsidRPr="0092112F">
        <w:rPr>
          <w:rFonts w:cs="Times New Roman"/>
        </w:rPr>
        <w:t xml:space="preserve">, N., Johansen, T., Præbel, K., </w:t>
      </w:r>
      <w:proofErr w:type="spellStart"/>
      <w:r w:rsidRPr="0092112F">
        <w:rPr>
          <w:rFonts w:cs="Times New Roman"/>
        </w:rPr>
        <w:t>Hanebrekke</w:t>
      </w:r>
      <w:proofErr w:type="spellEnd"/>
      <w:r w:rsidRPr="0092112F">
        <w:rPr>
          <w:rFonts w:cs="Times New Roman"/>
        </w:rPr>
        <w:t xml:space="preserv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5A25E17" w14:textId="77777777" w:rsidR="0092112F" w:rsidRPr="0092112F" w:rsidRDefault="0092112F" w:rsidP="0092112F">
      <w:pPr>
        <w:pStyle w:val="Bibliography"/>
        <w:rPr>
          <w:rFonts w:cs="Times New Roman"/>
        </w:rPr>
      </w:pPr>
      <w:r w:rsidRPr="0092112F">
        <w:rPr>
          <w:rFonts w:cs="Times New Roman"/>
        </w:rPr>
        <w:t xml:space="preserve">Guri, G., Westgaard, J., </w:t>
      </w:r>
      <w:proofErr w:type="spellStart"/>
      <w:r w:rsidRPr="0092112F">
        <w:rPr>
          <w:rFonts w:cs="Times New Roman"/>
        </w:rPr>
        <w:t>Yoccoz</w:t>
      </w:r>
      <w:proofErr w:type="spellEnd"/>
      <w:r w:rsidRPr="0092112F">
        <w:rPr>
          <w:rFonts w:cs="Times New Roman"/>
        </w:rPr>
        <w:t xml:space="preserve">, N., Wangensteen, O. S., Præbel, K., Ray, J. L., Kelly, R. P., Shelton, A. O., Hanebrekke, T., &amp; Johansen, T. (2023). Maximizing sampling efficiency to detect differences in fish community composition using environmental DNA metabarcoding in subarctic fjords. </w:t>
      </w:r>
      <w:r w:rsidRPr="0092112F">
        <w:rPr>
          <w:rFonts w:cs="Times New Roman"/>
          <w:i/>
          <w:iCs/>
        </w:rPr>
        <w:t>Environmental DNA</w:t>
      </w:r>
      <w:r w:rsidRPr="0092112F">
        <w:rPr>
          <w:rFonts w:cs="Times New Roman"/>
        </w:rPr>
        <w:t>, edn3.409. https://doi.org/10.1002/edn3.409</w:t>
      </w:r>
    </w:p>
    <w:p w14:paraId="210094AA" w14:textId="77777777" w:rsidR="0092112F" w:rsidRPr="0092112F" w:rsidRDefault="0092112F" w:rsidP="0092112F">
      <w:pPr>
        <w:pStyle w:val="Bibliography"/>
        <w:rPr>
          <w:rFonts w:cs="Times New Roman"/>
        </w:rPr>
      </w:pPr>
      <w:r w:rsidRPr="0092112F">
        <w:rPr>
          <w:rFonts w:cs="Times New Roman"/>
        </w:rPr>
        <w:t xml:space="preserve">Jo, T. S., Murakami, H., &amp; </w:t>
      </w:r>
      <w:proofErr w:type="spellStart"/>
      <w:r w:rsidRPr="0092112F">
        <w:rPr>
          <w:rFonts w:cs="Times New Roman"/>
        </w:rPr>
        <w:t>Nakadai</w:t>
      </w:r>
      <w:proofErr w:type="spellEnd"/>
      <w:r w:rsidRPr="0092112F">
        <w:rPr>
          <w:rFonts w:cs="Times New Roman"/>
        </w:rPr>
        <w:t xml:space="preserve">,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2E53FE59" w14:textId="77777777" w:rsidR="0092112F" w:rsidRPr="0092112F" w:rsidRDefault="0092112F" w:rsidP="0092112F">
      <w:pPr>
        <w:pStyle w:val="Bibliography"/>
        <w:rPr>
          <w:rFonts w:cs="Times New Roman"/>
        </w:rPr>
      </w:pPr>
      <w:r w:rsidRPr="0092112F">
        <w:rPr>
          <w:rFonts w:cs="Times New Roman"/>
        </w:rPr>
        <w:t xml:space="preserve">Kaufman, C. G., &amp; </w:t>
      </w:r>
      <w:proofErr w:type="spellStart"/>
      <w:r w:rsidRPr="0092112F">
        <w:rPr>
          <w:rFonts w:cs="Times New Roman"/>
        </w:rPr>
        <w:t>Shaby</w:t>
      </w:r>
      <w:proofErr w:type="spellEnd"/>
      <w:r w:rsidRPr="0092112F">
        <w:rPr>
          <w:rFonts w:cs="Times New Roman"/>
        </w:rPr>
        <w:t xml:space="preserve">, B. A. (2013). The role of the range parameter for estimation and prediction in </w:t>
      </w:r>
      <w:proofErr w:type="spellStart"/>
      <w:r w:rsidRPr="0092112F">
        <w:rPr>
          <w:rFonts w:cs="Times New Roman"/>
        </w:rPr>
        <w:t>geostatistics</w:t>
      </w:r>
      <w:proofErr w:type="spellEnd"/>
      <w:r w:rsidRPr="0092112F">
        <w:rPr>
          <w:rFonts w:cs="Times New Roman"/>
        </w:rPr>
        <w:t xml:space="preserve">. </w:t>
      </w:r>
      <w:proofErr w:type="spellStart"/>
      <w:r w:rsidRPr="0092112F">
        <w:rPr>
          <w:rFonts w:cs="Times New Roman"/>
          <w:i/>
          <w:iCs/>
        </w:rPr>
        <w:t>Biometrika</w:t>
      </w:r>
      <w:proofErr w:type="spellEnd"/>
      <w:r w:rsidRPr="0092112F">
        <w:rPr>
          <w:rFonts w:cs="Times New Roman"/>
        </w:rPr>
        <w:t xml:space="preserve">, </w:t>
      </w:r>
      <w:r w:rsidRPr="0092112F">
        <w:rPr>
          <w:rFonts w:cs="Times New Roman"/>
          <w:i/>
          <w:iCs/>
        </w:rPr>
        <w:t>100</w:t>
      </w:r>
      <w:r w:rsidRPr="0092112F">
        <w:rPr>
          <w:rFonts w:cs="Times New Roman"/>
        </w:rPr>
        <w:t>(2), 473–484. https://doi.org/10.1093/biomet/ass079</w:t>
      </w:r>
    </w:p>
    <w:p w14:paraId="675165D6" w14:textId="77777777" w:rsidR="0092112F" w:rsidRPr="0092112F" w:rsidRDefault="0092112F" w:rsidP="0092112F">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38BCA3DA" w14:textId="77777777" w:rsidR="0092112F" w:rsidRPr="0092112F" w:rsidRDefault="0092112F" w:rsidP="0092112F">
      <w:pPr>
        <w:pStyle w:val="Bibliography"/>
        <w:rPr>
          <w:rFonts w:cs="Times New Roman"/>
        </w:rPr>
      </w:pPr>
      <w:proofErr w:type="spellStart"/>
      <w:r w:rsidRPr="0092112F">
        <w:rPr>
          <w:rFonts w:cs="Times New Roman"/>
        </w:rPr>
        <w:t>Kirtane</w:t>
      </w:r>
      <w:proofErr w:type="spellEnd"/>
      <w:r w:rsidRPr="0092112F">
        <w:rPr>
          <w:rFonts w:cs="Times New Roman"/>
        </w:rPr>
        <w:t xml:space="preserve">, A., Wieczorek, D., Noji, T., Baskin, L., Ober, C., </w:t>
      </w:r>
      <w:proofErr w:type="spellStart"/>
      <w:r w:rsidRPr="0092112F">
        <w:rPr>
          <w:rFonts w:cs="Times New Roman"/>
        </w:rPr>
        <w:t>Plosica</w:t>
      </w:r>
      <w:proofErr w:type="spellEnd"/>
      <w:r w:rsidRPr="0092112F">
        <w:rPr>
          <w:rFonts w:cs="Times New Roman"/>
        </w:rPr>
        <w:t xml:space="preserve">, R., Chenoweth, A., Lynch, K., &amp; </w:t>
      </w:r>
      <w:proofErr w:type="spellStart"/>
      <w:r w:rsidRPr="0092112F">
        <w:rPr>
          <w:rFonts w:cs="Times New Roman"/>
        </w:rPr>
        <w:t>Sassoubre</w:t>
      </w:r>
      <w:proofErr w:type="spellEnd"/>
      <w:r w:rsidRPr="0092112F">
        <w:rPr>
          <w:rFonts w:cs="Times New Roman"/>
        </w:rPr>
        <w:t xml:space="preserv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37E6A542" w14:textId="77777777" w:rsidR="0092112F" w:rsidRPr="0092112F" w:rsidRDefault="0092112F" w:rsidP="0092112F">
      <w:pPr>
        <w:pStyle w:val="Bibliography"/>
        <w:rPr>
          <w:rFonts w:cs="Times New Roman"/>
        </w:rPr>
      </w:pPr>
      <w:r w:rsidRPr="0092112F">
        <w:rPr>
          <w:rFonts w:cs="Times New Roman"/>
        </w:rPr>
        <w:lastRenderedPageBreak/>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265E9E42" w14:textId="77777777" w:rsidR="0092112F" w:rsidRPr="0092112F" w:rsidRDefault="0092112F" w:rsidP="0092112F">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16EA162E" w14:textId="77777777" w:rsidR="0092112F" w:rsidRPr="0092112F" w:rsidRDefault="0092112F" w:rsidP="0092112F">
      <w:pPr>
        <w:pStyle w:val="Bibliography"/>
        <w:rPr>
          <w:rFonts w:cs="Times New Roman"/>
        </w:rPr>
      </w:pPr>
      <w:r w:rsidRPr="0092112F">
        <w:rPr>
          <w:rFonts w:cs="Times New Roman"/>
        </w:rPr>
        <w:t>Liu, O. R., Shelton, A. O., Ramón-Laca, A., Nichols, K. M., Ward, E. J., Phillips, E. M., Zamon, J. E., Wells, A., &amp; Kelly, R. P. (2026). Mapping the marine distribution of eulachon (</w:t>
      </w:r>
      <w:proofErr w:type="spellStart"/>
      <w:r w:rsidRPr="0092112F">
        <w:rPr>
          <w:rFonts w:cs="Times New Roman"/>
        </w:rPr>
        <w:t>Thaleichthys</w:t>
      </w:r>
      <w:proofErr w:type="spellEnd"/>
      <w:r w:rsidRPr="0092112F">
        <w:rPr>
          <w:rFonts w:cs="Times New Roman"/>
        </w:rPr>
        <w:t xml:space="preserve">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2D61B223" w14:textId="77777777" w:rsidR="0092112F" w:rsidRPr="0092112F" w:rsidRDefault="0092112F" w:rsidP="0092112F">
      <w:pPr>
        <w:pStyle w:val="Bibliography"/>
        <w:rPr>
          <w:rFonts w:cs="Times New Roman"/>
        </w:rPr>
      </w:pPr>
      <w:r w:rsidRPr="0092112F">
        <w:rPr>
          <w:rFonts w:cs="Times New Roman"/>
        </w:rPr>
        <w:t xml:space="preserve">Miya, M., Sato, Y., Fukunaga, T., Sado, T., Poulsen, J. Y., Sato, K., Minamoto, T., Yamamoto, S., Yamanaka, H., Araki, H., </w:t>
      </w:r>
      <w:proofErr w:type="spellStart"/>
      <w:r w:rsidRPr="0092112F">
        <w:rPr>
          <w:rFonts w:cs="Times New Roman"/>
        </w:rPr>
        <w:t>Kondoh</w:t>
      </w:r>
      <w:proofErr w:type="spellEnd"/>
      <w:r w:rsidRPr="0092112F">
        <w:rPr>
          <w:rFonts w:cs="Times New Roman"/>
        </w:rPr>
        <w:t xml:space="preserve">, M., &amp; Iwasaki, W. (2015). </w:t>
      </w:r>
      <w:proofErr w:type="spellStart"/>
      <w:r w:rsidRPr="0092112F">
        <w:rPr>
          <w:rFonts w:cs="Times New Roman"/>
        </w:rPr>
        <w:t>MiFish</w:t>
      </w:r>
      <w:proofErr w:type="spellEnd"/>
      <w:r w:rsidRPr="0092112F">
        <w:rPr>
          <w:rFonts w:cs="Times New Roman"/>
        </w:rPr>
        <w:t xml:space="preserve">, a set of universal PCR primers for metabarcoding environmental DNA from fishes: Detection of more than 230 subtropical marine species. </w:t>
      </w:r>
      <w:r w:rsidRPr="0092112F">
        <w:rPr>
          <w:rFonts w:cs="Times New Roman"/>
          <w:i/>
          <w:iCs/>
        </w:rPr>
        <w:t>Royal Society Open Science</w:t>
      </w:r>
      <w:r w:rsidRPr="0092112F">
        <w:rPr>
          <w:rFonts w:cs="Times New Roman"/>
        </w:rPr>
        <w:t>. https://doi.org/10.1098/rsos.150088</w:t>
      </w:r>
    </w:p>
    <w:p w14:paraId="17FBB0E0" w14:textId="77777777" w:rsidR="0092112F" w:rsidRPr="0092112F" w:rsidRDefault="0092112F" w:rsidP="0092112F">
      <w:pPr>
        <w:pStyle w:val="Bibliography"/>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DBD31C8" w14:textId="77777777" w:rsidR="0092112F" w:rsidRPr="0092112F" w:rsidRDefault="0092112F" w:rsidP="0092112F">
      <w:pPr>
        <w:pStyle w:val="Bibliography"/>
        <w:rPr>
          <w:rFonts w:cs="Times New Roman"/>
        </w:rPr>
      </w:pPr>
      <w:r w:rsidRPr="0092112F">
        <w:rPr>
          <w:rFonts w:cs="Times New Roman"/>
        </w:rPr>
        <w:t xml:space="preserve">Paciorek, C. J., &amp; </w:t>
      </w:r>
      <w:proofErr w:type="spellStart"/>
      <w:r w:rsidRPr="0092112F">
        <w:rPr>
          <w:rFonts w:cs="Times New Roman"/>
        </w:rPr>
        <w:t>Schervish</w:t>
      </w:r>
      <w:proofErr w:type="spellEnd"/>
      <w:r w:rsidRPr="0092112F">
        <w:rPr>
          <w:rFonts w:cs="Times New Roman"/>
        </w:rPr>
        <w:t xml:space="preserve">, M. J. (2006). Spatial modelling using a new class of nonstationary covariance functions. </w:t>
      </w:r>
      <w:proofErr w:type="spellStart"/>
      <w:r w:rsidRPr="0092112F">
        <w:rPr>
          <w:rFonts w:cs="Times New Roman"/>
          <w:i/>
          <w:iCs/>
        </w:rPr>
        <w:t>Environmetrics</w:t>
      </w:r>
      <w:proofErr w:type="spellEnd"/>
      <w:r w:rsidRPr="0092112F">
        <w:rPr>
          <w:rFonts w:cs="Times New Roman"/>
        </w:rPr>
        <w:t xml:space="preserve">, </w:t>
      </w:r>
      <w:r w:rsidRPr="0092112F">
        <w:rPr>
          <w:rFonts w:cs="Times New Roman"/>
          <w:i/>
          <w:iCs/>
        </w:rPr>
        <w:t>17</w:t>
      </w:r>
      <w:r w:rsidRPr="0092112F">
        <w:rPr>
          <w:rFonts w:cs="Times New Roman"/>
        </w:rPr>
        <w:t>(5), 483–506. https://doi.org/10.1002/env.785</w:t>
      </w:r>
    </w:p>
    <w:p w14:paraId="4E2B862B" w14:textId="77777777" w:rsidR="0092112F" w:rsidRPr="0092112F" w:rsidRDefault="0092112F" w:rsidP="0092112F">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76C70885" w14:textId="77777777" w:rsidR="0092112F" w:rsidRPr="0092112F" w:rsidRDefault="0092112F" w:rsidP="0092112F">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4C9EBB8B" w14:textId="77777777" w:rsidR="0092112F" w:rsidRPr="0092112F" w:rsidRDefault="0092112F" w:rsidP="0092112F">
      <w:pPr>
        <w:pStyle w:val="Bibliography"/>
        <w:rPr>
          <w:rFonts w:cs="Times New Roman"/>
        </w:rPr>
      </w:pPr>
      <w:r w:rsidRPr="0092112F">
        <w:rPr>
          <w:rFonts w:cs="Times New Roman"/>
        </w:rPr>
        <w:lastRenderedPageBreak/>
        <w:t xml:space="preserve">Radinger, J., Britton, J. R., Carlson, S. M., </w:t>
      </w:r>
      <w:proofErr w:type="spellStart"/>
      <w:r w:rsidRPr="0092112F">
        <w:rPr>
          <w:rFonts w:cs="Times New Roman"/>
        </w:rPr>
        <w:t>Magurran</w:t>
      </w:r>
      <w:proofErr w:type="spellEnd"/>
      <w:r w:rsidRPr="0092112F">
        <w:rPr>
          <w:rFonts w:cs="Times New Roman"/>
        </w:rPr>
        <w:t xml:space="preserve">, A. E., Alcaraz‐Hernández, J. D., Almodóvar, A., </w:t>
      </w:r>
      <w:proofErr w:type="spellStart"/>
      <w:r w:rsidRPr="0092112F">
        <w:rPr>
          <w:rFonts w:cs="Times New Roman"/>
        </w:rPr>
        <w:t>Benejam</w:t>
      </w:r>
      <w:proofErr w:type="spellEnd"/>
      <w:r w:rsidRPr="0092112F">
        <w:rPr>
          <w:rFonts w:cs="Times New Roman"/>
        </w:rPr>
        <w:t xml:space="preserve">,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008DACA0" w14:textId="77777777" w:rsidR="0092112F" w:rsidRPr="0092112F" w:rsidRDefault="0092112F" w:rsidP="0092112F">
      <w:pPr>
        <w:pStyle w:val="Bibliography"/>
        <w:rPr>
          <w:rFonts w:cs="Times New Roman"/>
        </w:rPr>
      </w:pPr>
      <w:r w:rsidRPr="0092112F">
        <w:rPr>
          <w:rFonts w:cs="Times New Roman"/>
        </w:rPr>
        <w:t xml:space="preserve">Ramón-Laca, A., Wells, A., &amp; Park, L. (2021). A workflow for the relative quantification of multiple fish species from oceanic water samples using environmental DNA (eDNA) to support large-scale fishery surveys.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(9), e0257773. https://doi.org/10.1371/journal.pone.0257773</w:t>
      </w:r>
    </w:p>
    <w:p w14:paraId="56242388" w14:textId="77777777" w:rsidR="0092112F" w:rsidRPr="0092112F" w:rsidRDefault="0092112F" w:rsidP="0092112F">
      <w:pPr>
        <w:pStyle w:val="Bibliography"/>
        <w:rPr>
          <w:rFonts w:cs="Times New Roman"/>
        </w:rPr>
      </w:pPr>
      <w:r w:rsidRPr="0092112F">
        <w:rPr>
          <w:rFonts w:cs="Times New Roman"/>
        </w:rPr>
        <w:t xml:space="preserve">Redfern, J., Ferguson, M., Becker, E., </w:t>
      </w:r>
      <w:proofErr w:type="spellStart"/>
      <w:r w:rsidRPr="0092112F">
        <w:rPr>
          <w:rFonts w:cs="Times New Roman"/>
        </w:rPr>
        <w:t>Hyrenbach</w:t>
      </w:r>
      <w:proofErr w:type="spellEnd"/>
      <w:r w:rsidRPr="0092112F">
        <w:rPr>
          <w:rFonts w:cs="Times New Roman"/>
        </w:rPr>
        <w:t xml:space="preserve">, K., Good, C., Barlow, J., Kaschner, K., Baumgartner, M., Forney, K., Ballance, L., </w:t>
      </w:r>
      <w:proofErr w:type="spellStart"/>
      <w:r w:rsidRPr="0092112F">
        <w:rPr>
          <w:rFonts w:cs="Times New Roman"/>
        </w:rPr>
        <w:t>Fauchald</w:t>
      </w:r>
      <w:proofErr w:type="spellEnd"/>
      <w:r w:rsidRPr="0092112F">
        <w:rPr>
          <w:rFonts w:cs="Times New Roman"/>
        </w:rPr>
        <w:t xml:space="preserve">, P., Halpin, P., Hamazaki, T., Pershing, A., Qian, S., Read, A., Reilly, S., Torres, L., &amp; Werne, F. (2006). Techniques for </w:t>
      </w:r>
      <w:proofErr w:type="spellStart"/>
      <w:r w:rsidRPr="0092112F">
        <w:rPr>
          <w:rFonts w:cs="Times New Roman"/>
        </w:rPr>
        <w:t>cetaceanhabitat</w:t>
      </w:r>
      <w:proofErr w:type="spellEnd"/>
      <w:r w:rsidRPr="0092112F">
        <w:rPr>
          <w:rFonts w:cs="Times New Roman"/>
        </w:rPr>
        <w:t xml:space="preserve">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4373F518" w14:textId="77777777" w:rsidR="0092112F" w:rsidRPr="0092112F" w:rsidRDefault="0092112F" w:rsidP="0092112F">
      <w:pPr>
        <w:pStyle w:val="Bibliography"/>
        <w:rPr>
          <w:rFonts w:cs="Times New Roman"/>
        </w:rPr>
      </w:pPr>
      <w:r w:rsidRPr="0092112F">
        <w:rPr>
          <w:rFonts w:cs="Times New Roman"/>
        </w:rPr>
        <w:t xml:space="preserve">Rocha, A. D., Groen, T. A., Skidmore, A. K., &amp; </w:t>
      </w:r>
      <w:proofErr w:type="spellStart"/>
      <w:r w:rsidRPr="0092112F">
        <w:rPr>
          <w:rFonts w:cs="Times New Roman"/>
        </w:rPr>
        <w:t>Willemen</w:t>
      </w:r>
      <w:proofErr w:type="spellEnd"/>
      <w:r w:rsidRPr="0092112F">
        <w:rPr>
          <w:rFonts w:cs="Times New Roman"/>
        </w:rPr>
        <w:t xml:space="preserve">, L. (2021). Role of Sampling Design When Predicting Spatially Dependent Ecological Data </w:t>
      </w:r>
      <w:proofErr w:type="gramStart"/>
      <w:r w:rsidRPr="0092112F">
        <w:rPr>
          <w:rFonts w:cs="Times New Roman"/>
        </w:rPr>
        <w:t>With</w:t>
      </w:r>
      <w:proofErr w:type="gramEnd"/>
      <w:r w:rsidRPr="0092112F">
        <w:rPr>
          <w:rFonts w:cs="Times New Roman"/>
        </w:rPr>
        <w:t xml:space="preserve">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28E731B" w14:textId="77777777" w:rsidR="0092112F" w:rsidRPr="0092112F" w:rsidRDefault="0092112F" w:rsidP="0092112F">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3DE2C766" w14:textId="77777777" w:rsidR="0092112F" w:rsidRPr="0092112F" w:rsidRDefault="0092112F" w:rsidP="0092112F">
      <w:pPr>
        <w:pStyle w:val="Bibliography"/>
        <w:rPr>
          <w:rFonts w:cs="Times New Roman"/>
        </w:rPr>
      </w:pPr>
      <w:r w:rsidRPr="0092112F">
        <w:rPr>
          <w:rFonts w:cs="Times New Roman"/>
        </w:rPr>
        <w:t xml:space="preserve">Schweiger, A. H., Irl, S. D. H., Steinbauer, M. J., Dengler, J., &amp; </w:t>
      </w:r>
      <w:proofErr w:type="spellStart"/>
      <w:r w:rsidRPr="0092112F">
        <w:rPr>
          <w:rFonts w:cs="Times New Roman"/>
        </w:rPr>
        <w:t>Beierkuhnlein</w:t>
      </w:r>
      <w:proofErr w:type="spellEnd"/>
      <w:r w:rsidRPr="0092112F">
        <w:rPr>
          <w:rFonts w:cs="Times New Roman"/>
        </w:rPr>
        <w:t xml:space="preserve">,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40085FCF" w14:textId="77777777" w:rsidR="0092112F" w:rsidRPr="0092112F" w:rsidRDefault="0092112F" w:rsidP="0092112F">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1C50542E" w14:textId="77777777" w:rsidR="0092112F" w:rsidRPr="0092112F" w:rsidRDefault="0092112F" w:rsidP="0092112F">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w:t>
      </w:r>
      <w:r w:rsidRPr="0092112F">
        <w:rPr>
          <w:rFonts w:cs="Times New Roman"/>
        </w:rPr>
        <w:lastRenderedPageBreak/>
        <w:t xml:space="preserve">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50BA233B" w14:textId="77777777" w:rsidR="0092112F" w:rsidRPr="0092112F" w:rsidRDefault="0092112F" w:rsidP="0092112F">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0FE662F5" w14:textId="77777777" w:rsidR="0092112F" w:rsidRPr="0092112F" w:rsidRDefault="0092112F" w:rsidP="0092112F">
      <w:pPr>
        <w:pStyle w:val="Bibliography"/>
        <w:rPr>
          <w:rFonts w:cs="Times New Roman"/>
        </w:rPr>
      </w:pPr>
      <w:r w:rsidRPr="0092112F">
        <w:rPr>
          <w:rFonts w:cs="Times New Roman"/>
        </w:rPr>
        <w:t xml:space="preserve">Stein, A., &amp; </w:t>
      </w:r>
      <w:proofErr w:type="spellStart"/>
      <w:r w:rsidRPr="0092112F">
        <w:rPr>
          <w:rFonts w:cs="Times New Roman"/>
        </w:rPr>
        <w:t>Ettema</w:t>
      </w:r>
      <w:proofErr w:type="spellEnd"/>
      <w:r w:rsidRPr="0092112F">
        <w:rPr>
          <w:rFonts w:cs="Times New Roman"/>
        </w:rPr>
        <w:t xml:space="preserve">,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146F0049" w14:textId="77777777" w:rsidR="0092112F" w:rsidRPr="0092112F" w:rsidRDefault="0092112F" w:rsidP="0092112F">
      <w:pPr>
        <w:pStyle w:val="Bibliography"/>
        <w:rPr>
          <w:rFonts w:cs="Times New Roman"/>
        </w:rPr>
      </w:pPr>
      <w:proofErr w:type="spellStart"/>
      <w:r w:rsidRPr="0092112F">
        <w:rPr>
          <w:rFonts w:cs="Times New Roman"/>
        </w:rPr>
        <w:t>Taberlet</w:t>
      </w:r>
      <w:proofErr w:type="spellEnd"/>
      <w:r w:rsidRPr="0092112F">
        <w:rPr>
          <w:rFonts w:cs="Times New Roman"/>
        </w:rPr>
        <w:t xml:space="preserve">, P., </w:t>
      </w:r>
      <w:proofErr w:type="spellStart"/>
      <w:r w:rsidRPr="0092112F">
        <w:rPr>
          <w:rFonts w:cs="Times New Roman"/>
        </w:rPr>
        <w:t>Coissac</w:t>
      </w:r>
      <w:proofErr w:type="spellEnd"/>
      <w:r w:rsidRPr="0092112F">
        <w:rPr>
          <w:rFonts w:cs="Times New Roman"/>
        </w:rPr>
        <w:t xml:space="preserve">, E., </w:t>
      </w:r>
      <w:proofErr w:type="spellStart"/>
      <w:r w:rsidRPr="0092112F">
        <w:rPr>
          <w:rFonts w:cs="Times New Roman"/>
        </w:rPr>
        <w:t>Hajibabaei</w:t>
      </w:r>
      <w:proofErr w:type="spellEnd"/>
      <w:r w:rsidRPr="0092112F">
        <w:rPr>
          <w:rFonts w:cs="Times New Roman"/>
        </w:rPr>
        <w:t xml:space="preserve">, M., &amp; </w:t>
      </w:r>
      <w:proofErr w:type="spellStart"/>
      <w:r w:rsidRPr="0092112F">
        <w:rPr>
          <w:rFonts w:cs="Times New Roman"/>
        </w:rPr>
        <w:t>Rieseberg</w:t>
      </w:r>
      <w:proofErr w:type="spellEnd"/>
      <w:r w:rsidRPr="0092112F">
        <w:rPr>
          <w:rFonts w:cs="Times New Roman"/>
        </w:rPr>
        <w:t xml:space="preserve">,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016ABB9A" w14:textId="77777777" w:rsidR="0092112F" w:rsidRPr="0092112F" w:rsidRDefault="0092112F" w:rsidP="0092112F">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w:t>
      </w:r>
      <w:proofErr w:type="spellStart"/>
      <w:r w:rsidRPr="0092112F">
        <w:rPr>
          <w:rFonts w:cs="Times New Roman"/>
        </w:rPr>
        <w:t>groundfishes</w:t>
      </w:r>
      <w:proofErr w:type="spellEnd"/>
      <w:r w:rsidRPr="0092112F">
        <w:rPr>
          <w:rFonts w:cs="Times New Roman"/>
        </w:rPr>
        <w:t xml:space="preserve">.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76ABB691" w14:textId="77777777" w:rsidR="0092112F" w:rsidRPr="0092112F" w:rsidRDefault="0092112F" w:rsidP="0092112F">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3487DEA6" w14:textId="77777777" w:rsidR="0092112F" w:rsidRPr="0092112F" w:rsidRDefault="0092112F" w:rsidP="0092112F">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B7562FD" w14:textId="77777777" w:rsidR="0092112F" w:rsidRPr="0092112F" w:rsidRDefault="0092112F" w:rsidP="0092112F">
      <w:pPr>
        <w:pStyle w:val="Bibliography"/>
        <w:rPr>
          <w:rFonts w:cs="Times New Roman"/>
        </w:rPr>
      </w:pPr>
      <w:proofErr w:type="spellStart"/>
      <w:r w:rsidRPr="0092112F">
        <w:rPr>
          <w:rFonts w:cs="Times New Roman"/>
        </w:rPr>
        <w:t>Yoccoz</w:t>
      </w:r>
      <w:proofErr w:type="spellEnd"/>
      <w:r w:rsidRPr="0092112F">
        <w:rPr>
          <w:rFonts w:cs="Times New Roman"/>
        </w:rPr>
        <w:t xml:space="preserve">, N. G., Nichols, J. D., &amp; </w:t>
      </w:r>
      <w:proofErr w:type="spellStart"/>
      <w:r w:rsidRPr="0092112F">
        <w:rPr>
          <w:rFonts w:cs="Times New Roman"/>
        </w:rPr>
        <w:t>Boulinier</w:t>
      </w:r>
      <w:proofErr w:type="spellEnd"/>
      <w:r w:rsidRPr="0092112F">
        <w:rPr>
          <w:rFonts w:cs="Times New Roman"/>
        </w:rPr>
        <w:t xml:space="preserve">,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41637833" w14:textId="77777777" w:rsidR="0092112F" w:rsidRPr="0092112F" w:rsidRDefault="0092112F" w:rsidP="0092112F">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5940244E" w14:textId="200712C6" w:rsidR="000974AE" w:rsidRDefault="00F553D1" w:rsidP="0092112F">
      <w:pPr>
        <w:pStyle w:val="Bibliography"/>
      </w:pPr>
      <w:r w:rsidRPr="007A589B">
        <w:rPr>
          <w:rFonts w:cs="Times New Roman"/>
        </w:rPr>
        <w:fldChar w:fldCharType="end"/>
      </w:r>
      <w:r w:rsidR="000974AE">
        <w:br w:type="page"/>
      </w:r>
    </w:p>
    <w:sectPr w:rsidR="000974AE" w:rsidSect="00FE50DF">
      <w:footerReference w:type="even" r:id="rId18"/>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A950E8" w14:textId="77777777" w:rsidR="00C21EDB" w:rsidRDefault="00C21EDB" w:rsidP="009A2297">
      <w:pPr>
        <w:spacing w:after="0"/>
      </w:pPr>
      <w:r>
        <w:separator/>
      </w:r>
    </w:p>
  </w:endnote>
  <w:endnote w:type="continuationSeparator" w:id="0">
    <w:p w14:paraId="6C7BF357" w14:textId="77777777" w:rsidR="00C21EDB" w:rsidRDefault="00C21EDB"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D34800" w14:textId="77777777" w:rsidR="00C21EDB" w:rsidRDefault="00C21EDB" w:rsidP="009A2297">
      <w:pPr>
        <w:spacing w:after="0"/>
      </w:pPr>
      <w:r>
        <w:separator/>
      </w:r>
    </w:p>
  </w:footnote>
  <w:footnote w:type="continuationSeparator" w:id="0">
    <w:p w14:paraId="00357786" w14:textId="77777777" w:rsidR="00C21EDB" w:rsidRDefault="00C21EDB"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1EDB"/>
    <w:rsid w:val="00C22C74"/>
    <w:rsid w:val="00C25351"/>
    <w:rsid w:val="00C25FD6"/>
    <w:rsid w:val="00C2782F"/>
    <w:rsid w:val="00C30246"/>
    <w:rsid w:val="00C3078A"/>
    <w:rsid w:val="00C308EA"/>
    <w:rsid w:val="00C30AB3"/>
    <w:rsid w:val="00C30AD9"/>
    <w:rsid w:val="00C31296"/>
    <w:rsid w:val="00C32A67"/>
    <w:rsid w:val="00C32BB5"/>
    <w:rsid w:val="00C352E6"/>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github.com/gledguri/Smart-eDNA-samplin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1147</TotalTime>
  <Pages>38</Pages>
  <Words>27235</Words>
  <Characters>155243</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182114</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19</cp:revision>
  <cp:lastPrinted>2026-04-15T23:13:00Z</cp:lastPrinted>
  <dcterms:created xsi:type="dcterms:W3CDTF">2026-08-05T22:31:00Z</dcterms:created>
  <dcterms:modified xsi:type="dcterms:W3CDTF">2026-08-24T03:26:00Z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