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bookmarkStart w:id="2" w:name="OLE_LINK10"/>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0C23B746" w:rsidR="000D6CB9" w:rsidRDefault="00000000">
      <w:pPr>
        <w:pStyle w:val="BodyText"/>
        <w:spacing w:line="480" w:lineRule="auto"/>
      </w:pPr>
      <w:r>
        <w:t xml:space="preserve">3. </w:t>
      </w:r>
      <w:r w:rsidR="007440D9">
        <w:t>As expected, p</w:t>
      </w:r>
      <w:r>
        <w:t>rediction</w:t>
      </w:r>
      <w:r w:rsidR="007440D9">
        <w:t>s</w:t>
      </w:r>
      <w:r>
        <w:t xml:space="preserve"> </w:t>
      </w:r>
      <w:r w:rsidR="007440D9">
        <w:t>improved</w:t>
      </w:r>
      <w:r>
        <w:t xml:space="preserve"> non-linearly with </w:t>
      </w:r>
      <w:r w:rsidR="007440D9">
        <w:t xml:space="preserve">increasing </w:t>
      </w:r>
      <w:r>
        <w:t>sampling density and with increasing</w:t>
      </w:r>
      <w:r w:rsidR="002B0D91">
        <w:t xml:space="preserve"> degrees of autocorrelation</w:t>
      </w:r>
      <w:r>
        <w:t xml:space="preserve"> </w:t>
      </w:r>
      <w:r w:rsidR="002B0D91">
        <w:t>(</w:t>
      </w:r>
      <w:r>
        <w:rPr>
          <w:i/>
          <w:iCs/>
        </w:rPr>
        <w:t>ρ</w:t>
      </w:r>
      <w:r w:rsidR="002B0D91">
        <w:t>)</w:t>
      </w:r>
      <w:r>
        <w:t>.</w:t>
      </w:r>
    </w:p>
    <w:p w14:paraId="75E2E814" w14:textId="2D5BF6E4"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r w:rsidR="009E197D">
        <w:t xml:space="preserve"> </w:t>
      </w:r>
      <w:r w:rsidR="009E197D" w:rsidRPr="009E197D">
        <w:t>More generally, these thresholds reflect sample spacing relative to the species’ spatial autocorrelation length-scale, providing a scale-independent basis for translating sampling requirements across systems.</w:t>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r w:rsidR="00547F50">
        <w:t xml:space="preserve"> estimating</w:t>
      </w:r>
      <w:r>
        <w:t xml:space="preserve"> </w:t>
      </w:r>
      <w:r>
        <w:rPr>
          <w:i/>
          <w:iCs/>
        </w:rPr>
        <w:t>ρ</w:t>
      </w:r>
      <w:r>
        <w:t xml:space="preserve"> required denser designs spanning a wide range of distances, </w:t>
      </w:r>
      <w:proofErr w:type="spellStart"/>
      <w:r>
        <w:t>stabilising</w:t>
      </w:r>
      <w:proofErr w:type="spellEnd"/>
      <w:r>
        <w:t xml:space="preserve"> above ~6 samples per 10,000 km</w:t>
      </w:r>
      <w:r>
        <w:rPr>
          <w:vertAlign w:val="superscript"/>
        </w:rPr>
        <w:t>2</w:t>
      </w:r>
      <w:r>
        <w:t>.</w:t>
      </w:r>
    </w:p>
    <w:p w14:paraId="78FB4D89" w14:textId="79964659" w:rsidR="000D6CB9" w:rsidRDefault="00000000">
      <w:pPr>
        <w:pStyle w:val="BodyText"/>
        <w:spacing w:line="480" w:lineRule="auto"/>
      </w:pPr>
      <w:r>
        <w:t xml:space="preserve">6. </w:t>
      </w:r>
      <w:r>
        <w:rPr>
          <w:i/>
          <w:iCs/>
        </w:rPr>
        <w:t>Synthesis and applications</w:t>
      </w:r>
      <w:r>
        <w:t xml:space="preserve">. Optimal eDNA sampling effort depends on the patchiness of the target </w:t>
      </w:r>
      <w:proofErr w:type="spellStart"/>
      <w:r>
        <w:t>taxon</w:t>
      </w:r>
      <w:proofErr w:type="spellEnd"/>
      <w:r>
        <w:t xml:space="preserve"> and on the purpose of the survey. Our error model can be inverted to convert a required precision and a prior estimate of spatial autocorrelation into a minimum sampling density, letting </w:t>
      </w:r>
      <w:r>
        <w:lastRenderedPageBreak/>
        <w:t>survey designers allocate ship time before a cruise. Across the California Current, 4–9 samples per 10,000 km</w:t>
      </w:r>
      <w:r>
        <w:rPr>
          <w:vertAlign w:val="superscript"/>
        </w:rPr>
        <w:t>2</w:t>
      </w:r>
      <w:r>
        <w:t xml:space="preserve"> per depth layer spanned the point of diminishing returns, modestly above the density of existing regional survey grids (3.4–3.6 samples per 10,000 km</w:t>
      </w:r>
      <w:r>
        <w:rPr>
          <w:vertAlign w:val="superscript"/>
        </w:rPr>
        <w:t>2</w:t>
      </w:r>
      <w:r>
        <w:t xml:space="preserve">). </w:t>
      </w:r>
      <w:proofErr w:type="spellStart"/>
      <w:r>
        <w:t>Programmes</w:t>
      </w:r>
      <w:proofErr w:type="spellEnd"/>
      <w:r>
        <w:t xml:space="preserve"> producing abundance indices for stock assessment can operate near current effort; those mapping fine-scale distributions need denser designs including clusters of closely spaced stations.</w:t>
      </w:r>
    </w:p>
    <w:bookmarkEnd w:id="2"/>
    <w:p w14:paraId="4345CD1D" w14:textId="77777777" w:rsidR="003B5D12" w:rsidRPr="00915163" w:rsidRDefault="003B5D12" w:rsidP="001643E6">
      <w:pPr>
        <w:pStyle w:val="BodyText"/>
        <w:spacing w:line="480" w:lineRule="auto"/>
      </w:pPr>
    </w:p>
    <w:p w14:paraId="5516F177" w14:textId="59F2A983"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3" w:name="introduction"/>
      <w:bookmarkEnd w:id="0"/>
      <w:r>
        <w:t>Introduction</w:t>
      </w:r>
    </w:p>
    <w:p w14:paraId="12A3A315" w14:textId="358CA57E" w:rsidR="00E656D3" w:rsidRDefault="00686350" w:rsidP="001643E6">
      <w:pPr>
        <w:pStyle w:val="BodyText"/>
        <w:spacing w:line="480" w:lineRule="auto"/>
      </w:pPr>
      <w:bookmarkStart w:id="4"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4"/>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 xml:space="preserve">Recent synthesis work shows that eDNA methods have matured sufficiently for key uncertainties to be quantified and incorporated into existing fisheries stock-assessment frameworks, enabling the development of </w:t>
      </w:r>
      <w:r w:rsidR="00C72FBD" w:rsidRPr="00C72FBD">
        <w:lastRenderedPageBreak/>
        <w:t>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406949DD" w14:textId="562A8FC5" w:rsidR="00286ADA" w:rsidRPr="00C36F1B" w:rsidRDefault="00FC70CA" w:rsidP="001643E6">
      <w:pPr>
        <w:pStyle w:val="BodyText"/>
        <w:spacing w:line="480" w:lineRule="auto"/>
      </w:pPr>
      <w:bookmarkStart w:id="5" w:name="OLE_LINK6"/>
      <w:r w:rsidRPr="00FC70CA">
        <w:t>We conceptualize species spatial distributions as realizations of a Gaussian Process (GP), in which spatial dependence is characterized by a species-specific length-scale parameter (ρ) describing the distance over which observations remain correlated. We hypothesize that the sampling density required to characterize a species’ distribution depends on this spatial length-scale.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w:t>
      </w:r>
      <w:r>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bookmarkEnd w:id="5"/>
      <w:r w:rsidRPr="00FC70CA">
        <w:t xml:space="preserve">In this study, we assess how species spatial autocorrelation influences the efficiency of eDNA metabarcoding marine sampling strategies. Using both simulated and empirical eDNA data for species that differ in their spatial distributions, we quantify how spatial autocorrelation and </w:t>
      </w:r>
      <w:r w:rsidRPr="00FC70CA">
        <w:lastRenderedPageBreak/>
        <w:t>sampling effort affect (</w:t>
      </w:r>
      <w:proofErr w:type="spellStart"/>
      <w:r w:rsidRPr="00FC70CA">
        <w:t>i</w:t>
      </w:r>
      <w:proofErr w:type="spellEnd"/>
      <w:r w:rsidRPr="00FC70CA">
        <w:t>) the predictive accuracy of species distribution models and (ii) the accuracy of GP parameter estimation. Our objective is deliberately operational: to provide survey planners with guidance that can be applied before a cruise, based on a prior estimate of the spatial autocorrelation of target taxa and the level of precision required.</w:t>
      </w: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102C6FA9" w:rsidR="007D49E0" w:rsidRPr="00871E3F" w:rsidRDefault="00B65A9C" w:rsidP="001643E6">
      <w:pPr>
        <w:pStyle w:val="BodyText"/>
        <w:spacing w:line="480" w:lineRule="auto"/>
        <w:rPr>
          <w:i/>
          <w:iCs/>
        </w:rPr>
      </w:pPr>
      <w:r w:rsidRPr="00871E3F">
        <w:rPr>
          <w:i/>
          <w:iCs/>
        </w:rPr>
        <w:t>Figure 1. Conceptual illustrati</w:t>
      </w:r>
      <w:r w:rsidR="00E63C19">
        <w:rPr>
          <w:i/>
          <w:iCs/>
        </w:rPr>
        <w:t>on</w:t>
      </w:r>
      <w:r w:rsidRPr="00871E3F">
        <w:rPr>
          <w:i/>
          <w:iCs/>
        </w:rPr>
        <w:t xml:space="preserve">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6" w:name="materials-and-methods"/>
      <w:bookmarkEnd w:id="3"/>
      <w:r>
        <w:lastRenderedPageBreak/>
        <w:t>Materials and methods</w:t>
      </w:r>
    </w:p>
    <w:p w14:paraId="6D460FDF" w14:textId="28F45267" w:rsidR="001B4F2A" w:rsidRDefault="003676DB" w:rsidP="001643E6">
      <w:pPr>
        <w:pStyle w:val="BodyText"/>
        <w:spacing w:line="480" w:lineRule="auto"/>
      </w:pPr>
      <w:bookmarkStart w:id="7"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w:t>
      </w:r>
      <w:r w:rsidR="0044189E">
        <w:lastRenderedPageBreak/>
        <w:t xml:space="preserve">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 xml:space="preserve">Clupea </w:t>
      </w:r>
      <w:proofErr w:type="spellStart"/>
      <w:r>
        <w:rPr>
          <w:i/>
          <w:iCs/>
        </w:rPr>
        <w:t>pallasii</w:t>
      </w:r>
      <w:proofErr w:type="spellEnd"/>
      <w:r>
        <w:t xml:space="preserve">, </w:t>
      </w:r>
      <w:proofErr w:type="spellStart"/>
      <w:r>
        <w:rPr>
          <w:i/>
          <w:iCs/>
        </w:rPr>
        <w:t>Engraulis</w:t>
      </w:r>
      <w:proofErr w:type="spellEnd"/>
      <w:r>
        <w:rPr>
          <w:i/>
          <w:iCs/>
        </w:rPr>
        <w:t xml:space="preserve"> mordax</w:t>
      </w:r>
      <w:r>
        <w:t xml:space="preserve">, </w:t>
      </w:r>
      <w:proofErr w:type="spellStart"/>
      <w:r>
        <w:rPr>
          <w:i/>
          <w:iCs/>
        </w:rPr>
        <w:t>Leuroglossus</w:t>
      </w:r>
      <w:proofErr w:type="spellEnd"/>
      <w:r>
        <w:rPr>
          <w:i/>
          <w:iCs/>
        </w:rPr>
        <w:t xml:space="preserve"> </w:t>
      </w:r>
      <w:proofErr w:type="spellStart"/>
      <w:r>
        <w:rPr>
          <w:i/>
          <w:iCs/>
        </w:rPr>
        <w:t>stilbius</w:t>
      </w:r>
      <w:proofErr w:type="spellEnd"/>
      <w:r>
        <w:t xml:space="preserve">, </w:t>
      </w:r>
      <w:proofErr w:type="spellStart"/>
      <w:r>
        <w:rPr>
          <w:i/>
          <w:iCs/>
        </w:rPr>
        <w:t>Microstomus</w:t>
      </w:r>
      <w:proofErr w:type="spellEnd"/>
      <w:r>
        <w:rPr>
          <w:i/>
          <w:iCs/>
        </w:rPr>
        <w:t xml:space="preserve"> pacificus</w:t>
      </w:r>
      <w:r>
        <w:t xml:space="preserve">, </w:t>
      </w:r>
      <w:proofErr w:type="spellStart"/>
      <w:r>
        <w:rPr>
          <w:i/>
          <w:iCs/>
        </w:rPr>
        <w:t>Sardinops</w:t>
      </w:r>
      <w:proofErr w:type="spellEnd"/>
      <w:r>
        <w:rPr>
          <w:i/>
          <w:iCs/>
        </w:rPr>
        <w:t xml:space="preserve"> </w:t>
      </w:r>
      <w:proofErr w:type="spellStart"/>
      <w:r>
        <w:rPr>
          <w:i/>
          <w:iCs/>
        </w:rPr>
        <w:t>sagax</w:t>
      </w:r>
      <w:proofErr w:type="spellEnd"/>
      <w:r>
        <w:t xml:space="preserve">, </w:t>
      </w:r>
      <w:proofErr w:type="spellStart"/>
      <w:r>
        <w:rPr>
          <w:i/>
          <w:iCs/>
        </w:rPr>
        <w:t>Scomber</w:t>
      </w:r>
      <w:proofErr w:type="spellEnd"/>
      <w:r>
        <w:rPr>
          <w:i/>
          <w:iCs/>
        </w:rPr>
        <w:t xml:space="preserve"> japonicus</w:t>
      </w:r>
      <w:r>
        <w:t xml:space="preserve">, </w:t>
      </w:r>
      <w:r>
        <w:rPr>
          <w:i/>
          <w:iCs/>
        </w:rPr>
        <w:t xml:space="preserve">Sebastes </w:t>
      </w:r>
      <w:proofErr w:type="spellStart"/>
      <w:r>
        <w:rPr>
          <w:i/>
          <w:iCs/>
        </w:rPr>
        <w:t>entomelas</w:t>
      </w:r>
      <w:proofErr w:type="spellEnd"/>
      <w:r>
        <w:t xml:space="preserve">, </w:t>
      </w:r>
      <w:proofErr w:type="spellStart"/>
      <w:r>
        <w:rPr>
          <w:i/>
          <w:iCs/>
        </w:rPr>
        <w:t>Stenobrachius</w:t>
      </w:r>
      <w:proofErr w:type="spellEnd"/>
      <w:r>
        <w:rPr>
          <w:i/>
          <w:iCs/>
        </w:rPr>
        <w:t xml:space="preserve"> </w:t>
      </w:r>
      <w:proofErr w:type="spellStart"/>
      <w:r>
        <w:rPr>
          <w:i/>
          <w:iCs/>
        </w:rPr>
        <w:t>leucopsarus</w:t>
      </w:r>
      <w:proofErr w:type="spellEnd"/>
      <w:r>
        <w:t xml:space="preserve">, </w:t>
      </w:r>
      <w:proofErr w:type="spellStart"/>
      <w:r>
        <w:rPr>
          <w:i/>
          <w:iCs/>
        </w:rPr>
        <w:t>Tactostoma</w:t>
      </w:r>
      <w:proofErr w:type="spellEnd"/>
      <w:r>
        <w:rPr>
          <w:i/>
          <w:iCs/>
        </w:rPr>
        <w:t xml:space="preserve"> </w:t>
      </w:r>
      <w:proofErr w:type="spellStart"/>
      <w:r>
        <w:rPr>
          <w:i/>
          <w:iCs/>
        </w:rPr>
        <w:t>macropus</w:t>
      </w:r>
      <w:proofErr w:type="spellEnd"/>
      <w:r>
        <w:t xml:space="preserve">, </w:t>
      </w:r>
      <w:proofErr w:type="spellStart"/>
      <w:r>
        <w:rPr>
          <w:i/>
          <w:iCs/>
        </w:rPr>
        <w:t>Tarletonbeania</w:t>
      </w:r>
      <w:proofErr w:type="spellEnd"/>
      <w:r>
        <w:rPr>
          <w:i/>
          <w:iCs/>
        </w:rPr>
        <w:t xml:space="preserve"> </w:t>
      </w:r>
      <w:proofErr w:type="spellStart"/>
      <w:r>
        <w:rPr>
          <w:i/>
          <w:iCs/>
        </w:rPr>
        <w:t>crenularis</w:t>
      </w:r>
      <w:proofErr w:type="spellEnd"/>
      <w:r>
        <w:t xml:space="preserve">, </w:t>
      </w:r>
      <w:proofErr w:type="spellStart"/>
      <w:r>
        <w:rPr>
          <w:i/>
          <w:iCs/>
        </w:rPr>
        <w:t>Thaleichthys</w:t>
      </w:r>
      <w:proofErr w:type="spellEnd"/>
      <w:r>
        <w:rPr>
          <w:i/>
          <w:iCs/>
        </w:rPr>
        <w:t xml:space="preserve"> pacificus</w:t>
      </w:r>
      <w:r>
        <w:t xml:space="preserve"> and </w:t>
      </w:r>
      <w:r>
        <w:rPr>
          <w:i/>
          <w:iCs/>
        </w:rPr>
        <w:t xml:space="preserve">Trachurus </w:t>
      </w:r>
      <w:proofErr w:type="spellStart"/>
      <w:r>
        <w:rPr>
          <w:i/>
          <w:iCs/>
        </w:rPr>
        <w:t>symmetricus</w:t>
      </w:r>
      <w:proofErr w:type="spellEnd"/>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w:t>
      </w:r>
      <w:r>
        <w:lastRenderedPageBreak/>
        <w:t>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0DE0A720"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t>
      </w:r>
      <w:r w:rsidR="009F7803">
        <w:t>for</w:t>
      </w:r>
      <w:r w:rsidR="007E6DD0">
        <w:t xml:space="preserve"> </w:t>
      </w:r>
      <w:r w:rsidR="007E6DD0" w:rsidRPr="00FB072C">
        <w:rPr>
          <w:i/>
          <w:iCs/>
        </w:rPr>
        <w:t>Z</w:t>
      </w:r>
      <w:r w:rsidR="00920328">
        <w:t xml:space="preserve">, </w:t>
      </w:r>
      <w:r w:rsidR="007E6DD0">
        <w:rPr>
          <w:i/>
          <w:iCs/>
        </w:rPr>
        <w:t>Y</w:t>
      </w:r>
      <w:r w:rsidR="007E6DD0">
        <w:rPr>
          <w:i/>
          <w:iCs/>
          <w:vertAlign w:val="subscript"/>
        </w:rPr>
        <w:t>E</w:t>
      </w:r>
      <w:r w:rsidR="007E6DD0">
        <w:t xml:space="preserve"> </w:t>
      </w:r>
      <w:r w:rsidR="009F7803">
        <w:t>for</w:t>
      </w:r>
      <w:r w:rsidR="007E6DD0">
        <w:t xml:space="preserve">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t>
      </w:r>
      <w:r w:rsidR="009F7803">
        <w:t>for</w:t>
      </w:r>
      <w:r w:rsidR="00920328">
        <w:t xml:space="preserve"> </w:t>
      </w:r>
      <w:r w:rsidR="00920328">
        <w:rPr>
          <w:i/>
          <w:iCs/>
        </w:rPr>
        <w:t>X</w:t>
      </w:r>
      <w:r w:rsidR="00920328">
        <w:t xml:space="preserve"> </w:t>
      </w:r>
      <w:r w:rsidR="007E6DD0">
        <w:t xml:space="preserve">in Eq. 3. </w:t>
      </w:r>
      <w:r>
        <w:t xml:space="preserve">This framework enables direct, like-for-like comparisons of reconstructed fields across sampling </w:t>
      </w:r>
      <w:r>
        <w:lastRenderedPageBreak/>
        <w:t>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44991793"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07D18BBB" w:rsidR="004242D5" w:rsidRDefault="00D46036" w:rsidP="001643E6">
      <w:pPr>
        <w:pStyle w:val="BodyText"/>
        <w:spacing w:line="480" w:lineRule="auto"/>
      </w:pPr>
      <w:r w:rsidRPr="00D46036">
        <w:lastRenderedPageBreak/>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ED6538">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D6538">
        <w:t xml:space="preserve">, </w:t>
      </w:r>
      <w:r w:rsidR="00EA4F22">
        <w:t>allowing</w:t>
      </w:r>
      <w:r w:rsidR="009315C7">
        <w:t xml:space="preserve"> the eDNA concentration at each depth to be independent</w:t>
      </w:r>
      <w:r w:rsidR="000C1D95" w:rsidRPr="000C1D95">
        <w:t>.</w:t>
      </w:r>
      <w:r w:rsidR="000C1D95">
        <w:t xml:space="preserve"> </w:t>
      </w:r>
      <w:bookmarkStart w:id="8"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8"/>
      <w:r w:rsidR="004D2E90">
        <w:t xml:space="preserve"> </w:t>
      </w:r>
      <w:bookmarkStart w:id="9"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ED6538">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9"/>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proofErr w:type="spellStart"/>
      <w:r>
        <w:rPr>
          <w:i/>
          <w:iCs/>
        </w:rPr>
        <w:t>μ</w:t>
      </w:r>
      <w:r>
        <w:rPr>
          <w:i/>
          <w:iCs/>
          <w:vertAlign w:val="subscript"/>
        </w:rPr>
        <w:t>d</w:t>
      </w:r>
      <w:proofErr w:type="spellEnd"/>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lastRenderedPageBreak/>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10" w:name="statistical-inference"/>
      <w:bookmarkEnd w:id="7"/>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3061A50A"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ED6538">
        <w:t xml:space="preserve">, </w:t>
      </w:r>
      <w:r w:rsidR="00F35716" w:rsidRPr="0005416C">
        <w:rPr>
          <w:i/>
          <w:iCs/>
          <w:lang w:val="el-GR"/>
        </w:rPr>
        <w:t>μ</w:t>
      </w:r>
      <w:r w:rsidR="00F35716" w:rsidRPr="0005416C">
        <w:rPr>
          <w:i/>
          <w:iCs/>
          <w:vertAlign w:val="subscript"/>
        </w:rPr>
        <w:t>d</w:t>
      </w:r>
      <w:r w:rsidR="00ED6538">
        <w:t xml:space="preserve">, </w:t>
      </w:r>
      <w:r w:rsidR="0005416C" w:rsidRPr="0005416C">
        <w:rPr>
          <w:i/>
          <w:iCs/>
          <w:lang w:val="el-GR"/>
        </w:rPr>
        <w:t>σ</w:t>
      </w:r>
      <w:r w:rsidR="0005416C" w:rsidRPr="0005416C">
        <w:rPr>
          <w:i/>
          <w:iCs/>
          <w:vertAlign w:val="superscript"/>
        </w:rPr>
        <w:t>2</w:t>
      </w:r>
      <w:r w:rsidR="00ED6538">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D6538">
        <w:t xml:space="preserve"> </w:t>
      </w:r>
      <w:r w:rsidR="00E428C6">
        <w:rPr>
          <w:lang w:val="el-GR"/>
        </w:rPr>
        <w:t>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11" w:name="OLE_LINK5"/>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11"/>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r w:rsidR="00AE5F09">
        <w:t>differently between the two datasets</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12"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2"/>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2AA982AB"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w:t>
      </w:r>
      <w:r>
        <w:t>discarding the first 1,000 iterations as warm-up. Stan's warm-up phase both discards these initial draws and adapts the sampler's step size and mass matrix, and so is not strictly equivalent to a conventional burn-in.</w:t>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3"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4" w:name="fig:dag"/>
      <w:bookmarkEnd w:id="13"/>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6848C889"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w:t>
      </w:r>
      <w:r w:rsidR="00ED6538">
        <w:t xml:space="preserve">, </w:t>
      </w:r>
      <w:r w:rsidR="006B15E7">
        <w:rPr>
          <w:lang w:val="el-GR"/>
        </w:rPr>
        <w:t>ρ</w:t>
      </w:r>
      <w:r w:rsidR="00ED6538">
        <w:t xml:space="preserve">, </w:t>
      </w:r>
      <w:r w:rsidR="006B15E7">
        <w:rPr>
          <w:lang w:val="el-GR"/>
        </w:rPr>
        <w:t>σ</w:t>
      </w:r>
      <w:r w:rsidR="00ED6538">
        <w:t>)</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 xml:space="preserve">=358 samples </w:t>
      </w:r>
      <w:proofErr w:type="gramStart"/>
      <w:r w:rsidR="000607B1" w:rsidRPr="000607B1">
        <w:t>is</w:t>
      </w:r>
      <w:proofErr w:type="gramEnd"/>
      <w:r w:rsidR="000607B1" w:rsidRPr="000607B1">
        <w:t xml:space="preserve">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5" w:name="results"/>
      <w:bookmarkEnd w:id="6"/>
      <w:bookmarkEnd w:id="10"/>
      <w:bookmarkEnd w:id="14"/>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6" w:name="fig:epsilon"/>
      <w:r w:rsidRPr="00762C7D">
        <w:rPr>
          <w:b/>
          <w:bCs w:val="0"/>
        </w:rPr>
        <w:t>Empirical data</w:t>
      </w:r>
    </w:p>
    <w:p w14:paraId="57347855" w14:textId="10658886" w:rsidR="00D31C68" w:rsidRDefault="000443C6" w:rsidP="001643E6">
      <w:pPr>
        <w:pStyle w:val="BodyText"/>
        <w:spacing w:line="480" w:lineRule="auto"/>
      </w:pPr>
      <w:r w:rsidRPr="000443C6">
        <w:lastRenderedPageBreak/>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BD02A1">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6"/>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7" w:name="OLE_LINK8"/>
      <w:r w:rsidRPr="003D6E81">
        <w:rPr>
          <w:b/>
          <w:bCs w:val="0"/>
        </w:rPr>
        <w:t>Simulations</w:t>
      </w:r>
    </w:p>
    <w:p w14:paraId="4D52A2D2" w14:textId="2267A288"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ED6538">
        <w:t xml:space="preserve"> =</w:t>
      </w:r>
      <w:r w:rsidR="00BA4360">
        <w:t xml:space="preserve"> </w:t>
      </w:r>
      <w:r w:rsidR="00BA4360" w:rsidRPr="00BA4360">
        <w:t>-0.176) and spatial autocorrelation (</w:t>
      </w:r>
      <w:r w:rsidR="00BA4360" w:rsidRPr="009B6E03">
        <w:rPr>
          <w:i/>
          <w:iCs/>
          <w:lang w:val="el-GR"/>
        </w:rPr>
        <w:t>θ</w:t>
      </w:r>
      <w:r w:rsidR="00ED6538">
        <w:t xml:space="preserve"> </w:t>
      </w:r>
      <w:r w:rsidR="00BA4360" w:rsidRPr="00BA4360">
        <w:t>=</w:t>
      </w:r>
      <w:r w:rsidR="00ED6538">
        <w:t xml:space="preserve"> </w:t>
      </w:r>
      <w:r w:rsidR="00BA4360" w:rsidRPr="00BA4360">
        <w:t>-0.228), with an additional negative interaction (</w:t>
      </w:r>
      <w:r w:rsidR="00BA4360">
        <w:rPr>
          <w:lang w:val="el-GR"/>
        </w:rPr>
        <w:t>γ</w:t>
      </w:r>
      <w:r w:rsidR="00ED6538">
        <w:t xml:space="preserve"> </w:t>
      </w:r>
      <w:r w:rsidR="00BA4360" w:rsidRPr="00BA4360">
        <w:t>=</w:t>
      </w:r>
      <w:r w:rsidR="00ED6538">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ED6538">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ED6538">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7"/>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 xml:space="preserve">ach point represents the marginal change at the midpoint of a unit interval (e.g., E = 1.5 reflects the </w:t>
      </w:r>
      <w:r w:rsidR="007227C3" w:rsidRPr="007227C3">
        <w:lastRenderedPageBreak/>
        <w:t>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w:t>
      </w:r>
      <w:r w:rsidRPr="00F70DB9">
        <w:lastRenderedPageBreak/>
        <w:t>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lastRenderedPageBreak/>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8" w:name="fig:epsilon_sp"/>
    </w:p>
    <w:p w14:paraId="5516F1CD" w14:textId="77777777" w:rsidR="0032076E" w:rsidRDefault="00D04708" w:rsidP="001643E6">
      <w:pPr>
        <w:pStyle w:val="Heading1"/>
        <w:spacing w:before="0" w:after="0" w:line="480" w:lineRule="auto"/>
      </w:pPr>
      <w:bookmarkStart w:id="19" w:name="discussion"/>
      <w:bookmarkEnd w:id="15"/>
      <w:bookmarkEnd w:id="18"/>
      <w:r>
        <w:t>Discussion</w:t>
      </w:r>
    </w:p>
    <w:p w14:paraId="5351486F" w14:textId="16269BED" w:rsidR="00390A6F" w:rsidRDefault="00101BFB" w:rsidP="001643E6">
      <w:pPr>
        <w:pStyle w:val="p2"/>
        <w:spacing w:before="0" w:beforeAutospacing="0" w:after="0" w:afterAutospacing="0" w:line="480" w:lineRule="auto"/>
        <w:jc w:val="both"/>
      </w:pPr>
      <w:bookmarkStart w:id="20"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1"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05542E5B"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ε</w:t>
      </w:r>
      <w:r w:rsidR="00ED6538">
        <w:t xml:space="preserve">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ED6538">
        <w:t>(</w:t>
      </w:r>
      <w:r w:rsidR="006D5877">
        <w:t>E</w:t>
      </w:r>
      <w:r w:rsidR="006D5877">
        <w:rPr>
          <w:lang w:val="el-GR"/>
        </w:rPr>
        <w:t>ρ</w:t>
      </w:r>
      <w:r w:rsidR="00ED6538">
        <w:t>)</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r w:rsidR="009F7803">
        <w:t xml:space="preserve"> </w:t>
      </w:r>
    </w:p>
    <w:p w14:paraId="66710A65" w14:textId="77777777" w:rsidR="00376B55" w:rsidRDefault="00376B55" w:rsidP="00376B55">
      <w:pPr>
        <w:pStyle w:val="p3"/>
        <w:spacing w:before="0" w:beforeAutospacing="0" w:after="0" w:afterAutospacing="0" w:line="480" w:lineRule="auto"/>
        <w:jc w:val="both"/>
      </w:pPr>
    </w:p>
    <w:p w14:paraId="6A7B2F03" w14:textId="592F9C28" w:rsidR="00B9718F" w:rsidRDefault="00BA4DE0" w:rsidP="001643E6">
      <w:pPr>
        <w:pStyle w:val="p3"/>
        <w:spacing w:before="0" w:beforeAutospacing="0" w:after="0" w:afterAutospacing="0" w:line="480" w:lineRule="auto"/>
        <w:jc w:val="both"/>
      </w:pPr>
      <w:bookmarkStart w:id="22"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lastRenderedPageBreak/>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p w14:paraId="39A68EAB" w14:textId="77777777" w:rsidR="008751E1" w:rsidRDefault="008751E1" w:rsidP="001643E6">
      <w:pPr>
        <w:pStyle w:val="p3"/>
        <w:spacing w:before="0" w:beforeAutospacing="0" w:after="0" w:afterAutospacing="0" w:line="480" w:lineRule="auto"/>
        <w:jc w:val="both"/>
      </w:pPr>
    </w:p>
    <w:bookmarkEnd w:id="22"/>
    <w:p w14:paraId="4D9E45C9" w14:textId="77777777" w:rsidR="008751E1" w:rsidRDefault="008751E1" w:rsidP="008751E1">
      <w:pPr>
        <w:pStyle w:val="p3"/>
        <w:spacing w:before="0" w:beforeAutospacing="0" w:after="0" w:afterAutospacing="0" w:line="480" w:lineRule="auto"/>
        <w:jc w:val="both"/>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w:t>
      </w:r>
      <w:r>
        <w:lastRenderedPageBreak/>
        <w:t>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lastRenderedPageBreak/>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1"/>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026C8C6A" w14:textId="5983753F" w:rsidR="0092112F" w:rsidRDefault="00275178" w:rsidP="0092112F">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w:t>
      </w:r>
      <w:r w:rsidRPr="00CC24BD">
        <w:lastRenderedPageBreak/>
        <w:t>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w:t>
      </w:r>
      <w:r w:rsidR="0092112F" w:rsidRPr="00587753">
        <w:t xml:space="preserve">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rsidR="0092112F">
        <w:t xml:space="preserve">. </w:t>
      </w:r>
      <w:r w:rsidR="0092112F" w:rsidRPr="00587753">
        <w:t>Our framework accounts for these sources</w:t>
      </w:r>
      <w:r w:rsidR="0092112F">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w:t>
      </w:r>
      <w:r w:rsidR="0092112F" w:rsidRPr="00587753">
        <w:t>so they are unlikely to bias the results presented here. Finally, ecological processes such as migration, schooling, habitat discontinuities, or patchy prey fields can generate multi-scale patterns that depart from a single characteristic length-scale</w:t>
      </w:r>
      <w:r w:rsidR="0092112F">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w:t>
      </w:r>
      <w:r w:rsidR="0092112F" w:rsidRPr="00587753">
        <w:t>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 xml:space="preserve">Our prediction error (ε2) is also computed </w:t>
      </w:r>
      <w:r w:rsidRPr="00D62DEA">
        <w:lastRenderedPageBreak/>
        <w:t>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02E94553" w:rsidR="00D34C42" w:rsidRDefault="005A5E64" w:rsidP="001643E6">
      <w:pPr>
        <w:pStyle w:val="p2"/>
        <w:spacing w:before="0" w:beforeAutospacing="0" w:after="0" w:afterAutospacing="0" w:line="480" w:lineRule="auto"/>
        <w:jc w:val="both"/>
      </w:pPr>
      <w:bookmarkStart w:id="23"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4" w:name="OLE_LINK1"/>
      <w:bookmarkEnd w:id="23"/>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25" w:name="OLE_LINK4"/>
      <w:bookmarkEnd w:id="24"/>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5"/>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lastRenderedPageBreak/>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proofErr w:type="spellStart"/>
      <w:r w:rsidRPr="00CE2CA0">
        <w:rPr>
          <w:rFonts w:ascii="Times New Roman" w:eastAsia="Times New Roman" w:hAnsi="Times New Roman" w:cs="Times New Roman"/>
        </w:rPr>
        <w:t>programmes</w:t>
      </w:r>
      <w:proofErr w:type="spellEnd"/>
      <w:r w:rsidRPr="00CE2CA0">
        <w:rPr>
          <w:rFonts w:ascii="Times New Roman" w:eastAsia="Times New Roman" w:hAnsi="Times New Roman" w:cs="Times New Roman"/>
        </w:rPr>
        <w:t xml:space="preserve">, these considerations are most appropriately governed by the patchiest </w:t>
      </w:r>
      <w:proofErr w:type="spellStart"/>
      <w:r w:rsidRPr="00CE2CA0">
        <w:rPr>
          <w:rFonts w:ascii="Times New Roman" w:eastAsia="Times New Roman" w:hAnsi="Times New Roman" w:cs="Times New Roman"/>
        </w:rPr>
        <w:t>taxon</w:t>
      </w:r>
      <w:proofErr w:type="spellEnd"/>
      <w:r w:rsidRPr="00CE2CA0">
        <w:rPr>
          <w:rFonts w:ascii="Times New Roman" w:eastAsia="Times New Roman" w:hAnsi="Times New Roman" w:cs="Times New Roman"/>
        </w:rPr>
        <w:t xml:space="preserve">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lastRenderedPageBreak/>
        <w:t xml:space="preserve">For managers and survey designers the practical message is that effort should be set by the patchiness of the taxa a </w:t>
      </w:r>
      <w:proofErr w:type="spellStart"/>
      <w:r>
        <w:t>programme</w:t>
      </w:r>
      <w:proofErr w:type="spellEnd"/>
      <w:r>
        <w:t xml:space="preserv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26" w:name="fig:mu_rho_N"/>
      <w:bookmarkStart w:id="27" w:name="appendix"/>
      <w:bookmarkEnd w:id="19"/>
      <w:bookmarkEnd w:id="20"/>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6"/>
    <w:bookmarkEnd w:id="27"/>
    <w:p w14:paraId="2D34DFAE" w14:textId="77777777" w:rsidR="0092112F" w:rsidRPr="0092112F" w:rsidRDefault="00F553D1" w:rsidP="0092112F">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6075CE7B" w14:textId="77777777" w:rsidR="0092112F" w:rsidRPr="0092112F" w:rsidRDefault="0092112F" w:rsidP="0092112F">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227F2E56" w14:textId="77777777" w:rsidR="0092112F" w:rsidRPr="0092112F" w:rsidRDefault="0092112F" w:rsidP="0092112F">
      <w:pPr>
        <w:pStyle w:val="Bibliography"/>
        <w:rPr>
          <w:rFonts w:cs="Times New Roman"/>
        </w:rPr>
      </w:pPr>
      <w:r w:rsidRPr="0092112F">
        <w:rPr>
          <w:rFonts w:cs="Times New Roman"/>
        </w:rPr>
        <w:lastRenderedPageBreak/>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04215111" w14:textId="77777777" w:rsidR="0092112F" w:rsidRPr="0092112F" w:rsidRDefault="0092112F" w:rsidP="0092112F">
      <w:pPr>
        <w:pStyle w:val="Bibliography"/>
        <w:rPr>
          <w:rFonts w:cs="Times New Roman"/>
        </w:rPr>
      </w:pPr>
      <w:r w:rsidRPr="0092112F">
        <w:rPr>
          <w:rFonts w:cs="Times New Roman"/>
        </w:rPr>
        <w:t xml:space="preserve">Callahan, B. J., McMurdie, P. J., Rosen, M. J., Han, A. W., Johnson, A. J. A., &amp; Holmes, S. P. (2016). DADA2: High-resolution sample inference from Illumina amplicon data. </w:t>
      </w:r>
      <w:r w:rsidRPr="0092112F">
        <w:rPr>
          <w:rFonts w:cs="Times New Roman"/>
          <w:i/>
          <w:iCs/>
        </w:rPr>
        <w:t>Nature Methods</w:t>
      </w:r>
      <w:r w:rsidRPr="0092112F">
        <w:rPr>
          <w:rFonts w:cs="Times New Roman"/>
        </w:rPr>
        <w:t xml:space="preserve">, </w:t>
      </w:r>
      <w:r w:rsidRPr="0092112F">
        <w:rPr>
          <w:rFonts w:cs="Times New Roman"/>
          <w:i/>
          <w:iCs/>
        </w:rPr>
        <w:t>13</w:t>
      </w:r>
      <w:r w:rsidRPr="0092112F">
        <w:rPr>
          <w:rFonts w:cs="Times New Roman"/>
        </w:rPr>
        <w:t>(7), 581–583. https://doi.org/10.1038/nmeth.3869</w:t>
      </w:r>
    </w:p>
    <w:p w14:paraId="0D2FB905" w14:textId="77777777" w:rsidR="0092112F" w:rsidRPr="0092112F" w:rsidRDefault="0092112F" w:rsidP="0092112F">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AD99EFF" w14:textId="77777777" w:rsidR="0092112F" w:rsidRPr="0092112F" w:rsidRDefault="0092112F" w:rsidP="0092112F">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09B5A6F5" w14:textId="77777777" w:rsidR="0092112F" w:rsidRPr="0092112F" w:rsidRDefault="0092112F" w:rsidP="0092112F">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18D2C452" w14:textId="77777777" w:rsidR="0092112F" w:rsidRPr="0092112F" w:rsidRDefault="0092112F" w:rsidP="0092112F">
      <w:pPr>
        <w:pStyle w:val="Bibliography"/>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68C243EB" w14:textId="77777777" w:rsidR="0092112F" w:rsidRPr="0092112F" w:rsidRDefault="0092112F" w:rsidP="0092112F">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7FB48F2B" w14:textId="77777777" w:rsidR="0092112F" w:rsidRPr="0092112F" w:rsidRDefault="0092112F" w:rsidP="0092112F">
      <w:pPr>
        <w:pStyle w:val="Bibliography"/>
        <w:rPr>
          <w:rFonts w:cs="Times New Roman"/>
        </w:rPr>
      </w:pPr>
      <w:r w:rsidRPr="0092112F">
        <w:rPr>
          <w:rFonts w:cs="Times New Roman"/>
        </w:rPr>
        <w:lastRenderedPageBreak/>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4CE56E0A" w14:textId="77777777" w:rsidR="0092112F" w:rsidRPr="0092112F" w:rsidRDefault="0092112F" w:rsidP="0092112F">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8BB546B" w14:textId="77777777" w:rsidR="0092112F" w:rsidRPr="0092112F" w:rsidRDefault="0092112F" w:rsidP="0092112F">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5A25E17" w14:textId="77777777" w:rsidR="0092112F" w:rsidRPr="0092112F" w:rsidRDefault="0092112F" w:rsidP="0092112F">
      <w:pPr>
        <w:pStyle w:val="Bibliography"/>
        <w:rPr>
          <w:rFonts w:cs="Times New Roman"/>
        </w:rPr>
      </w:pPr>
      <w:r w:rsidRPr="0092112F">
        <w:rPr>
          <w:rFonts w:cs="Times New Roman"/>
        </w:rPr>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2112F">
        <w:rPr>
          <w:rFonts w:cs="Times New Roman"/>
          <w:i/>
          <w:iCs/>
        </w:rPr>
        <w:t>Environmental DNA</w:t>
      </w:r>
      <w:r w:rsidRPr="0092112F">
        <w:rPr>
          <w:rFonts w:cs="Times New Roman"/>
        </w:rPr>
        <w:t>, edn3.409. https://doi.org/10.1002/edn3.409</w:t>
      </w:r>
    </w:p>
    <w:p w14:paraId="210094AA" w14:textId="77777777" w:rsidR="0092112F" w:rsidRPr="0092112F" w:rsidRDefault="0092112F" w:rsidP="0092112F">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2E53FE59" w14:textId="77777777" w:rsidR="0092112F" w:rsidRPr="0092112F" w:rsidRDefault="0092112F" w:rsidP="0092112F">
      <w:pPr>
        <w:pStyle w:val="Bibliography"/>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75165D6" w14:textId="77777777" w:rsidR="0092112F" w:rsidRPr="0092112F" w:rsidRDefault="0092112F" w:rsidP="0092112F">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38BCA3DA" w14:textId="77777777" w:rsidR="0092112F" w:rsidRPr="0092112F" w:rsidRDefault="0092112F" w:rsidP="0092112F">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37E6A542" w14:textId="77777777" w:rsidR="0092112F" w:rsidRPr="0092112F" w:rsidRDefault="0092112F" w:rsidP="0092112F">
      <w:pPr>
        <w:pStyle w:val="Bibliography"/>
        <w:rPr>
          <w:rFonts w:cs="Times New Roman"/>
        </w:rPr>
      </w:pPr>
      <w:r w:rsidRPr="0092112F">
        <w:rPr>
          <w:rFonts w:cs="Times New Roman"/>
        </w:rPr>
        <w:lastRenderedPageBreak/>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265E9E42" w14:textId="77777777" w:rsidR="0092112F" w:rsidRPr="0092112F" w:rsidRDefault="0092112F" w:rsidP="0092112F">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16EA162E" w14:textId="77777777" w:rsidR="0092112F" w:rsidRPr="0092112F" w:rsidRDefault="0092112F" w:rsidP="0092112F">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2D61B223" w14:textId="77777777" w:rsidR="0092112F" w:rsidRPr="0092112F" w:rsidRDefault="0092112F" w:rsidP="0092112F">
      <w:pPr>
        <w:pStyle w:val="Bibliography"/>
        <w:rPr>
          <w:rFonts w:cs="Times New Roman"/>
        </w:rPr>
      </w:pPr>
      <w:r w:rsidRPr="0092112F">
        <w:rPr>
          <w:rFonts w:cs="Times New Roman"/>
        </w:rPr>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2112F">
        <w:rPr>
          <w:rFonts w:cs="Times New Roman"/>
          <w:i/>
          <w:iCs/>
        </w:rPr>
        <w:t>Royal Society Open Science</w:t>
      </w:r>
      <w:r w:rsidRPr="0092112F">
        <w:rPr>
          <w:rFonts w:cs="Times New Roman"/>
        </w:rPr>
        <w:t>. https://doi.org/10.1098/rsos.150088</w:t>
      </w:r>
    </w:p>
    <w:p w14:paraId="17FBB0E0" w14:textId="77777777" w:rsidR="0092112F" w:rsidRPr="0092112F" w:rsidRDefault="0092112F" w:rsidP="0092112F">
      <w:pPr>
        <w:pStyle w:val="Bibliography"/>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DBD31C8" w14:textId="77777777" w:rsidR="0092112F" w:rsidRPr="0092112F" w:rsidRDefault="0092112F" w:rsidP="0092112F">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4E2B862B" w14:textId="77777777" w:rsidR="0092112F" w:rsidRPr="0092112F" w:rsidRDefault="0092112F" w:rsidP="0092112F">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76C70885" w14:textId="77777777" w:rsidR="0092112F" w:rsidRPr="0092112F" w:rsidRDefault="0092112F" w:rsidP="0092112F">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4C9EBB8B" w14:textId="77777777" w:rsidR="0092112F" w:rsidRPr="0092112F" w:rsidRDefault="0092112F" w:rsidP="0092112F">
      <w:pPr>
        <w:pStyle w:val="Bibliography"/>
        <w:rPr>
          <w:rFonts w:cs="Times New Roman"/>
        </w:rPr>
      </w:pPr>
      <w:r w:rsidRPr="0092112F">
        <w:rPr>
          <w:rFonts w:cs="Times New Roman"/>
        </w:rPr>
        <w:lastRenderedPageBreak/>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008DACA0" w14:textId="77777777" w:rsidR="0092112F" w:rsidRPr="0092112F" w:rsidRDefault="0092112F" w:rsidP="0092112F">
      <w:pPr>
        <w:pStyle w:val="Bibliography"/>
        <w:rPr>
          <w:rFonts w:cs="Times New Roman"/>
        </w:rPr>
      </w:pPr>
      <w:r w:rsidRPr="0092112F">
        <w:rPr>
          <w:rFonts w:cs="Times New Roman"/>
        </w:rPr>
        <w:t xml:space="preserve">Ramón-Laca, A., Wells, A., &amp; Park, L. (2021). A workflow for the relative quantification of multiple fish species from oceanic water samples using environmental DNA (eDNA) to support large-scale fishery surveys.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(9), e0257773. https://doi.org/10.1371/journal.pone.0257773</w:t>
      </w:r>
    </w:p>
    <w:p w14:paraId="56242388" w14:textId="77777777" w:rsidR="0092112F" w:rsidRPr="0092112F" w:rsidRDefault="0092112F" w:rsidP="0092112F">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4373F518" w14:textId="77777777" w:rsidR="0092112F" w:rsidRPr="0092112F" w:rsidRDefault="0092112F" w:rsidP="0092112F">
      <w:pPr>
        <w:pStyle w:val="Bibliography"/>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28E731B" w14:textId="77777777" w:rsidR="0092112F" w:rsidRPr="0092112F" w:rsidRDefault="0092112F" w:rsidP="0092112F">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3DE2C766" w14:textId="77777777" w:rsidR="0092112F" w:rsidRPr="0092112F" w:rsidRDefault="0092112F" w:rsidP="0092112F">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40085FCF" w14:textId="77777777" w:rsidR="0092112F" w:rsidRPr="0092112F" w:rsidRDefault="0092112F" w:rsidP="0092112F">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1C50542E" w14:textId="77777777" w:rsidR="0092112F" w:rsidRPr="0092112F" w:rsidRDefault="0092112F" w:rsidP="0092112F">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w:t>
      </w:r>
      <w:r w:rsidRPr="0092112F">
        <w:rPr>
          <w:rFonts w:cs="Times New Roman"/>
        </w:rPr>
        <w:lastRenderedPageBreak/>
        <w:t xml:space="preserve">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50BA233B" w14:textId="77777777" w:rsidR="0092112F" w:rsidRPr="0092112F" w:rsidRDefault="0092112F" w:rsidP="0092112F">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0FE662F5" w14:textId="77777777" w:rsidR="0092112F" w:rsidRPr="0092112F" w:rsidRDefault="0092112F" w:rsidP="0092112F">
      <w:pPr>
        <w:pStyle w:val="Bibliography"/>
        <w:rPr>
          <w:rFonts w:cs="Times New Roman"/>
        </w:rPr>
      </w:pPr>
      <w:r w:rsidRPr="0092112F">
        <w:rPr>
          <w:rFonts w:cs="Times New Roman"/>
        </w:rPr>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146F0049" w14:textId="77777777" w:rsidR="0092112F" w:rsidRPr="0092112F" w:rsidRDefault="0092112F" w:rsidP="0092112F">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016ABB9A" w14:textId="77777777" w:rsidR="0092112F" w:rsidRPr="0092112F" w:rsidRDefault="0092112F" w:rsidP="0092112F">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76ABB691" w14:textId="77777777" w:rsidR="0092112F" w:rsidRPr="0092112F" w:rsidRDefault="0092112F" w:rsidP="0092112F">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3487DEA6" w14:textId="77777777" w:rsidR="0092112F" w:rsidRPr="0092112F" w:rsidRDefault="0092112F" w:rsidP="0092112F">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B7562FD" w14:textId="77777777" w:rsidR="0092112F" w:rsidRPr="0092112F" w:rsidRDefault="0092112F" w:rsidP="0092112F">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41637833" w14:textId="77777777" w:rsidR="0092112F" w:rsidRPr="0092112F" w:rsidRDefault="0092112F" w:rsidP="0092112F">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5940244E" w14:textId="200712C6" w:rsidR="000974AE" w:rsidRDefault="00F553D1" w:rsidP="0092112F">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814F83" w14:textId="77777777" w:rsidR="00925217" w:rsidRDefault="00925217" w:rsidP="009A2297">
      <w:pPr>
        <w:spacing w:after="0"/>
      </w:pPr>
      <w:r>
        <w:separator/>
      </w:r>
    </w:p>
  </w:endnote>
  <w:endnote w:type="continuationSeparator" w:id="0">
    <w:p w14:paraId="59D27178" w14:textId="77777777" w:rsidR="00925217" w:rsidRDefault="00925217"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76792F" w14:textId="77777777" w:rsidR="00925217" w:rsidRDefault="00925217" w:rsidP="009A2297">
      <w:pPr>
        <w:spacing w:after="0"/>
      </w:pPr>
      <w:r>
        <w:separator/>
      </w:r>
    </w:p>
  </w:footnote>
  <w:footnote w:type="continuationSeparator" w:id="0">
    <w:p w14:paraId="304EC936" w14:textId="77777777" w:rsidR="00925217" w:rsidRDefault="00925217"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5B9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5217"/>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52E6"/>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3.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4.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38</Pages>
  <Words>27231</Words>
  <Characters>155220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182087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cp:revision>
  <cp:lastPrinted>2026-04-15T23:13:00Z</cp:lastPrinted>
  <dcterms:created xsi:type="dcterms:W3CDTF">2026-08-24T03:29:00Z</dcterms:created>
  <dcterms:modified xsi:type="dcterms:W3CDTF">2026-08-24T03:40:00Z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