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5F798F" w14:textId="77777777" w:rsidR="00303C6C" w:rsidRDefault="00000000">
      <w:pPr>
        <w:keepNext/>
        <w:spacing w:after="160" w:line="276" w:lineRule="auto"/>
      </w:pPr>
      <w:r>
        <w:rPr>
          <w:rFonts w:ascii="Times New Roman" w:hAnsi="Times New Roman" w:cs="Times New Roman"/>
          <w:b/>
        </w:rPr>
        <w:t>Appendix S1</w:t>
      </w:r>
    </w:p>
    <w:p w14:paraId="33C7434F" w14:textId="77777777" w:rsidR="00303C6C" w:rsidRDefault="00000000">
      <w:pPr>
        <w:spacing w:after="160" w:line="276" w:lineRule="auto"/>
      </w:pPr>
      <w:r>
        <w:rPr>
          <w:rFonts w:ascii="Times New Roman" w:hAnsi="Times New Roman" w:cs="Times New Roman"/>
        </w:rPr>
        <w:t>Gledis Guri, Ryan P. Kelly, Andrew O. Shelton, Owen R. Liu, and Krista M. Nichols</w:t>
      </w:r>
    </w:p>
    <w:p w14:paraId="7E6DF7CD" w14:textId="420D262A" w:rsidR="001731C5" w:rsidRDefault="00C95467" w:rsidP="00F0681B">
      <w:pPr>
        <w:pStyle w:val="Author"/>
        <w:spacing w:after="0" w:line="360" w:lineRule="auto"/>
        <w:jc w:val="left"/>
        <w:rPr>
          <w:rFonts w:ascii="Times New Roman" w:hAnsi="Times New Roman" w:cs="Times New Roman"/>
          <w:b/>
          <w:bCs/>
          <w:szCs w:val="36"/>
        </w:rPr>
      </w:pPr>
      <w:r>
        <w:rPr>
          <w:rFonts w:ascii="Times New Roman" w:hAnsi="Times New Roman" w:cs="Times New Roman"/>
          <w:b/>
          <w:bCs/>
          <w:szCs w:val="36"/>
        </w:rPr>
        <w:t xml:space="preserve">Smart </w:t>
      </w:r>
      <w:r>
        <w:rPr>
          <w:rFonts w:ascii="Times New Roman" w:hAnsi="Times New Roman" w:cs="Times New Roman"/>
          <w:b/>
          <w:szCs w:val="36"/>
        </w:rPr>
        <w:t>environmental DNA</w:t>
      </w:r>
      <w:r>
        <w:rPr>
          <w:rFonts w:ascii="Times New Roman" w:hAnsi="Times New Roman" w:cs="Times New Roman"/>
          <w:b/>
          <w:bCs/>
          <w:szCs w:val="36"/>
        </w:rPr>
        <w:t xml:space="preserve"> sampling strategies: </w:t>
      </w:r>
      <w:r>
        <w:rPr>
          <w:rFonts w:ascii="Times New Roman" w:hAnsi="Times New Roman" w:cs="Times New Roman"/>
          <w:b/>
          <w:szCs w:val="36"/>
        </w:rPr>
        <w:t>a spatial</w:t>
      </w:r>
      <w:r>
        <w:rPr>
          <w:rFonts w:ascii="Times New Roman" w:hAnsi="Times New Roman" w:cs="Times New Roman"/>
          <w:b/>
          <w:bCs/>
          <w:szCs w:val="36"/>
        </w:rPr>
        <w:t xml:space="preserve"> autocorrelation </w:t>
      </w:r>
      <w:r>
        <w:rPr>
          <w:rFonts w:ascii="Times New Roman" w:hAnsi="Times New Roman" w:cs="Times New Roman"/>
          <w:b/>
          <w:szCs w:val="36"/>
        </w:rPr>
        <w:t>method and interactive planner for</w:t>
      </w:r>
      <w:r>
        <w:rPr>
          <w:rFonts w:ascii="Times New Roman" w:hAnsi="Times New Roman" w:cs="Times New Roman"/>
          <w:b/>
          <w:bCs/>
          <w:szCs w:val="36"/>
        </w:rPr>
        <w:t xml:space="preserve"> survey design</w:t>
      </w:r>
      <w:r w:rsidRPr="00C95467">
        <w:rPr>
          <w:rFonts w:ascii="Times New Roman" w:hAnsi="Times New Roman" w:cs="Times New Roman"/>
          <w:b/>
          <w:bCs/>
          <w:szCs w:val="36"/>
        </w:rPr>
        <w:br/>
      </w:r>
    </w:p>
    <w:p w14:paraId="5BC865F6" w14:textId="77777777" w:rsidR="00303C6C" w:rsidRDefault="00000000">
      <w:pPr>
        <w:spacing w:after="160" w:line="276" w:lineRule="auto"/>
      </w:pPr>
      <w:r>
        <w:rPr>
          <w:rFonts w:ascii="Times New Roman" w:hAnsi="Times New Roman" w:cs="Times New Roman"/>
          <w:i/>
        </w:rPr>
        <w:t>Ecological Applications</w:t>
      </w:r>
    </w:p>
    <w:p w14:paraId="31FC7D30" w14:textId="77777777" w:rsidR="00C95467" w:rsidRPr="00C95467" w:rsidRDefault="00C95467" w:rsidP="00C95467">
      <w:pPr>
        <w:spacing w:after="160" w:line="278" w:lineRule="auto"/>
        <w:rPr>
          <w:rFonts w:ascii="Times New Roman" w:hAnsi="Times New Roman" w:cs="Times New Roman"/>
          <w:b/>
          <w:bCs/>
          <w:szCs w:val="36"/>
        </w:rPr>
      </w:pPr>
      <w:r w:rsidRPr="00C95467">
        <w:rPr>
          <w:rFonts w:ascii="Times New Roman" w:hAnsi="Times New Roman" w:cs="Times New Roman"/>
          <w:b/>
          <w:bCs/>
          <w:szCs w:val="36"/>
        </w:rPr>
        <w:br w:type="page"/>
      </w:r>
      <w:r w:rsidRPr="00C95467">
        <w:rPr>
          <w:rFonts w:ascii="Times New Roman" w:hAnsi="Times New Roman" w:cs="Times New Roman"/>
          <w:b/>
          <w:bCs/>
          <w:szCs w:val="36"/>
        </w:rPr>
        <w:lastRenderedPageBreak/>
        <w:t xml:space="preserve">Table S1. </w:t>
      </w:r>
      <w:r w:rsidRPr="004100F8">
        <w:rPr>
          <w:rFonts w:ascii="Times New Roman" w:hAnsi="Times New Roman" w:cs="Times New Roman"/>
          <w:szCs w:val="36"/>
        </w:rPr>
        <w:t xml:space="preserve">Parameter values used to generate the 200 simulated Gaussian process (GP) spatial fields. Each row defines one simulation scenario </w:t>
      </w:r>
      <w:proofErr w:type="spellStart"/>
      <w:r w:rsidRPr="004100F8">
        <w:rPr>
          <w:rFonts w:ascii="Times New Roman" w:hAnsi="Times New Roman" w:cs="Times New Roman"/>
          <w:szCs w:val="36"/>
        </w:rPr>
        <w:t>characterised</w:t>
      </w:r>
      <w:proofErr w:type="spellEnd"/>
      <w:r w:rsidRPr="004100F8">
        <w:rPr>
          <w:rFonts w:ascii="Times New Roman" w:hAnsi="Times New Roman" w:cs="Times New Roman"/>
          <w:szCs w:val="36"/>
        </w:rPr>
        <w:t xml:space="preserve"> by a single spatial autocorrelation length-scale (ρ), given in </w:t>
      </w:r>
      <w:proofErr w:type="spellStart"/>
      <w:r w:rsidRPr="004100F8">
        <w:rPr>
          <w:rFonts w:ascii="Times New Roman" w:hAnsi="Times New Roman" w:cs="Times New Roman"/>
          <w:szCs w:val="36"/>
        </w:rPr>
        <w:t>kilometres</w:t>
      </w:r>
      <w:proofErr w:type="spellEnd"/>
      <w:r w:rsidRPr="004100F8">
        <w:rPr>
          <w:rFonts w:ascii="Times New Roman" w:hAnsi="Times New Roman" w:cs="Times New Roman"/>
          <w:szCs w:val="36"/>
        </w:rPr>
        <w:t xml:space="preserve"> and ranging from 25 to 1000 km. Across all scenarios the non-spatial variance (σ²) is fixed at 3 and the amplitude (α²) at 4, and 20 replicate spatial fields are drawn per scenario (10 ρ levels × 20 replicates = 200 datasets). Columns give the scenario number, ρ (km), σ², α², and the number of replicate iterations.</w:t>
      </w:r>
      <w:r w:rsidRPr="00C95467">
        <w:rPr>
          <w:rFonts w:ascii="Times New Roman" w:hAnsi="Times New Roman" w:cs="Times New Roman"/>
          <w:b/>
          <w:bCs/>
          <w:szCs w:val="36"/>
        </w:rPr>
        <w:t xml:space="preserve"> </w:t>
      </w:r>
    </w:p>
    <w:tbl>
      <w:tblPr>
        <w:tblStyle w:val="TableGrid"/>
        <w:tblW w:w="0" w:type="auto"/>
        <w:tblLook w:val="04A0" w:firstRow="1" w:lastRow="0" w:firstColumn="1" w:lastColumn="0" w:noHBand="0" w:noVBand="1"/>
      </w:tblPr>
      <w:tblGrid>
        <w:gridCol w:w="1337"/>
        <w:gridCol w:w="922"/>
        <w:gridCol w:w="839"/>
        <w:gridCol w:w="866"/>
        <w:gridCol w:w="1110"/>
      </w:tblGrid>
      <w:tr w:rsidR="00C95467" w:rsidRPr="00C95467" w14:paraId="2062508B" w14:textId="77777777" w:rsidTr="00793081">
        <w:tc>
          <w:tcPr>
            <w:tcW w:w="1337" w:type="dxa"/>
          </w:tcPr>
          <w:p w14:paraId="3E5B66B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Simulation</w:t>
            </w:r>
          </w:p>
        </w:tc>
        <w:tc>
          <w:tcPr>
            <w:tcW w:w="922" w:type="dxa"/>
          </w:tcPr>
          <w:p w14:paraId="538050DF" w14:textId="0D7DFEDD" w:rsidR="00C95467" w:rsidRPr="00C95467" w:rsidRDefault="00C95467" w:rsidP="00793081">
            <w:pPr>
              <w:rPr>
                <w:rFonts w:ascii="Times New Roman" w:hAnsi="Times New Roman" w:cs="Times New Roman"/>
              </w:rPr>
            </w:pPr>
            <w:r>
              <w:rPr>
                <w:rFonts w:ascii="Times New Roman" w:hAnsi="Times New Roman" w:cs="Times New Roman"/>
                <w:i/>
              </w:rPr>
              <w:t>ρ</w:t>
            </w:r>
            <w:r>
              <w:rPr>
                <w:rFonts w:ascii="Times New Roman" w:hAnsi="Times New Roman" w:cs="Times New Roman"/>
              </w:rPr>
              <w:t xml:space="preserve"> (km)</w:t>
            </w:r>
          </w:p>
        </w:tc>
        <w:tc>
          <w:tcPr>
            <w:tcW w:w="839" w:type="dxa"/>
          </w:tcPr>
          <w:p w14:paraId="7CAB6568" w14:textId="35A72373" w:rsidR="00C95467" w:rsidRPr="00C95467" w:rsidRDefault="00C95467" w:rsidP="00793081">
            <w:pPr>
              <w:rPr>
                <w:rFonts w:ascii="Times New Roman" w:hAnsi="Times New Roman" w:cs="Times New Roman"/>
              </w:rPr>
            </w:pPr>
            <w:r>
              <w:rPr>
                <w:rFonts w:ascii="Times New Roman" w:hAnsi="Times New Roman" w:cs="Times New Roman"/>
                <w:i/>
              </w:rPr>
              <w:t>σ</w:t>
            </w:r>
            <w:r>
              <w:rPr>
                <w:rFonts w:ascii="Times New Roman" w:hAnsi="Times New Roman" w:cs="Times New Roman"/>
                <w:i/>
                <w:vertAlign w:val="superscript"/>
              </w:rPr>
              <w:t>2</w:t>
            </w:r>
          </w:p>
        </w:tc>
        <w:tc>
          <w:tcPr>
            <w:tcW w:w="866" w:type="dxa"/>
          </w:tcPr>
          <w:p w14:paraId="565E4449" w14:textId="6807D156" w:rsidR="00C95467" w:rsidRPr="00C95467" w:rsidRDefault="00C95467" w:rsidP="00793081">
            <w:pPr>
              <w:rPr>
                <w:rFonts w:ascii="Times New Roman" w:hAnsi="Times New Roman" w:cs="Times New Roman"/>
              </w:rPr>
            </w:pPr>
            <w:r>
              <w:rPr>
                <w:rFonts w:ascii="Times New Roman" w:hAnsi="Times New Roman" w:cs="Times New Roman"/>
                <w:i/>
              </w:rPr>
              <w:t>α</w:t>
            </w:r>
            <w:r>
              <w:rPr>
                <w:rFonts w:ascii="Times New Roman" w:hAnsi="Times New Roman" w:cs="Times New Roman"/>
                <w:i/>
                <w:vertAlign w:val="superscript"/>
              </w:rPr>
              <w:t>2</w:t>
            </w:r>
          </w:p>
        </w:tc>
        <w:tc>
          <w:tcPr>
            <w:tcW w:w="866" w:type="dxa"/>
          </w:tcPr>
          <w:p w14:paraId="796E87F2" w14:textId="0EF6B2ED" w:rsidR="00C95467" w:rsidRPr="00C95467" w:rsidRDefault="00C95467" w:rsidP="00793081">
            <w:pPr>
              <w:rPr>
                <w:rFonts w:ascii="Times New Roman" w:hAnsi="Times New Roman" w:cs="Times New Roman"/>
              </w:rPr>
            </w:pPr>
            <w:r>
              <w:rPr>
                <w:rFonts w:ascii="Times New Roman" w:hAnsi="Times New Roman" w:cs="Times New Roman"/>
              </w:rPr>
              <w:t>No. of</w:t>
            </w:r>
            <w:r w:rsidRPr="00C95467">
              <w:rPr>
                <w:rFonts w:ascii="Times New Roman" w:hAnsi="Times New Roman" w:cs="Times New Roman"/>
              </w:rPr>
              <w:t xml:space="preserve"> iterations</w:t>
            </w:r>
          </w:p>
        </w:tc>
      </w:tr>
      <w:tr w:rsidR="00C95467" w:rsidRPr="00C95467" w14:paraId="5AD5651C" w14:textId="77777777" w:rsidTr="00793081">
        <w:tc>
          <w:tcPr>
            <w:tcW w:w="1337" w:type="dxa"/>
          </w:tcPr>
          <w:p w14:paraId="76B8A11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w:t>
            </w:r>
          </w:p>
        </w:tc>
        <w:tc>
          <w:tcPr>
            <w:tcW w:w="922" w:type="dxa"/>
          </w:tcPr>
          <w:p w14:paraId="2409AD5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25</w:t>
            </w:r>
          </w:p>
        </w:tc>
        <w:tc>
          <w:tcPr>
            <w:tcW w:w="839" w:type="dxa"/>
          </w:tcPr>
          <w:p w14:paraId="224C2B0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5F1BF43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4E74330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4A9F60B" w14:textId="77777777" w:rsidTr="00793081">
        <w:tc>
          <w:tcPr>
            <w:tcW w:w="1337" w:type="dxa"/>
          </w:tcPr>
          <w:p w14:paraId="4794C26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w:t>
            </w:r>
          </w:p>
        </w:tc>
        <w:tc>
          <w:tcPr>
            <w:tcW w:w="922" w:type="dxa"/>
          </w:tcPr>
          <w:p w14:paraId="30F2E47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50</w:t>
            </w:r>
          </w:p>
        </w:tc>
        <w:tc>
          <w:tcPr>
            <w:tcW w:w="839" w:type="dxa"/>
          </w:tcPr>
          <w:p w14:paraId="7132F35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4AAED34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2FEB65B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5938E3FF" w14:textId="77777777" w:rsidTr="00793081">
        <w:tc>
          <w:tcPr>
            <w:tcW w:w="1337" w:type="dxa"/>
          </w:tcPr>
          <w:p w14:paraId="3750F8A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922" w:type="dxa"/>
          </w:tcPr>
          <w:p w14:paraId="38603E31"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75</w:t>
            </w:r>
          </w:p>
        </w:tc>
        <w:tc>
          <w:tcPr>
            <w:tcW w:w="839" w:type="dxa"/>
          </w:tcPr>
          <w:p w14:paraId="5F3EACA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0271534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509402B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39859C0A" w14:textId="77777777" w:rsidTr="00793081">
        <w:tc>
          <w:tcPr>
            <w:tcW w:w="1337" w:type="dxa"/>
          </w:tcPr>
          <w:p w14:paraId="768FA35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922" w:type="dxa"/>
          </w:tcPr>
          <w:p w14:paraId="7F7A74E1"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100</w:t>
            </w:r>
          </w:p>
        </w:tc>
        <w:tc>
          <w:tcPr>
            <w:tcW w:w="839" w:type="dxa"/>
          </w:tcPr>
          <w:p w14:paraId="17E2DCFE"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7544BC7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68FFD46F"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29F7E5CF" w14:textId="77777777" w:rsidTr="00793081">
        <w:tc>
          <w:tcPr>
            <w:tcW w:w="1337" w:type="dxa"/>
          </w:tcPr>
          <w:p w14:paraId="55BFECD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w:t>
            </w:r>
          </w:p>
        </w:tc>
        <w:tc>
          <w:tcPr>
            <w:tcW w:w="922" w:type="dxa"/>
          </w:tcPr>
          <w:p w14:paraId="3EED0F2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200</w:t>
            </w:r>
          </w:p>
        </w:tc>
        <w:tc>
          <w:tcPr>
            <w:tcW w:w="839" w:type="dxa"/>
          </w:tcPr>
          <w:p w14:paraId="276C17D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78DBCC4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2337AD1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4FAE4775" w14:textId="77777777" w:rsidTr="00793081">
        <w:tc>
          <w:tcPr>
            <w:tcW w:w="1337" w:type="dxa"/>
          </w:tcPr>
          <w:p w14:paraId="2637EE3F"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6</w:t>
            </w:r>
          </w:p>
        </w:tc>
        <w:tc>
          <w:tcPr>
            <w:tcW w:w="922" w:type="dxa"/>
          </w:tcPr>
          <w:p w14:paraId="4ABBBBA1"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300</w:t>
            </w:r>
          </w:p>
        </w:tc>
        <w:tc>
          <w:tcPr>
            <w:tcW w:w="839" w:type="dxa"/>
          </w:tcPr>
          <w:p w14:paraId="1F19FA0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429A105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2B72017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39AE90E9" w14:textId="77777777" w:rsidTr="00793081">
        <w:tc>
          <w:tcPr>
            <w:tcW w:w="1337" w:type="dxa"/>
          </w:tcPr>
          <w:p w14:paraId="6BF8338F"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7</w:t>
            </w:r>
          </w:p>
        </w:tc>
        <w:tc>
          <w:tcPr>
            <w:tcW w:w="922" w:type="dxa"/>
          </w:tcPr>
          <w:p w14:paraId="2BDEEFE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400</w:t>
            </w:r>
          </w:p>
        </w:tc>
        <w:tc>
          <w:tcPr>
            <w:tcW w:w="839" w:type="dxa"/>
          </w:tcPr>
          <w:p w14:paraId="22A673F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66BBBF0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4B9BF90F"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59C352E0" w14:textId="77777777" w:rsidTr="00793081">
        <w:tc>
          <w:tcPr>
            <w:tcW w:w="1337" w:type="dxa"/>
          </w:tcPr>
          <w:p w14:paraId="78FA1A0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8</w:t>
            </w:r>
          </w:p>
        </w:tc>
        <w:tc>
          <w:tcPr>
            <w:tcW w:w="922" w:type="dxa"/>
          </w:tcPr>
          <w:p w14:paraId="2DC5612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500</w:t>
            </w:r>
          </w:p>
        </w:tc>
        <w:tc>
          <w:tcPr>
            <w:tcW w:w="839" w:type="dxa"/>
          </w:tcPr>
          <w:p w14:paraId="082CCA2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3953B10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5ABB2D3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68213ED3" w14:textId="77777777" w:rsidTr="00793081">
        <w:tc>
          <w:tcPr>
            <w:tcW w:w="1337" w:type="dxa"/>
          </w:tcPr>
          <w:p w14:paraId="354F53C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9</w:t>
            </w:r>
          </w:p>
        </w:tc>
        <w:tc>
          <w:tcPr>
            <w:tcW w:w="922" w:type="dxa"/>
          </w:tcPr>
          <w:p w14:paraId="3F4E1BE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800</w:t>
            </w:r>
          </w:p>
        </w:tc>
        <w:tc>
          <w:tcPr>
            <w:tcW w:w="839" w:type="dxa"/>
          </w:tcPr>
          <w:p w14:paraId="3290B37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7441106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F1F202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5065C5CE" w14:textId="77777777" w:rsidTr="00793081">
        <w:tc>
          <w:tcPr>
            <w:tcW w:w="1337" w:type="dxa"/>
          </w:tcPr>
          <w:p w14:paraId="5E74099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w:t>
            </w:r>
          </w:p>
        </w:tc>
        <w:tc>
          <w:tcPr>
            <w:tcW w:w="922" w:type="dxa"/>
          </w:tcPr>
          <w:p w14:paraId="24A0664F"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1000</w:t>
            </w:r>
          </w:p>
        </w:tc>
        <w:tc>
          <w:tcPr>
            <w:tcW w:w="839" w:type="dxa"/>
          </w:tcPr>
          <w:p w14:paraId="38819B9F"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5F3C021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1C28482E"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bl>
    <w:p w14:paraId="6B625968" w14:textId="77777777" w:rsidR="00C95467" w:rsidRPr="00C95467" w:rsidRDefault="00C95467" w:rsidP="00C95467">
      <w:pPr>
        <w:pStyle w:val="Bibliography"/>
        <w:spacing w:line="360" w:lineRule="auto"/>
        <w:rPr>
          <w:rFonts w:ascii="Times New Roman" w:hAnsi="Times New Roman" w:cs="Times New Roman"/>
        </w:rPr>
      </w:pPr>
    </w:p>
    <w:p w14:paraId="370CE85D" w14:textId="54316776" w:rsidR="00C95467" w:rsidRPr="004100F8" w:rsidRDefault="00C95467" w:rsidP="00C95467">
      <w:pPr>
        <w:rPr>
          <w:rFonts w:ascii="Times New Roman" w:eastAsia="Times New Roman" w:hAnsi="Times New Roman" w:cs="Times New Roman"/>
          <w:i/>
          <w:iCs/>
        </w:rPr>
      </w:pPr>
      <w:r w:rsidRPr="00C95467">
        <w:rPr>
          <w:rFonts w:ascii="Times New Roman" w:hAnsi="Times New Roman" w:cs="Times New Roman"/>
          <w:b/>
          <w:bCs/>
          <w:i/>
          <w:iCs/>
        </w:rPr>
        <w:br w:type="page"/>
      </w:r>
      <w:r w:rsidRPr="00C95467">
        <w:rPr>
          <w:rFonts w:ascii="Times New Roman" w:hAnsi="Times New Roman" w:cs="Times New Roman"/>
          <w:b/>
          <w:bCs/>
        </w:rPr>
        <w:lastRenderedPageBreak/>
        <w:t xml:space="preserve">Figure S1. </w:t>
      </w:r>
      <w:r w:rsidR="00FB7E42" w:rsidRPr="004100F8">
        <w:rPr>
          <w:rFonts w:ascii="Times New Roman" w:hAnsi="Times New Roman" w:cs="Times New Roman"/>
        </w:rPr>
        <w:t>Comparison of regression coefficients estimated from simulated (in-silico in x-axis) datasets and the empirical (in-situ in y-axis) dataset for the model relating prediction error (</w:t>
      </w:r>
      <w:r>
        <w:rPr>
          <w:rFonts w:ascii="Times New Roman" w:hAnsi="Times New Roman" w:cs="Times New Roman"/>
          <w:i/>
        </w:rPr>
        <w:t>ε</w:t>
      </w:r>
      <w:r>
        <w:rPr>
          <w:rFonts w:ascii="Times New Roman" w:hAnsi="Times New Roman" w:cs="Times New Roman"/>
          <w:vertAlign w:val="subscript"/>
        </w:rPr>
        <w:t>sim,358</w:t>
      </w:r>
      <w:r>
        <w:rPr>
          <w:rFonts w:ascii="Times New Roman" w:hAnsi="Times New Roman" w:cs="Times New Roman"/>
        </w:rPr>
        <w:t xml:space="preserve"> for the simulations and </w:t>
      </w:r>
      <w:proofErr w:type="spellStart"/>
      <w:r>
        <w:rPr>
          <w:rFonts w:ascii="Times New Roman" w:hAnsi="Times New Roman" w:cs="Times New Roman"/>
          <w:i/>
        </w:rPr>
        <w:t>ε</w:t>
      </w:r>
      <w:r>
        <w:rPr>
          <w:rFonts w:ascii="Times New Roman" w:hAnsi="Times New Roman" w:cs="Times New Roman"/>
          <w:vertAlign w:val="subscript"/>
        </w:rPr>
        <w:t>obs</w:t>
      </w:r>
      <w:proofErr w:type="spellEnd"/>
      <w:r>
        <w:rPr>
          <w:rFonts w:ascii="Times New Roman" w:hAnsi="Times New Roman" w:cs="Times New Roman"/>
        </w:rPr>
        <w:t xml:space="preserve"> for the observed data</w:t>
      </w:r>
      <w:r w:rsidR="00FB7E42" w:rsidRPr="004100F8">
        <w:rPr>
          <w:rFonts w:ascii="Times New Roman" w:hAnsi="Times New Roman" w:cs="Times New Roman"/>
        </w:rPr>
        <w:t xml:space="preserve">) to sampling density </w:t>
      </w:r>
      <w:r>
        <w:rPr>
          <w:rFonts w:ascii="Times New Roman" w:hAnsi="Times New Roman" w:cs="Times New Roman"/>
        </w:rPr>
        <w:t>(</w:t>
      </w:r>
      <w:r>
        <w:rPr>
          <w:rFonts w:ascii="Times New Roman" w:hAnsi="Times New Roman" w:cs="Times New Roman"/>
          <w:i/>
        </w:rPr>
        <w:t>E</w:t>
      </w:r>
      <w:r>
        <w:rPr>
          <w:rFonts w:ascii="Times New Roman" w:hAnsi="Times New Roman" w:cs="Times New Roman"/>
        </w:rPr>
        <w:t>)</w:t>
      </w:r>
      <w:r w:rsidR="00FB7E42" w:rsidRPr="004100F8">
        <w:rPr>
          <w:rFonts w:ascii="Times New Roman" w:hAnsi="Times New Roman" w:cs="Times New Roman"/>
        </w:rPr>
        <w:t xml:space="preserv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w:t>
      </w:r>
    </w:p>
    <w:p w14:paraId="053AFBC0" w14:textId="77777777" w:rsidR="00C95467" w:rsidRPr="00C95467" w:rsidRDefault="00C95467" w:rsidP="00C95467">
      <w:pPr>
        <w:pStyle w:val="Bibliography"/>
        <w:spacing w:line="360" w:lineRule="auto"/>
        <w:rPr>
          <w:rFonts w:ascii="Times New Roman" w:hAnsi="Times New Roman" w:cs="Times New Roman"/>
        </w:rPr>
      </w:pPr>
    </w:p>
    <w:p w14:paraId="42D89E8F" w14:textId="77777777" w:rsidR="00C95467" w:rsidRPr="00C95467" w:rsidRDefault="00C95467" w:rsidP="00C95467">
      <w:pPr>
        <w:pStyle w:val="BodyText"/>
        <w:rPr>
          <w:rFonts w:cs="Times New Roman"/>
        </w:rPr>
      </w:pPr>
      <w:r w:rsidRPr="00C95467">
        <w:rPr>
          <w:rFonts w:cs="Times New Roman"/>
          <w:noProof/>
        </w:rPr>
        <w:drawing>
          <wp:inline distT="0" distB="0" distL="0" distR="0" wp14:anchorId="01E9F40C" wp14:editId="07440FE8">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0B47BB6E" w14:textId="77777777" w:rsidR="00C95467" w:rsidRPr="00C95467" w:rsidRDefault="00C95467" w:rsidP="00C95467">
      <w:pPr>
        <w:rPr>
          <w:rFonts w:ascii="Times New Roman" w:hAnsi="Times New Roman" w:cs="Times New Roman"/>
        </w:rPr>
      </w:pPr>
      <w:r w:rsidRPr="00C95467">
        <w:rPr>
          <w:rFonts w:ascii="Times New Roman" w:hAnsi="Times New Roman" w:cs="Times New Roman"/>
        </w:rPr>
        <w:br w:type="page"/>
      </w:r>
    </w:p>
    <w:p w14:paraId="59EE1884" w14:textId="065AEDF1" w:rsidR="00C95467" w:rsidRPr="00C95467" w:rsidRDefault="00C95467" w:rsidP="00C95467">
      <w:pPr>
        <w:pStyle w:val="Bibliography"/>
        <w:spacing w:line="360" w:lineRule="auto"/>
        <w:rPr>
          <w:rFonts w:ascii="Times New Roman" w:eastAsia="Times New Roman" w:hAnsi="Times New Roman" w:cs="Times New Roman"/>
          <w:b/>
          <w:bCs/>
        </w:rPr>
      </w:pPr>
      <w:r w:rsidRPr="00C95467">
        <w:rPr>
          <w:rFonts w:ascii="Times New Roman" w:eastAsia="Times New Roman" w:hAnsi="Times New Roman" w:cs="Times New Roman"/>
          <w:b/>
          <w:bCs/>
        </w:rPr>
        <w:lastRenderedPageBreak/>
        <w:t xml:space="preserve">Figure S2. </w:t>
      </w:r>
      <w:r w:rsidRPr="004100F8">
        <w:rPr>
          <w:rFonts w:ascii="Times New Roman" w:eastAsia="Times New Roman" w:hAnsi="Times New Roman" w:cs="Times New Roman"/>
        </w:rPr>
        <w:t>Prediction error as a function of sampling density for the simulated (left panel) and empirical (right panel) datasets, both referenced to a common baseline field (Z) derived from N = 358 samples. The x-axis is sampling density (number of samples per 10,000 km²) and the y-axis is prediction error (</w:t>
      </w:r>
      <w:r>
        <w:rPr>
          <w:rFonts w:ascii="Times New Roman" w:eastAsia="Times New Roman" w:hAnsi="Times New Roman" w:cs="Times New Roman"/>
          <w:i/>
        </w:rPr>
        <w:t>ε</w:t>
      </w:r>
      <w:r>
        <w:rPr>
          <w:rFonts w:ascii="Times New Roman" w:eastAsia="Times New Roman" w:hAnsi="Times New Roman" w:cs="Times New Roman"/>
          <w:vertAlign w:val="subscript"/>
        </w:rPr>
        <w:t>sim,358</w:t>
      </w:r>
      <w:r>
        <w:rPr>
          <w:rFonts w:ascii="Times New Roman" w:eastAsia="Times New Roman" w:hAnsi="Times New Roman" w:cs="Times New Roman"/>
        </w:rPr>
        <w:t xml:space="preserve"> and </w:t>
      </w:r>
      <w:proofErr w:type="spellStart"/>
      <w:r>
        <w:rPr>
          <w:rFonts w:ascii="Times New Roman" w:eastAsia="Times New Roman" w:hAnsi="Times New Roman" w:cs="Times New Roman"/>
          <w:i/>
        </w:rPr>
        <w:t>ε</w:t>
      </w:r>
      <w:r>
        <w:rPr>
          <w:rFonts w:ascii="Times New Roman" w:eastAsia="Times New Roman" w:hAnsi="Times New Roman" w:cs="Times New Roman"/>
          <w:vertAlign w:val="subscript"/>
        </w:rPr>
        <w:t>obs</w:t>
      </w:r>
      <w:proofErr w:type="spellEnd"/>
      <w:r>
        <w:rPr>
          <w:rFonts w:ascii="Times New Roman" w:eastAsia="Times New Roman" w:hAnsi="Times New Roman" w:cs="Times New Roman"/>
        </w:rPr>
        <w:t xml:space="preserve"> for the simulated and empirical datasets, respectively</w:t>
      </w:r>
      <w:r w:rsidRPr="004100F8">
        <w:rPr>
          <w:rFonts w:ascii="Times New Roman" w:eastAsia="Times New Roman" w:hAnsi="Times New Roman" w:cs="Times New Roman"/>
        </w:rPr>
        <w:t xml:space="preserve">). Each point is an individual thinning </w:t>
      </w:r>
      <w:proofErr w:type="gramStart"/>
      <w:r w:rsidRPr="004100F8">
        <w:rPr>
          <w:rFonts w:ascii="Times New Roman" w:eastAsia="Times New Roman" w:hAnsi="Times New Roman" w:cs="Times New Roman"/>
        </w:rPr>
        <w:t>replicate</w:t>
      </w:r>
      <w:proofErr w:type="gramEnd"/>
      <w:r w:rsidRPr="004100F8">
        <w:rPr>
          <w:rFonts w:ascii="Times New Roman" w:eastAsia="Times New Roman" w:hAnsi="Times New Roman" w:cs="Times New Roman"/>
        </w:rPr>
        <w:t xml:space="preserve"> and each solid line is the fitted trend for a given spatial autocorrelation length-scale (ρ), </w:t>
      </w:r>
      <w:proofErr w:type="spellStart"/>
      <w:r w:rsidRPr="004100F8">
        <w:rPr>
          <w:rFonts w:ascii="Times New Roman" w:eastAsia="Times New Roman" w:hAnsi="Times New Roman" w:cs="Times New Roman"/>
        </w:rPr>
        <w:t>coloured</w:t>
      </w:r>
      <w:proofErr w:type="spellEnd"/>
      <w:r w:rsidRPr="004100F8">
        <w:rPr>
          <w:rFonts w:ascii="Times New Roman" w:eastAsia="Times New Roman" w:hAnsi="Times New Roman" w:cs="Times New Roman"/>
        </w:rPr>
        <w:t xml:space="preserve"> from dark blue (ρ = 25 km) through green and yellow to red (ρ = 1000 km).</w:t>
      </w:r>
      <w:r w:rsidRPr="00C95467">
        <w:rPr>
          <w:rFonts w:ascii="Times New Roman" w:eastAsia="Times New Roman" w:hAnsi="Times New Roman" w:cs="Times New Roman"/>
          <w:b/>
          <w:bCs/>
        </w:rPr>
        <w:t xml:space="preserve"> </w:t>
      </w:r>
    </w:p>
    <w:p w14:paraId="1E2F6A94" w14:textId="77777777" w:rsidR="00C95467" w:rsidRPr="00C95467" w:rsidRDefault="00C95467" w:rsidP="00C95467">
      <w:pPr>
        <w:rPr>
          <w:rFonts w:ascii="Times New Roman" w:hAnsi="Times New Roman" w:cs="Times New Roman"/>
          <w:sz w:val="20"/>
        </w:rPr>
      </w:pPr>
      <w:r w:rsidRPr="00C95467">
        <w:rPr>
          <w:rFonts w:ascii="Times New Roman" w:hAnsi="Times New Roman" w:cs="Times New Roman"/>
          <w:noProof/>
        </w:rPr>
        <w:drawing>
          <wp:inline distT="0" distB="0" distL="0" distR="0" wp14:anchorId="5922FCD1" wp14:editId="2E49BDFA">
            <wp:extent cx="5943600" cy="3507740"/>
            <wp:effectExtent l="0" t="0" r="0" b="0"/>
            <wp:docPr id="10145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571" name=""/>
                    <pic:cNvPicPr/>
                  </pic:nvPicPr>
                  <pic:blipFill>
                    <a:blip r:embed="rId7"/>
                    <a:stretch>
                      <a:fillRect/>
                    </a:stretch>
                  </pic:blipFill>
                  <pic:spPr>
                    <a:xfrm>
                      <a:off x="0" y="0"/>
                      <a:ext cx="5943600" cy="3507740"/>
                    </a:xfrm>
                    <a:prstGeom prst="rect">
                      <a:avLst/>
                    </a:prstGeom>
                  </pic:spPr>
                </pic:pic>
              </a:graphicData>
            </a:graphic>
          </wp:inline>
        </w:drawing>
      </w:r>
      <w:r w:rsidRPr="00C95467">
        <w:rPr>
          <w:rFonts w:ascii="Times New Roman" w:hAnsi="Times New Roman" w:cs="Times New Roman"/>
        </w:rPr>
        <w:br w:type="page"/>
      </w:r>
    </w:p>
    <w:p w14:paraId="1C187574" w14:textId="6966E262" w:rsidR="00C95467" w:rsidRPr="004100F8" w:rsidRDefault="00C95467" w:rsidP="00C95467">
      <w:pPr>
        <w:pStyle w:val="Bibliography"/>
        <w:spacing w:line="360" w:lineRule="auto"/>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S3. </w:t>
      </w:r>
      <w:r w:rsidRPr="004100F8">
        <w:rPr>
          <w:rFonts w:ascii="Times New Roman" w:eastAsia="Times New Roman" w:hAnsi="Times New Roman" w:cs="Times New Roman"/>
        </w:rPr>
        <w:t xml:space="preserve">Predicted eDNA concentration and its uncertainty as a function of sampling density, shown in separate panels for each spatial autocorrelation length-scale (ρ = 25–1000 km; </w:t>
      </w:r>
      <w:proofErr w:type="spellStart"/>
      <w:r w:rsidRPr="004100F8">
        <w:rPr>
          <w:rFonts w:ascii="Times New Roman" w:eastAsia="Times New Roman" w:hAnsi="Times New Roman" w:cs="Times New Roman"/>
        </w:rPr>
        <w:t>colour</w:t>
      </w:r>
      <w:proofErr w:type="spellEnd"/>
      <w:r w:rsidRPr="004100F8">
        <w:rPr>
          <w:rFonts w:ascii="Times New Roman" w:eastAsia="Times New Roman" w:hAnsi="Times New Roman" w:cs="Times New Roman"/>
        </w:rPr>
        <w:t xml:space="preserve"> from dark blue for small ρ to red for large ρ). In every panel the x-axis is sampling density (number of samples per 10,000 km²) and the y-axis is the estimated concentration (copies/L) for a true value of 100 copies/L. Points mark the central estimate and vertical bars show the lower and upper prediction bounds implied by the prediction error (</w:t>
      </w:r>
      <w:proofErr w:type="spellStart"/>
      <w:r>
        <w:rPr>
          <w:rFonts w:ascii="Times New Roman" w:eastAsia="Times New Roman" w:hAnsi="Times New Roman" w:cs="Times New Roman"/>
          <w:i/>
        </w:rPr>
        <w:t>ε</w:t>
      </w:r>
      <w:r>
        <w:rPr>
          <w:rFonts w:ascii="Times New Roman" w:eastAsia="Times New Roman" w:hAnsi="Times New Roman" w:cs="Times New Roman"/>
          <w:vertAlign w:val="subscript"/>
        </w:rPr>
        <w:t>sim</w:t>
      </w:r>
      <w:proofErr w:type="spellEnd"/>
      <w:r w:rsidRPr="004100F8">
        <w:rPr>
          <w:rFonts w:ascii="Times New Roman" w:eastAsia="Times New Roman" w:hAnsi="Times New Roman" w:cs="Times New Roman"/>
        </w:rPr>
        <w:t>) at each sampling density.</w:t>
      </w:r>
    </w:p>
    <w:p w14:paraId="715E93C4" w14:textId="77777777" w:rsidR="00C95467" w:rsidRPr="006376B2" w:rsidRDefault="00C95467" w:rsidP="006376B2">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5E09E521" wp14:editId="2B676C0F">
            <wp:extent cx="4174761" cy="6513115"/>
            <wp:effectExtent l="0" t="0" r="3810" b="2540"/>
            <wp:docPr id="2070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514" name=""/>
                    <pic:cNvPicPr/>
                  </pic:nvPicPr>
                  <pic:blipFill>
                    <a:blip r:embed="rId8"/>
                    <a:stretch>
                      <a:fillRect/>
                    </a:stretch>
                  </pic:blipFill>
                  <pic:spPr>
                    <a:xfrm>
                      <a:off x="0" y="0"/>
                      <a:ext cx="4188335" cy="6534293"/>
                    </a:xfrm>
                    <a:prstGeom prst="rect">
                      <a:avLst/>
                    </a:prstGeom>
                  </pic:spPr>
                </pic:pic>
              </a:graphicData>
            </a:graphic>
          </wp:inline>
        </w:drawing>
      </w:r>
    </w:p>
    <w:p w14:paraId="5457C1FC" w14:textId="77777777" w:rsidR="00C95467" w:rsidRPr="004100F8" w:rsidRDefault="00C95467" w:rsidP="00C95467">
      <w:pPr>
        <w:pStyle w:val="Bibliography"/>
        <w:spacing w:line="360" w:lineRule="auto"/>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S4. </w:t>
      </w:r>
      <w:r w:rsidRPr="004100F8">
        <w:rPr>
          <w:rFonts w:ascii="Times New Roman" w:eastAsia="Times New Roman" w:hAnsi="Times New Roman" w:cs="Times New Roman"/>
        </w:rPr>
        <w:t xml:space="preserve">Per-grid-cell differences between the reference field (Z) and the effort-specific predicted field (Sₑ), shown in separate panels for each sampling effort (N = 150–2000 samples). Within each panel the x-axis is the spatial autocorrelation length-scale (ρ, in km, on a log scale) and the y-axis is the difference Z − Sₑ. Each point is one grid-cell residual across simulation replicates, plotted relative to the </w:t>
      </w:r>
      <w:proofErr w:type="gramStart"/>
      <w:r w:rsidRPr="004100F8">
        <w:rPr>
          <w:rFonts w:ascii="Times New Roman" w:eastAsia="Times New Roman" w:hAnsi="Times New Roman" w:cs="Times New Roman"/>
        </w:rPr>
        <w:t>zero reference</w:t>
      </w:r>
      <w:proofErr w:type="gramEnd"/>
      <w:r w:rsidRPr="004100F8">
        <w:rPr>
          <w:rFonts w:ascii="Times New Roman" w:eastAsia="Times New Roman" w:hAnsi="Times New Roman" w:cs="Times New Roman"/>
        </w:rPr>
        <w:t xml:space="preserve"> line.</w:t>
      </w:r>
    </w:p>
    <w:p w14:paraId="45B9BD15" w14:textId="77777777" w:rsidR="00C95467" w:rsidRPr="00C95467" w:rsidRDefault="00C95467" w:rsidP="00C95467">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13B50187" wp14:editId="22084C58">
            <wp:extent cx="5943600" cy="2929255"/>
            <wp:effectExtent l="0" t="0" r="0" b="4445"/>
            <wp:docPr id="164518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159" name=""/>
                    <pic:cNvPicPr/>
                  </pic:nvPicPr>
                  <pic:blipFill>
                    <a:blip r:embed="rId9"/>
                    <a:stretch>
                      <a:fillRect/>
                    </a:stretch>
                  </pic:blipFill>
                  <pic:spPr>
                    <a:xfrm>
                      <a:off x="0" y="0"/>
                      <a:ext cx="5943600" cy="2929255"/>
                    </a:xfrm>
                    <a:prstGeom prst="rect">
                      <a:avLst/>
                    </a:prstGeom>
                  </pic:spPr>
                </pic:pic>
              </a:graphicData>
            </a:graphic>
          </wp:inline>
        </w:drawing>
      </w:r>
    </w:p>
    <w:p w14:paraId="0197B4FC" w14:textId="77777777" w:rsidR="00C95467" w:rsidRPr="00C95467" w:rsidRDefault="00C95467" w:rsidP="00C95467">
      <w:pPr>
        <w:rPr>
          <w:rFonts w:ascii="Times New Roman" w:hAnsi="Times New Roman" w:cs="Times New Roman"/>
          <w:sz w:val="20"/>
        </w:rPr>
      </w:pPr>
      <w:r w:rsidRPr="00C95467">
        <w:rPr>
          <w:rFonts w:ascii="Times New Roman" w:hAnsi="Times New Roman" w:cs="Times New Roman"/>
        </w:rPr>
        <w:br w:type="page"/>
      </w:r>
    </w:p>
    <w:p w14:paraId="3406DFAB" w14:textId="3362510E" w:rsidR="00C95467" w:rsidRPr="004100F8" w:rsidRDefault="00C95467" w:rsidP="00C95467">
      <w:pPr>
        <w:pStyle w:val="Bibliography"/>
        <w:spacing w:line="360" w:lineRule="auto"/>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S5. </w:t>
      </w:r>
      <w:r>
        <w:rPr>
          <w:rFonts w:ascii="Times New Roman" w:eastAsia="Times New Roman" w:hAnsi="Times New Roman" w:cs="Times New Roman"/>
        </w:rPr>
        <w:t>Simulated</w:t>
      </w:r>
      <w:r w:rsidRPr="004100F8">
        <w:rPr>
          <w:rFonts w:ascii="Times New Roman" w:eastAsia="Times New Roman" w:hAnsi="Times New Roman" w:cs="Times New Roman"/>
        </w:rPr>
        <w:t xml:space="preserve"> prediction error and the corresponding fitted model values across sampling density. Points show the individual simulated prediction errors (</w:t>
      </w:r>
      <w:proofErr w:type="spellStart"/>
      <w:r>
        <w:rPr>
          <w:rFonts w:ascii="Times New Roman" w:eastAsia="Times New Roman" w:hAnsi="Times New Roman" w:cs="Times New Roman"/>
          <w:i/>
        </w:rPr>
        <w:t>ε</w:t>
      </w:r>
      <w:r>
        <w:rPr>
          <w:rFonts w:ascii="Times New Roman" w:eastAsia="Times New Roman" w:hAnsi="Times New Roman" w:cs="Times New Roman"/>
          <w:vertAlign w:val="subscript"/>
        </w:rPr>
        <w:t>sim</w:t>
      </w:r>
      <w:proofErr w:type="spellEnd"/>
      <w:r w:rsidRPr="004100F8">
        <w:rPr>
          <w:rFonts w:ascii="Times New Roman" w:eastAsia="Times New Roman" w:hAnsi="Times New Roman" w:cs="Times New Roman"/>
        </w:rPr>
        <w:t>) and dashed lines show the fitted values from the log–log model (Eq. 6). The x-axis is sampling density (number of samples per 10,000 km², on a log scale) and the y-axis is prediction error (</w:t>
      </w:r>
      <w:proofErr w:type="spellStart"/>
      <w:r>
        <w:rPr>
          <w:rFonts w:ascii="Times New Roman" w:eastAsia="Times New Roman" w:hAnsi="Times New Roman" w:cs="Times New Roman"/>
          <w:i/>
        </w:rPr>
        <w:t>ε</w:t>
      </w:r>
      <w:r>
        <w:rPr>
          <w:rFonts w:ascii="Times New Roman" w:eastAsia="Times New Roman" w:hAnsi="Times New Roman" w:cs="Times New Roman"/>
          <w:vertAlign w:val="subscript"/>
        </w:rPr>
        <w:t>sim</w:t>
      </w:r>
      <w:proofErr w:type="spellEnd"/>
      <w:r w:rsidRPr="004100F8">
        <w:rPr>
          <w:rFonts w:ascii="Times New Roman" w:eastAsia="Times New Roman" w:hAnsi="Times New Roman" w:cs="Times New Roman"/>
        </w:rPr>
        <w:t xml:space="preserve">). Points and lines are </w:t>
      </w:r>
      <w:proofErr w:type="spellStart"/>
      <w:r w:rsidRPr="004100F8">
        <w:rPr>
          <w:rFonts w:ascii="Times New Roman" w:eastAsia="Times New Roman" w:hAnsi="Times New Roman" w:cs="Times New Roman"/>
        </w:rPr>
        <w:t>coloured</w:t>
      </w:r>
      <w:proofErr w:type="spellEnd"/>
      <w:r w:rsidRPr="004100F8">
        <w:rPr>
          <w:rFonts w:ascii="Times New Roman" w:eastAsia="Times New Roman" w:hAnsi="Times New Roman" w:cs="Times New Roman"/>
        </w:rPr>
        <w:t xml:space="preserve"> by spatial autocorrelation length-scale, from ρ = 25 km (dark blue) to ρ = 1000 km (red).</w:t>
      </w:r>
    </w:p>
    <w:p w14:paraId="06BF7ED7" w14:textId="77777777" w:rsidR="00C95467" w:rsidRPr="00C95467" w:rsidRDefault="00C95467" w:rsidP="00C95467">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33659D91" wp14:editId="5C5A9618">
            <wp:extent cx="5943600" cy="3866515"/>
            <wp:effectExtent l="0" t="0" r="0" b="0"/>
            <wp:docPr id="1995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695" name=""/>
                    <pic:cNvPicPr/>
                  </pic:nvPicPr>
                  <pic:blipFill>
                    <a:blip r:embed="rId10"/>
                    <a:stretch>
                      <a:fillRect/>
                    </a:stretch>
                  </pic:blipFill>
                  <pic:spPr>
                    <a:xfrm>
                      <a:off x="0" y="0"/>
                      <a:ext cx="5943600" cy="3866515"/>
                    </a:xfrm>
                    <a:prstGeom prst="rect">
                      <a:avLst/>
                    </a:prstGeom>
                  </pic:spPr>
                </pic:pic>
              </a:graphicData>
            </a:graphic>
          </wp:inline>
        </w:drawing>
      </w:r>
    </w:p>
    <w:p w14:paraId="7B71A34E" w14:textId="77777777" w:rsidR="00C95467" w:rsidRPr="00C95467" w:rsidRDefault="00C95467" w:rsidP="00C95467">
      <w:pPr>
        <w:pStyle w:val="Bibliography"/>
        <w:spacing w:line="360" w:lineRule="auto"/>
        <w:rPr>
          <w:rFonts w:ascii="Times New Roman" w:hAnsi="Times New Roman" w:cs="Times New Roman"/>
        </w:rPr>
      </w:pPr>
    </w:p>
    <w:p w14:paraId="5192DB70" w14:textId="77777777" w:rsidR="007574C0" w:rsidRPr="00C95467" w:rsidRDefault="007574C0">
      <w:pPr>
        <w:rPr>
          <w:rFonts w:ascii="Times New Roman" w:hAnsi="Times New Roman" w:cs="Times New Roman"/>
          <w:sz w:val="20"/>
        </w:rPr>
      </w:pPr>
    </w:p>
    <w:p w14:paraId="09F92FBB" w14:textId="77777777" w:rsidR="00303C6C" w:rsidRDefault="00000000">
      <w:pPr>
        <w:keepNext/>
        <w:pageBreakBefore/>
        <w:spacing w:after="160" w:line="276" w:lineRule="auto"/>
      </w:pPr>
      <w:r>
        <w:rPr>
          <w:rFonts w:ascii="Times New Roman" w:hAnsi="Times New Roman" w:cs="Times New Roman"/>
          <w:b/>
        </w:rPr>
        <w:lastRenderedPageBreak/>
        <w:t>Section S1. Case-study sampling, laboratory processing and additional parameter estimates</w:t>
      </w:r>
    </w:p>
    <w:p w14:paraId="37A8DCD2" w14:textId="77777777" w:rsidR="00303C6C" w:rsidRDefault="00000000">
      <w:pPr>
        <w:spacing w:after="160" w:line="276" w:lineRule="auto"/>
      </w:pPr>
      <w:r>
        <w:rPr>
          <w:rFonts w:ascii="Times New Roman" w:hAnsi="Times New Roman" w:cs="Times New Roman"/>
        </w:rPr>
        <w:t xml:space="preserve">Environmental DNA samples were collected during the Joint U.S.-Canada Integrated Ecosystem and Pacific Hake Acoustic-Trawl Survey aboard the NOAA ship Bell M. Shimada in summer 2019 (de Blois, 2020). Sampling spanned a broad latitudinal and longitudinal gradient along the U.S. West Coast, extending from 123.53° to 125.93° W (243–461 km UTM eastings; span = 218 km) and from 38.36° - 48.46° N (4249 - 5367 km UTM northings; range 1118 km), corresponding to a region from central California to northern Washington. At each site, seawater (10 L) was collected using </w:t>
      </w:r>
      <w:proofErr w:type="spellStart"/>
      <w:r>
        <w:rPr>
          <w:rFonts w:ascii="Times New Roman" w:hAnsi="Times New Roman" w:cs="Times New Roman"/>
        </w:rPr>
        <w:t>Niskin</w:t>
      </w:r>
      <w:proofErr w:type="spellEnd"/>
      <w:r>
        <w:rPr>
          <w:rFonts w:ascii="Times New Roman" w:hAnsi="Times New Roman" w:cs="Times New Roman"/>
        </w:rPr>
        <w:t xml:space="preserve"> bottles mounted on a CTD rosette system, targeting five depths (0, 50, 150, 300, and 500 m). From each bottle, 2.5 L of seawater was immediately filtered onboard through sterile 47 mm mixed cellulose ester filters (1 </w:t>
      </w:r>
      <w:proofErr w:type="spellStart"/>
      <w:r>
        <w:rPr>
          <w:rFonts w:ascii="Times New Roman" w:hAnsi="Times New Roman" w:cs="Times New Roman"/>
        </w:rPr>
        <w:t>μm</w:t>
      </w:r>
      <w:proofErr w:type="spellEnd"/>
      <w:r>
        <w:rPr>
          <w:rFonts w:ascii="Times New Roman" w:hAnsi="Times New Roman" w:cs="Times New Roman"/>
        </w:rPr>
        <w:t xml:space="preserve"> pore size) to capture suspended eDNA. Filters were preserved and DNA was extracted using a phase-lock phenol-chloroform protocol, following established methods (Ramón-Laca et al., 2021; Shelton et al., 2022).</w:t>
      </w:r>
    </w:p>
    <w:p w14:paraId="642C2D7E" w14:textId="1E5310DF" w:rsidR="00303C6C" w:rsidRDefault="00000000">
      <w:pPr>
        <w:spacing w:after="160" w:line="276" w:lineRule="auto"/>
      </w:pPr>
      <w:r>
        <w:rPr>
          <w:rFonts w:ascii="Times New Roman" w:hAnsi="Times New Roman" w:cs="Times New Roman"/>
        </w:rPr>
        <w:t xml:space="preserve">Samples underwent PCR amplification using the </w:t>
      </w:r>
      <w:proofErr w:type="spellStart"/>
      <w:r>
        <w:rPr>
          <w:rFonts w:ascii="Times New Roman" w:hAnsi="Times New Roman" w:cs="Times New Roman"/>
        </w:rPr>
        <w:t>MiFish</w:t>
      </w:r>
      <w:proofErr w:type="spellEnd"/>
      <w:r>
        <w:rPr>
          <w:rFonts w:ascii="Times New Roman" w:hAnsi="Times New Roman" w:cs="Times New Roman"/>
        </w:rPr>
        <w:t xml:space="preserve"> U universal primer set (Miya et al., 2015), targeting a 170 bp fragment of the mitochondrial 12S rRNA gene and thereafter sequenced on an Illumina MiSeq platform (2x150 bp </w:t>
      </w:r>
      <w:proofErr w:type="gramStart"/>
      <w:r>
        <w:rPr>
          <w:rFonts w:ascii="Times New Roman" w:hAnsi="Times New Roman" w:cs="Times New Roman"/>
        </w:rPr>
        <w:t>paired-end</w:t>
      </w:r>
      <w:proofErr w:type="gramEnd"/>
      <w:r>
        <w:rPr>
          <w:rFonts w:ascii="Times New Roman" w:hAnsi="Times New Roman" w:cs="Times New Roman"/>
        </w:rPr>
        <w:t>) at a university genomics core facility. Raw sequence reads were processed using the DADA2 pipeline (Callahan et al., 2016) to generate amplicon sequence variants (ASVs), which were taxonomically assigned using a custom reference database from NCBI GenBank and BOLD Systems. The same set of samples were used to estimate hake eDNA concentration using qPCR (Guri et al., 2025). Species-specific eDNA concentrations were then estimated for the 12 focal fish species as described in the main text (Case study: Study system and eDNA data; Guri et al., 2024, 2025). The final empirical dataset comprised 358 site–depth samples.</w:t>
      </w:r>
    </w:p>
    <w:p w14:paraId="0DDA2660" w14:textId="6536A4C3" w:rsidR="00303C6C" w:rsidRDefault="00000000">
      <w:pPr>
        <w:spacing w:after="160" w:line="276" w:lineRule="auto"/>
      </w:pPr>
      <w:r>
        <w:rPr>
          <w:rFonts w:ascii="Times New Roman" w:hAnsi="Times New Roman" w:cs="Times New Roman"/>
        </w:rPr>
        <w:t xml:space="preserve">Across species, estimated </w:t>
      </w:r>
      <w:r>
        <w:rPr>
          <w:rFonts w:ascii="Times New Roman" w:hAnsi="Times New Roman" w:cs="Times New Roman"/>
          <w:i/>
        </w:rPr>
        <w:t>α</w:t>
      </w:r>
      <w:r>
        <w:rPr>
          <w:rFonts w:ascii="Times New Roman" w:hAnsi="Times New Roman" w:cs="Times New Roman"/>
          <w:i/>
          <w:vertAlign w:val="superscript"/>
        </w:rPr>
        <w:t>2</w:t>
      </w:r>
      <w:r>
        <w:rPr>
          <w:rFonts w:ascii="Times New Roman" w:hAnsi="Times New Roman" w:cs="Times New Roman"/>
        </w:rPr>
        <w:t xml:space="preserve"> ranged from 2.3 to 4.2, whereas the GP non-spatial variance </w:t>
      </w:r>
      <w:r>
        <w:rPr>
          <w:rFonts w:ascii="Times New Roman" w:hAnsi="Times New Roman" w:cs="Times New Roman"/>
          <w:i/>
        </w:rPr>
        <w:t>σ</w:t>
      </w:r>
      <w:r>
        <w:rPr>
          <w:rFonts w:ascii="Times New Roman" w:hAnsi="Times New Roman" w:cs="Times New Roman"/>
          <w:i/>
          <w:vertAlign w:val="superscript"/>
        </w:rPr>
        <w:t>2</w:t>
      </w:r>
      <w:r>
        <w:rPr>
          <w:rFonts w:ascii="Times New Roman" w:hAnsi="Times New Roman" w:cs="Times New Roman"/>
        </w:rPr>
        <w:t xml:space="preserve"> spanned from 1.5 to 4.5 (main text Figure 5C). Surface-associated taxa generally exhibited slightly higher </w:t>
      </w:r>
      <w:r>
        <w:rPr>
          <w:rFonts w:ascii="Times New Roman" w:hAnsi="Times New Roman" w:cs="Times New Roman"/>
          <w:i/>
        </w:rPr>
        <w:t>σ</w:t>
      </w:r>
      <w:r>
        <w:rPr>
          <w:rFonts w:ascii="Times New Roman" w:hAnsi="Times New Roman" w:cs="Times New Roman"/>
          <w:i/>
          <w:vertAlign w:val="superscript"/>
        </w:rPr>
        <w:t>2</w:t>
      </w:r>
      <w:r>
        <w:rPr>
          <w:rFonts w:ascii="Times New Roman" w:hAnsi="Times New Roman" w:cs="Times New Roman"/>
        </w:rPr>
        <w:t xml:space="preserve"> than deep-associated taxa, indicating greater process variance of the inferred eDNA fields. This pattern may partly reflect a mean–variance relationship, as surface taxa showed higher mean eDNA concentrations or alternatively, differences in σ</w:t>
      </w:r>
      <w:r>
        <w:rPr>
          <w:rFonts w:ascii="Times New Roman" w:hAnsi="Times New Roman" w:cs="Times New Roman"/>
          <w:vertAlign w:val="superscript"/>
        </w:rPr>
        <w:t>2</w:t>
      </w:r>
      <w:r>
        <w:rPr>
          <w:rFonts w:ascii="Times New Roman" w:hAnsi="Times New Roman" w:cs="Times New Roman"/>
        </w:rPr>
        <w:t xml:space="preserve"> are linked to the spatial autocorrelation parameter ρ. Together, these patterns suggest that surface-associated species may be more spatially heterogeneous, whereas deeper-dwelling species may display increasingly homogeneous distributions (main text Figure 5A).</w:t>
      </w:r>
    </w:p>
    <w:p w14:paraId="04FEDE10" w14:textId="654F5946" w:rsidR="00303C6C" w:rsidRDefault="00000000">
      <w:pPr>
        <w:spacing w:after="160" w:line="276" w:lineRule="auto"/>
      </w:pPr>
      <w:r>
        <w:rPr>
          <w:rFonts w:ascii="Times New Roman" w:hAnsi="Times New Roman" w:cs="Times New Roman"/>
        </w:rPr>
        <w:t xml:space="preserve">Surface-associated species tended to be patchier than deep-associated ones and showed larger surface–deep differences in mean concentration (main text Figure 5A–B), which is consistent with greater spatial heterogeneity in surface waters driven by stronger horizontal gradients, mixing, productivity hotspots, and advective transport, while deeper layers may be more spatially structured and comparatively homogeneous at the regional scale (Guri et al., 2023). From a sampling-efficiency perspective, this implies that surface-focused monitoring may require denser spatial sampling to reconstruct patchy distributions, whereas deep-layer </w:t>
      </w:r>
      <w:r>
        <w:rPr>
          <w:rFonts w:ascii="Times New Roman" w:hAnsi="Times New Roman" w:cs="Times New Roman"/>
        </w:rPr>
        <w:lastRenderedPageBreak/>
        <w:t xml:space="preserve">monitoring may allow coarser sampling grids while retaining predictive fidelity-provided that the eDNA field at depth remains spatially coherent and that vertical transport does not dominate the observed signal. Because the length-scale parameter reflects the integrated effects of organism </w:t>
      </w:r>
      <w:r>
        <w:rPr>
          <w:rFonts w:ascii="Times New Roman" w:hAnsi="Times New Roman" w:cs="Times New Roman"/>
        </w:rPr>
        <w:t>distribution together with eDNA transport and decay, these depth patterns may also reflect depth-dependent physical processes (Brandão‐Dias et al., 2023).</w:t>
      </w:r>
    </w:p>
    <w:p w14:paraId="3DC6472E" w14:textId="35E5CF2E" w:rsidR="00303C6C" w:rsidRDefault="00000000">
      <w:pPr>
        <w:keepNext/>
        <w:spacing w:after="160" w:line="276" w:lineRule="auto"/>
      </w:pPr>
      <w:r>
        <w:rPr>
          <w:rFonts w:ascii="Times New Roman" w:hAnsi="Times New Roman" w:cs="Times New Roman"/>
          <w:b/>
        </w:rPr>
        <w:t>Section S2. Model fitting</w:t>
      </w:r>
    </w:p>
    <w:p w14:paraId="7AA5802E" w14:textId="36556DAF" w:rsidR="00303C6C" w:rsidRDefault="00000000">
      <w:pPr>
        <w:spacing w:after="160" w:line="276" w:lineRule="auto"/>
      </w:pPr>
      <w:r>
        <w:rPr>
          <w:rFonts w:ascii="Times New Roman" w:hAnsi="Times New Roman" w:cs="Times New Roman"/>
        </w:rPr>
        <w:t xml:space="preserve">Weakly informative priors (Table S2) were used in Stan (Stan Development Team, 2023) to allow the data to primarily inform the posterior distributions of the parameters. For each GP model in Stan, we ran four parallel chains with 2,000 iterations each, discarding the first 1,000 iterations as warm-up. Stan's warm-up phase both discards these initial draws and adapts the sampler's step size and mass matrix, and so is not strictly equivalent to a conventional burn-in. Convergence was assessed using R̂ values, where values below 1.01 indicated satisfactory convergence and effective sample size (ESS) above 200. The model in Eq. 6 was fitted with the </w:t>
      </w:r>
      <w:proofErr w:type="spellStart"/>
      <w:r>
        <w:rPr>
          <w:rFonts w:ascii="Times New Roman" w:hAnsi="Times New Roman" w:cs="Times New Roman"/>
          <w:i/>
        </w:rPr>
        <w:t>lm</w:t>
      </w:r>
      <w:proofErr w:type="spellEnd"/>
      <w:r>
        <w:rPr>
          <w:rFonts w:ascii="Times New Roman" w:hAnsi="Times New Roman" w:cs="Times New Roman"/>
          <w:i/>
        </w:rPr>
        <w:t>()</w:t>
      </w:r>
      <w:r>
        <w:rPr>
          <w:rFonts w:ascii="Times New Roman" w:hAnsi="Times New Roman" w:cs="Times New Roman"/>
        </w:rPr>
        <w:t xml:space="preserve"> function in R (R Core Team, 2024; Figure S5 for model fit diagnostics).</w:t>
      </w:r>
    </w:p>
    <w:p w14:paraId="3A336810" w14:textId="77777777" w:rsidR="00303C6C" w:rsidRDefault="00000000">
      <w:pPr>
        <w:spacing w:after="160" w:line="276" w:lineRule="auto"/>
      </w:pPr>
      <w:r>
        <w:rPr>
          <w:rFonts w:ascii="Times New Roman" w:hAnsi="Times New Roman" w:cs="Times New Roman"/>
          <w:b/>
        </w:rPr>
        <w:t>Table S2.</w:t>
      </w:r>
      <w:r>
        <w:rPr>
          <w:rFonts w:ascii="Times New Roman" w:hAnsi="Times New Roman" w:cs="Times New Roman"/>
        </w:rPr>
        <w:t xml:space="preserve"> Gaussian process model parameters and the prior distributions used in Bayesian inference.</w:t>
      </w:r>
    </w:p>
    <w:tbl>
      <w:tblPr>
        <w:tblW w:w="9360" w:type="dxa"/>
        <w:tblBorders>
          <w:top w:val="single" w:sz="8" w:space="0" w:color="000000"/>
          <w:bottom w:val="single" w:sz="8" w:space="0" w:color="000000"/>
          <w:insideH w:val="single" w:sz="4" w:space="0" w:color="000000"/>
        </w:tblBorders>
        <w:tblLook w:val="04A0" w:firstRow="1" w:lastRow="0" w:firstColumn="1" w:lastColumn="0" w:noHBand="0" w:noVBand="1"/>
      </w:tblPr>
      <w:tblGrid>
        <w:gridCol w:w="2340"/>
        <w:gridCol w:w="2340"/>
        <w:gridCol w:w="2340"/>
        <w:gridCol w:w="2340"/>
      </w:tblGrid>
      <w:tr w:rsidR="00303C6C" w14:paraId="6582EAF2" w14:textId="77777777">
        <w:tc>
          <w:tcPr>
            <w:tcW w:w="2340" w:type="dxa"/>
          </w:tcPr>
          <w:p w14:paraId="612BF152" w14:textId="77777777" w:rsidR="00303C6C" w:rsidRDefault="00000000">
            <w:pPr>
              <w:spacing w:after="0"/>
            </w:pPr>
            <w:r>
              <w:rPr>
                <w:rFonts w:ascii="Times New Roman" w:hAnsi="Times New Roman" w:cs="Times New Roman"/>
                <w:b/>
              </w:rPr>
              <w:t>Parameter</w:t>
            </w:r>
          </w:p>
        </w:tc>
        <w:tc>
          <w:tcPr>
            <w:tcW w:w="2340" w:type="dxa"/>
          </w:tcPr>
          <w:p w14:paraId="6DD5C9E0" w14:textId="77777777" w:rsidR="00303C6C" w:rsidRDefault="00000000">
            <w:pPr>
              <w:spacing w:after="0"/>
            </w:pPr>
            <w:r>
              <w:rPr>
                <w:rFonts w:ascii="Times New Roman" w:hAnsi="Times New Roman" w:cs="Times New Roman"/>
                <w:b/>
              </w:rPr>
              <w:t>Prior</w:t>
            </w:r>
          </w:p>
        </w:tc>
        <w:tc>
          <w:tcPr>
            <w:tcW w:w="2340" w:type="dxa"/>
          </w:tcPr>
          <w:p w14:paraId="3DAE9694" w14:textId="77777777" w:rsidR="00303C6C" w:rsidRDefault="00000000">
            <w:pPr>
              <w:spacing w:after="0"/>
            </w:pPr>
            <w:r>
              <w:rPr>
                <w:rFonts w:ascii="Times New Roman" w:hAnsi="Times New Roman" w:cs="Times New Roman"/>
                <w:b/>
              </w:rPr>
              <w:t>Lower bound</w:t>
            </w:r>
          </w:p>
        </w:tc>
        <w:tc>
          <w:tcPr>
            <w:tcW w:w="2340" w:type="dxa"/>
          </w:tcPr>
          <w:p w14:paraId="6DD37D83" w14:textId="77777777" w:rsidR="00303C6C" w:rsidRDefault="00000000">
            <w:pPr>
              <w:spacing w:after="0"/>
            </w:pPr>
            <w:r>
              <w:rPr>
                <w:rFonts w:ascii="Times New Roman" w:hAnsi="Times New Roman" w:cs="Times New Roman"/>
                <w:b/>
              </w:rPr>
              <w:t>Upper bound</w:t>
            </w:r>
          </w:p>
        </w:tc>
      </w:tr>
      <w:tr w:rsidR="00303C6C" w14:paraId="42CEF3B3" w14:textId="77777777">
        <w:tc>
          <w:tcPr>
            <w:tcW w:w="2340" w:type="dxa"/>
          </w:tcPr>
          <w:p w14:paraId="6A7C3661" w14:textId="77777777" w:rsidR="00303C6C" w:rsidRDefault="00000000">
            <w:pPr>
              <w:spacing w:after="0"/>
            </w:pPr>
            <w:r>
              <w:rPr>
                <w:rFonts w:ascii="Times New Roman" w:hAnsi="Times New Roman" w:cs="Times New Roman"/>
                <w:i/>
              </w:rPr>
              <w:t>α</w:t>
            </w:r>
            <w:r>
              <w:rPr>
                <w:rFonts w:ascii="Times New Roman" w:hAnsi="Times New Roman" w:cs="Times New Roman"/>
                <w:vertAlign w:val="superscript"/>
              </w:rPr>
              <w:t>2</w:t>
            </w:r>
          </w:p>
        </w:tc>
        <w:tc>
          <w:tcPr>
            <w:tcW w:w="2340" w:type="dxa"/>
          </w:tcPr>
          <w:p w14:paraId="3A3F19BB" w14:textId="77777777" w:rsidR="00303C6C" w:rsidRDefault="00000000">
            <w:pPr>
              <w:spacing w:after="0"/>
            </w:pPr>
            <w:r>
              <w:rPr>
                <w:rFonts w:ascii="Times New Roman" w:hAnsi="Times New Roman" w:cs="Times New Roman"/>
                <w:i/>
              </w:rPr>
              <w:t>N</w:t>
            </w:r>
            <w:r>
              <w:rPr>
                <w:rFonts w:ascii="Times New Roman" w:hAnsi="Times New Roman" w:cs="Times New Roman"/>
              </w:rPr>
              <w:t>(4, 1)</w:t>
            </w:r>
          </w:p>
        </w:tc>
        <w:tc>
          <w:tcPr>
            <w:tcW w:w="2340" w:type="dxa"/>
          </w:tcPr>
          <w:p w14:paraId="21CAE364" w14:textId="77777777" w:rsidR="00303C6C" w:rsidRDefault="00000000">
            <w:pPr>
              <w:spacing w:after="0"/>
            </w:pPr>
            <w:r>
              <w:rPr>
                <w:rFonts w:ascii="Times New Roman" w:hAnsi="Times New Roman" w:cs="Times New Roman"/>
              </w:rPr>
              <w:t>0</w:t>
            </w:r>
          </w:p>
        </w:tc>
        <w:tc>
          <w:tcPr>
            <w:tcW w:w="2340" w:type="dxa"/>
          </w:tcPr>
          <w:p w14:paraId="7F823F9A" w14:textId="77777777" w:rsidR="00303C6C" w:rsidRDefault="00000000">
            <w:pPr>
              <w:spacing w:after="0"/>
            </w:pPr>
            <w:r>
              <w:rPr>
                <w:rFonts w:ascii="Times New Roman" w:hAnsi="Times New Roman" w:cs="Times New Roman"/>
              </w:rPr>
              <w:t>+∞</w:t>
            </w:r>
          </w:p>
        </w:tc>
      </w:tr>
      <w:tr w:rsidR="00303C6C" w14:paraId="5A8B7CDB" w14:textId="77777777">
        <w:tc>
          <w:tcPr>
            <w:tcW w:w="2340" w:type="dxa"/>
          </w:tcPr>
          <w:p w14:paraId="18680481" w14:textId="77777777" w:rsidR="00303C6C" w:rsidRDefault="00000000">
            <w:pPr>
              <w:spacing w:after="0"/>
            </w:pPr>
            <w:r>
              <w:rPr>
                <w:rFonts w:ascii="Times New Roman" w:hAnsi="Times New Roman" w:cs="Times New Roman"/>
                <w:i/>
              </w:rPr>
              <w:t>μ</w:t>
            </w:r>
          </w:p>
        </w:tc>
        <w:tc>
          <w:tcPr>
            <w:tcW w:w="2340" w:type="dxa"/>
          </w:tcPr>
          <w:p w14:paraId="6981809C" w14:textId="77777777" w:rsidR="00303C6C" w:rsidRDefault="00000000">
            <w:pPr>
              <w:spacing w:after="0"/>
            </w:pPr>
            <w:r>
              <w:rPr>
                <w:rFonts w:ascii="Times New Roman" w:hAnsi="Times New Roman" w:cs="Times New Roman"/>
                <w:i/>
              </w:rPr>
              <w:t>N</w:t>
            </w:r>
            <w:r>
              <w:rPr>
                <w:rFonts w:ascii="Times New Roman" w:hAnsi="Times New Roman" w:cs="Times New Roman"/>
              </w:rPr>
              <w:t>(0, 5)</w:t>
            </w:r>
          </w:p>
        </w:tc>
        <w:tc>
          <w:tcPr>
            <w:tcW w:w="2340" w:type="dxa"/>
          </w:tcPr>
          <w:p w14:paraId="282FBFE8" w14:textId="77777777" w:rsidR="00303C6C" w:rsidRDefault="00000000">
            <w:pPr>
              <w:spacing w:after="0"/>
            </w:pPr>
            <w:r>
              <w:rPr>
                <w:rFonts w:ascii="Times New Roman" w:hAnsi="Times New Roman" w:cs="Times New Roman"/>
              </w:rPr>
              <w:t>−5</w:t>
            </w:r>
          </w:p>
        </w:tc>
        <w:tc>
          <w:tcPr>
            <w:tcW w:w="2340" w:type="dxa"/>
          </w:tcPr>
          <w:p w14:paraId="4AE1FBF3" w14:textId="77777777" w:rsidR="00303C6C" w:rsidRDefault="00000000">
            <w:pPr>
              <w:spacing w:after="0"/>
            </w:pPr>
            <w:r>
              <w:rPr>
                <w:rFonts w:ascii="Times New Roman" w:hAnsi="Times New Roman" w:cs="Times New Roman"/>
              </w:rPr>
              <w:t>+∞</w:t>
            </w:r>
          </w:p>
        </w:tc>
      </w:tr>
      <w:tr w:rsidR="00303C6C" w14:paraId="3951899E" w14:textId="77777777">
        <w:tc>
          <w:tcPr>
            <w:tcW w:w="2340" w:type="dxa"/>
          </w:tcPr>
          <w:p w14:paraId="3441C6C2" w14:textId="77777777" w:rsidR="00303C6C" w:rsidRDefault="00000000">
            <w:pPr>
              <w:spacing w:after="0"/>
            </w:pPr>
            <w:r>
              <w:rPr>
                <w:rFonts w:ascii="Times New Roman" w:hAnsi="Times New Roman" w:cs="Times New Roman"/>
              </w:rPr>
              <w:t>log(</w:t>
            </w:r>
            <w:r>
              <w:rPr>
                <w:rFonts w:ascii="Times New Roman" w:hAnsi="Times New Roman" w:cs="Times New Roman"/>
                <w:i/>
              </w:rPr>
              <w:t>ρ</w:t>
            </w:r>
            <w:r>
              <w:rPr>
                <w:rFonts w:ascii="Times New Roman" w:hAnsi="Times New Roman" w:cs="Times New Roman"/>
              </w:rPr>
              <w:t>)</w:t>
            </w:r>
          </w:p>
        </w:tc>
        <w:tc>
          <w:tcPr>
            <w:tcW w:w="2340" w:type="dxa"/>
          </w:tcPr>
          <w:p w14:paraId="5A72DB37" w14:textId="77777777" w:rsidR="00303C6C" w:rsidRDefault="00000000">
            <w:pPr>
              <w:spacing w:after="0"/>
            </w:pPr>
            <w:r>
              <w:rPr>
                <w:rFonts w:ascii="Times New Roman" w:hAnsi="Times New Roman" w:cs="Times New Roman"/>
                <w:i/>
              </w:rPr>
              <w:t>N</w:t>
            </w:r>
            <w:r>
              <w:rPr>
                <w:rFonts w:ascii="Times New Roman" w:hAnsi="Times New Roman" w:cs="Times New Roman"/>
              </w:rPr>
              <w:t>(0, 1)</w:t>
            </w:r>
          </w:p>
        </w:tc>
        <w:tc>
          <w:tcPr>
            <w:tcW w:w="2340" w:type="dxa"/>
          </w:tcPr>
          <w:p w14:paraId="0350A58D" w14:textId="77777777" w:rsidR="00303C6C" w:rsidRDefault="00000000">
            <w:pPr>
              <w:spacing w:after="0"/>
            </w:pPr>
            <w:r>
              <w:rPr>
                <w:rFonts w:ascii="Times New Roman" w:hAnsi="Times New Roman" w:cs="Times New Roman"/>
              </w:rPr>
              <w:t>−5</w:t>
            </w:r>
          </w:p>
        </w:tc>
        <w:tc>
          <w:tcPr>
            <w:tcW w:w="2340" w:type="dxa"/>
          </w:tcPr>
          <w:p w14:paraId="47EBBA29" w14:textId="77777777" w:rsidR="00303C6C" w:rsidRDefault="00000000">
            <w:pPr>
              <w:spacing w:after="0"/>
            </w:pPr>
            <w:r>
              <w:rPr>
                <w:rFonts w:ascii="Times New Roman" w:hAnsi="Times New Roman" w:cs="Times New Roman"/>
              </w:rPr>
              <w:t>+∞</w:t>
            </w:r>
          </w:p>
        </w:tc>
      </w:tr>
      <w:tr w:rsidR="00303C6C" w14:paraId="04E0753A" w14:textId="77777777">
        <w:tc>
          <w:tcPr>
            <w:tcW w:w="2340" w:type="dxa"/>
          </w:tcPr>
          <w:p w14:paraId="08195143" w14:textId="77777777" w:rsidR="00303C6C" w:rsidRDefault="00000000">
            <w:pPr>
              <w:spacing w:after="0"/>
            </w:pPr>
            <w:r>
              <w:rPr>
                <w:rFonts w:ascii="Times New Roman" w:hAnsi="Times New Roman" w:cs="Times New Roman"/>
                <w:i/>
              </w:rPr>
              <w:t>σ</w:t>
            </w:r>
            <w:r>
              <w:rPr>
                <w:rFonts w:ascii="Times New Roman" w:hAnsi="Times New Roman" w:cs="Times New Roman"/>
                <w:vertAlign w:val="superscript"/>
              </w:rPr>
              <w:t>2</w:t>
            </w:r>
          </w:p>
        </w:tc>
        <w:tc>
          <w:tcPr>
            <w:tcW w:w="2340" w:type="dxa"/>
          </w:tcPr>
          <w:p w14:paraId="4E4F292B" w14:textId="77777777" w:rsidR="00303C6C" w:rsidRDefault="00000000">
            <w:pPr>
              <w:spacing w:after="0"/>
            </w:pPr>
            <w:r>
              <w:rPr>
                <w:rFonts w:ascii="Times New Roman" w:hAnsi="Times New Roman" w:cs="Times New Roman"/>
                <w:i/>
              </w:rPr>
              <w:t>N</w:t>
            </w:r>
            <w:r>
              <w:rPr>
                <w:rFonts w:ascii="Times New Roman" w:hAnsi="Times New Roman" w:cs="Times New Roman"/>
              </w:rPr>
              <w:t>(0, 1)</w:t>
            </w:r>
          </w:p>
        </w:tc>
        <w:tc>
          <w:tcPr>
            <w:tcW w:w="2340" w:type="dxa"/>
          </w:tcPr>
          <w:p w14:paraId="4DEB2871" w14:textId="77777777" w:rsidR="00303C6C" w:rsidRDefault="00000000">
            <w:pPr>
              <w:spacing w:after="0"/>
            </w:pPr>
            <w:r>
              <w:rPr>
                <w:rFonts w:ascii="Times New Roman" w:hAnsi="Times New Roman" w:cs="Times New Roman"/>
              </w:rPr>
              <w:t>0</w:t>
            </w:r>
          </w:p>
        </w:tc>
        <w:tc>
          <w:tcPr>
            <w:tcW w:w="2340" w:type="dxa"/>
          </w:tcPr>
          <w:p w14:paraId="517B5E60" w14:textId="77777777" w:rsidR="00303C6C" w:rsidRDefault="00000000">
            <w:pPr>
              <w:spacing w:after="0"/>
            </w:pPr>
            <w:r>
              <w:rPr>
                <w:rFonts w:ascii="Times New Roman" w:hAnsi="Times New Roman" w:cs="Times New Roman"/>
              </w:rPr>
              <w:t>+∞</w:t>
            </w:r>
          </w:p>
        </w:tc>
      </w:tr>
    </w:tbl>
    <w:p w14:paraId="31FDD836" w14:textId="77777777" w:rsidR="00303C6C" w:rsidRDefault="00000000">
      <w:pPr>
        <w:spacing w:after="160" w:line="276" w:lineRule="auto"/>
      </w:pPr>
      <w:r>
        <w:rPr>
          <w:rFonts w:ascii="Times New Roman" w:hAnsi="Times New Roman" w:cs="Times New Roman"/>
          <w:i/>
        </w:rPr>
        <w:t>Notes</w:t>
      </w:r>
      <w:r>
        <w:rPr>
          <w:rFonts w:ascii="Times New Roman" w:hAnsi="Times New Roman" w:cs="Times New Roman"/>
        </w:rPr>
        <w:t xml:space="preserve">: </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 xml:space="preserve">, </w:t>
      </w:r>
      <w:r>
        <w:rPr>
          <w:rFonts w:ascii="Times New Roman" w:hAnsi="Times New Roman" w:cs="Times New Roman"/>
          <w:i/>
        </w:rPr>
        <w:t>s</w:t>
      </w:r>
      <w:r>
        <w:rPr>
          <w:rFonts w:ascii="Times New Roman" w:hAnsi="Times New Roman" w:cs="Times New Roman"/>
        </w:rPr>
        <w:t xml:space="preserve">) denotes a normal prior with mean </w:t>
      </w:r>
      <w:r>
        <w:rPr>
          <w:rFonts w:ascii="Times New Roman" w:hAnsi="Times New Roman" w:cs="Times New Roman"/>
          <w:i/>
        </w:rPr>
        <w:t>m</w:t>
      </w:r>
      <w:r>
        <w:rPr>
          <w:rFonts w:ascii="Times New Roman" w:hAnsi="Times New Roman" w:cs="Times New Roman"/>
        </w:rPr>
        <w:t xml:space="preserve"> and standard deviation </w:t>
      </w:r>
      <w:r>
        <w:rPr>
          <w:rFonts w:ascii="Times New Roman" w:hAnsi="Times New Roman" w:cs="Times New Roman"/>
          <w:i/>
        </w:rPr>
        <w:t>s</w:t>
      </w:r>
      <w:r>
        <w:rPr>
          <w:rFonts w:ascii="Times New Roman" w:hAnsi="Times New Roman" w:cs="Times New Roman"/>
        </w:rPr>
        <w:t>, truncated at the bounds shown. The same priors were used for the empirical and simulated datasets.</w:t>
      </w:r>
    </w:p>
    <w:p w14:paraId="18BAE7A1" w14:textId="77777777" w:rsidR="00303C6C" w:rsidRDefault="00000000">
      <w:pPr>
        <w:pageBreakBefore/>
        <w:spacing w:after="160"/>
        <w:jc w:val="center"/>
      </w:pPr>
      <w:r>
        <w:rPr>
          <w:noProof/>
        </w:rPr>
        <w:lastRenderedPageBreak/>
        <w:drawing>
          <wp:inline distT="0" distB="0" distL="0" distR="0" wp14:anchorId="1E99C449" wp14:editId="0C0BE14A">
            <wp:extent cx="5120640" cy="8026127"/>
            <wp:effectExtent l="0" t="0" r="0" b="0"/>
            <wp:docPr id="900001" name="Figure 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Figure S6"/>
                    <pic:cNvPicPr/>
                  </pic:nvPicPr>
                  <pic:blipFill>
                    <a:blip r:embed="rId11"/>
                    <a:stretch>
                      <a:fillRect/>
                    </a:stretch>
                  </pic:blipFill>
                  <pic:spPr>
                    <a:xfrm>
                      <a:off x="0" y="0"/>
                      <a:ext cx="5120640" cy="8026127"/>
                    </a:xfrm>
                    <a:prstGeom prst="rect">
                      <a:avLst/>
                    </a:prstGeom>
                  </pic:spPr>
                </pic:pic>
              </a:graphicData>
            </a:graphic>
          </wp:inline>
        </w:drawing>
      </w:r>
    </w:p>
    <w:p w14:paraId="5554D0F2" w14:textId="77777777" w:rsidR="00303C6C" w:rsidRDefault="00000000">
      <w:pPr>
        <w:spacing w:after="160" w:line="276" w:lineRule="auto"/>
      </w:pPr>
      <w:r>
        <w:rPr>
          <w:rFonts w:ascii="Times New Roman" w:hAnsi="Times New Roman" w:cs="Times New Roman"/>
          <w:b/>
        </w:rPr>
        <w:lastRenderedPageBreak/>
        <w:t>Figure S6.</w:t>
      </w:r>
      <w:r>
        <w:rPr>
          <w:rFonts w:ascii="Times New Roman" w:hAnsi="Times New Roman" w:cs="Times New Roman"/>
        </w:rPr>
        <w:t xml:space="preserve"> The eDNA Survey Planner applied to the case-study domain for a patchy taxon (</w:t>
      </w:r>
      <w:r>
        <w:rPr>
          <w:rFonts w:ascii="Times New Roman" w:hAnsi="Times New Roman" w:cs="Times New Roman"/>
          <w:i/>
        </w:rPr>
        <w:t>ρ</w:t>
      </w:r>
      <w:r>
        <w:rPr>
          <w:rFonts w:ascii="Times New Roman" w:hAnsi="Times New Roman" w:cs="Times New Roman"/>
        </w:rPr>
        <w:t xml:space="preserve"> = 50 km), a target prediction error </w:t>
      </w:r>
      <w:r>
        <w:rPr>
          <w:rFonts w:ascii="Times New Roman" w:hAnsi="Times New Roman" w:cs="Times New Roman"/>
          <w:i/>
        </w:rPr>
        <w:t>ε</w:t>
      </w:r>
      <w:r>
        <w:rPr>
          <w:rFonts w:ascii="Times New Roman" w:hAnsi="Times New Roman" w:cs="Times New Roman"/>
        </w:rPr>
        <w:t xml:space="preserve"> = 0.8 and 200,000 km</w:t>
      </w:r>
      <w:r>
        <w:rPr>
          <w:rFonts w:ascii="Times New Roman" w:hAnsi="Times New Roman" w:cs="Times New Roman"/>
          <w:vertAlign w:val="superscript"/>
        </w:rPr>
        <w:t>2</w:t>
      </w:r>
      <w:r>
        <w:rPr>
          <w:rFonts w:ascii="Times New Roman" w:hAnsi="Times New Roman" w:cs="Times New Roman"/>
        </w:rPr>
        <w:t xml:space="preserve"> per depth layer in five layers (see main text, Applying the planner). (a) “How many samples?” returns the required sampling density (9.13 samples per 10,000 km</w:t>
      </w:r>
      <w:r>
        <w:rPr>
          <w:rFonts w:ascii="Times New Roman" w:hAnsi="Times New Roman" w:cs="Times New Roman"/>
          <w:vertAlign w:val="superscript"/>
        </w:rPr>
        <w:t>2</w:t>
      </w:r>
      <w:r>
        <w:rPr>
          <w:rFonts w:ascii="Times New Roman" w:hAnsi="Times New Roman" w:cs="Times New Roman"/>
        </w:rPr>
        <w:t xml:space="preserve"> per stratum), samples per stratum (183) and total site–stratum observations (915</w:t>
      </w:r>
      <w:proofErr w:type="gramStart"/>
      <w:r>
        <w:rPr>
          <w:rFonts w:ascii="Times New Roman" w:hAnsi="Times New Roman" w:cs="Times New Roman"/>
        </w:rPr>
        <w:t>), and</w:t>
      </w:r>
      <w:proofErr w:type="gramEnd"/>
      <w:r>
        <w:rPr>
          <w:rFonts w:ascii="Times New Roman" w:hAnsi="Times New Roman" w:cs="Times New Roman"/>
        </w:rPr>
        <w:t xml:space="preserve"> confirms that the result lies within the calibrated range. (b) Error–effort curve (Eq. 6) for the chosen </w:t>
      </w:r>
      <w:r>
        <w:rPr>
          <w:rFonts w:ascii="Times New Roman" w:hAnsi="Times New Roman" w:cs="Times New Roman"/>
          <w:i/>
        </w:rPr>
        <w:t>ρ</w:t>
      </w:r>
      <w:r>
        <w:rPr>
          <w:rFonts w:ascii="Times New Roman" w:hAnsi="Times New Roman" w:cs="Times New Roman"/>
        </w:rPr>
        <w:t xml:space="preserve">: the target error (dashed line) and required density (dotted line and point, which can be dragged) within the fitted density range (shaded). (c) Translation of </w:t>
      </w:r>
      <w:r>
        <w:rPr>
          <w:rFonts w:ascii="Times New Roman" w:hAnsi="Times New Roman" w:cs="Times New Roman"/>
          <w:i/>
        </w:rPr>
        <w:t>ε</w:t>
      </w:r>
      <w:r>
        <w:rPr>
          <w:rFonts w:ascii="Times New Roman" w:hAnsi="Times New Roman" w:cs="Times New Roman"/>
        </w:rPr>
        <w:t xml:space="preserve"> into a concentration range around a true concentration of 100 copies/L. (d) One-dimensional illustration of a simulated true field (black line), the samples required to reach </w:t>
      </w:r>
      <w:r>
        <w:rPr>
          <w:rFonts w:ascii="Times New Roman" w:hAnsi="Times New Roman" w:cs="Times New Roman"/>
          <w:i/>
        </w:rPr>
        <w:t>ε</w:t>
      </w:r>
      <w:r>
        <w:rPr>
          <w:rFonts w:ascii="Times New Roman" w:hAnsi="Times New Roman" w:cs="Times New Roman"/>
        </w:rPr>
        <w:t xml:space="preserve"> (green points) and the resulting reconstruction (red dotted line). The planner is available at https://gledguri.github.io/Smart-eDNA-sampling/.</w:t>
      </w:r>
    </w:p>
    <w:p w14:paraId="31E0BC5E" w14:textId="77777777" w:rsidR="00303C6C" w:rsidRDefault="00000000">
      <w:pPr>
        <w:keepNext/>
        <w:pageBreakBefore/>
        <w:spacing w:after="160" w:line="276" w:lineRule="auto"/>
      </w:pPr>
      <w:r>
        <w:rPr>
          <w:rFonts w:ascii="Times New Roman" w:hAnsi="Times New Roman" w:cs="Times New Roman"/>
          <w:b/>
        </w:rPr>
        <w:lastRenderedPageBreak/>
        <w:t>References</w:t>
      </w:r>
    </w:p>
    <w:p w14:paraId="15A71D92" w14:textId="77777777" w:rsidR="00303C6C" w:rsidRDefault="00000000">
      <w:pPr>
        <w:spacing w:after="120" w:line="276" w:lineRule="auto"/>
        <w:ind w:left="720" w:hanging="720"/>
      </w:pPr>
      <w:r>
        <w:rPr>
          <w:rFonts w:ascii="Times New Roman" w:hAnsi="Times New Roman" w:cs="Times New Roman"/>
        </w:rPr>
        <w:t xml:space="preserve">Brandão‐Dias, P. F. P., Hallack, D. M. C., Snyder, E. D., Tank, J. L., Bolster, D., Volponi, S., Shogren, A. J., Lamberti, G. A., Bibby, K., &amp; Egan, S. P. (2023). Particle size influences decay rates of environmental DNA in aquatic systems. </w:t>
      </w:r>
      <w:r>
        <w:rPr>
          <w:rFonts w:ascii="Times New Roman" w:hAnsi="Times New Roman" w:cs="Times New Roman"/>
          <w:i/>
        </w:rPr>
        <w:t>Molecular Ecology Resources</w:t>
      </w:r>
      <w:r>
        <w:rPr>
          <w:rFonts w:ascii="Times New Roman" w:hAnsi="Times New Roman" w:cs="Times New Roman"/>
        </w:rPr>
        <w:t xml:space="preserve">, </w:t>
      </w:r>
      <w:r>
        <w:rPr>
          <w:rFonts w:ascii="Times New Roman" w:hAnsi="Times New Roman" w:cs="Times New Roman"/>
          <w:i/>
        </w:rPr>
        <w:t>23</w:t>
      </w:r>
      <w:r>
        <w:rPr>
          <w:rFonts w:ascii="Times New Roman" w:hAnsi="Times New Roman" w:cs="Times New Roman"/>
        </w:rPr>
        <w:t>(4), 756–770. https://doi.org/10.1111/1755-0998.13751</w:t>
      </w:r>
    </w:p>
    <w:p w14:paraId="47261F17" w14:textId="77777777" w:rsidR="00303C6C" w:rsidRDefault="00000000">
      <w:pPr>
        <w:spacing w:after="120" w:line="276" w:lineRule="auto"/>
        <w:ind w:left="720" w:hanging="720"/>
      </w:pPr>
      <w:r>
        <w:rPr>
          <w:rFonts w:ascii="Times New Roman" w:hAnsi="Times New Roman" w:cs="Times New Roman"/>
        </w:rPr>
        <w:t xml:space="preserve">Callahan, B. J., McMurdie, P. J., Rosen, M. J., Han, A. W., Johnson, A. J. A., &amp; Holmes, S. P. (2016). DADA2: High-resolution sample inference from Illumina amplicon data. </w:t>
      </w:r>
      <w:r>
        <w:rPr>
          <w:rFonts w:ascii="Times New Roman" w:hAnsi="Times New Roman" w:cs="Times New Roman"/>
          <w:i/>
        </w:rPr>
        <w:t>Nature Methods</w:t>
      </w:r>
      <w:r>
        <w:rPr>
          <w:rFonts w:ascii="Times New Roman" w:hAnsi="Times New Roman" w:cs="Times New Roman"/>
        </w:rPr>
        <w:t xml:space="preserve">, </w:t>
      </w:r>
      <w:r>
        <w:rPr>
          <w:rFonts w:ascii="Times New Roman" w:hAnsi="Times New Roman" w:cs="Times New Roman"/>
          <w:i/>
        </w:rPr>
        <w:t>13</w:t>
      </w:r>
      <w:r>
        <w:rPr>
          <w:rFonts w:ascii="Times New Roman" w:hAnsi="Times New Roman" w:cs="Times New Roman"/>
        </w:rPr>
        <w:t>(7), 581–583. https://doi.org/10.1038/nmeth.3869</w:t>
      </w:r>
    </w:p>
    <w:p w14:paraId="1C837FE9" w14:textId="77777777" w:rsidR="00303C6C" w:rsidRDefault="00000000">
      <w:pPr>
        <w:spacing w:after="120" w:line="276" w:lineRule="auto"/>
        <w:ind w:left="720" w:hanging="720"/>
      </w:pPr>
      <w:r>
        <w:rPr>
          <w:rFonts w:ascii="Times New Roman" w:hAnsi="Times New Roman" w:cs="Times New Roman"/>
        </w:rPr>
        <w:t xml:space="preserve">de Blois, S. (2020). </w:t>
      </w:r>
      <w:r>
        <w:rPr>
          <w:rFonts w:ascii="Times New Roman" w:hAnsi="Times New Roman" w:cs="Times New Roman"/>
          <w:i/>
        </w:rPr>
        <w:t>The 2019 Joint U.S.–Canada Integrated Ecosystem and Pacific Hake Acoustic-Trawl Survey: Cruise report SH-19-06</w:t>
      </w:r>
      <w:r>
        <w:rPr>
          <w:rFonts w:ascii="Times New Roman" w:hAnsi="Times New Roman" w:cs="Times New Roman"/>
        </w:rPr>
        <w:t xml:space="preserve"> (NWFSC Processed Report 2020-03). Northwest Fisheries Science Center, National Oceanic and Atmospheric Administration. https://doi.org/10.25923/p55a-1a22</w:t>
      </w:r>
    </w:p>
    <w:p w14:paraId="7BCEDD37" w14:textId="77777777" w:rsidR="00303C6C" w:rsidRDefault="00000000">
      <w:pPr>
        <w:spacing w:after="120" w:line="276" w:lineRule="auto"/>
        <w:ind w:left="720" w:hanging="720"/>
      </w:pPr>
      <w:r>
        <w:rPr>
          <w:rFonts w:ascii="Times New Roman" w:hAnsi="Times New Roman" w:cs="Times New Roman"/>
        </w:rPr>
        <w:t xml:space="preserve">Guri, G., Liu, O. R., Kelly, R. P., Shaffer, M. R., Parsons, K. M., Ramón-Laca, A., Nichols, K. M., Brandão-Dias, P. F. P., Wells, A., &amp; Shelton, A. O. (2025). </w:t>
      </w:r>
      <w:r>
        <w:rPr>
          <w:rFonts w:ascii="Times New Roman" w:hAnsi="Times New Roman" w:cs="Times New Roman"/>
          <w:i/>
        </w:rPr>
        <w:t>Quantitative, multispecies monitoring at a continental scale</w:t>
      </w:r>
      <w:r>
        <w:rPr>
          <w:rFonts w:ascii="Times New Roman" w:hAnsi="Times New Roman" w:cs="Times New Roman"/>
        </w:rPr>
        <w:t>. Ecology. https://doi.org/10.1101/2025.10.30.685180</w:t>
      </w:r>
    </w:p>
    <w:p w14:paraId="4A098370" w14:textId="77777777" w:rsidR="00303C6C" w:rsidRDefault="00000000">
      <w:pPr>
        <w:spacing w:after="120" w:line="276" w:lineRule="auto"/>
        <w:ind w:left="720" w:hanging="720"/>
      </w:pPr>
      <w:r>
        <w:rPr>
          <w:rFonts w:ascii="Times New Roman" w:hAnsi="Times New Roman" w:cs="Times New Roman"/>
        </w:rPr>
        <w:t xml:space="preserve">Guri, G., Shelton, A. O., Kelly, R. P., </w:t>
      </w:r>
      <w:proofErr w:type="spellStart"/>
      <w:r>
        <w:rPr>
          <w:rFonts w:ascii="Times New Roman" w:hAnsi="Times New Roman" w:cs="Times New Roman"/>
        </w:rPr>
        <w:t>Yoccoz</w:t>
      </w:r>
      <w:proofErr w:type="spellEnd"/>
      <w:r>
        <w:rPr>
          <w:rFonts w:ascii="Times New Roman" w:hAnsi="Times New Roman" w:cs="Times New Roman"/>
        </w:rPr>
        <w:t xml:space="preserve">, N., Johansen, T., Præbel, K., </w:t>
      </w:r>
      <w:proofErr w:type="spellStart"/>
      <w:r>
        <w:rPr>
          <w:rFonts w:ascii="Times New Roman" w:hAnsi="Times New Roman" w:cs="Times New Roman"/>
        </w:rPr>
        <w:t>Hanebrekke</w:t>
      </w:r>
      <w:proofErr w:type="spellEnd"/>
      <w:r>
        <w:rPr>
          <w:rFonts w:ascii="Times New Roman" w:hAnsi="Times New Roman" w:cs="Times New Roman"/>
        </w:rPr>
        <w:t xml:space="preserve">, T., Ray, J. L., Fall, J., &amp; Westgaard, J.-I. (2024). Predicting trawl catches using environmental DNA. </w:t>
      </w:r>
      <w:r>
        <w:rPr>
          <w:rFonts w:ascii="Times New Roman" w:hAnsi="Times New Roman" w:cs="Times New Roman"/>
          <w:i/>
        </w:rPr>
        <w:t>ICES Journal of Marine Science</w:t>
      </w:r>
      <w:r>
        <w:rPr>
          <w:rFonts w:ascii="Times New Roman" w:hAnsi="Times New Roman" w:cs="Times New Roman"/>
        </w:rPr>
        <w:t>, fsae097. https://doi.org/10.1093/icesjms/fsae097</w:t>
      </w:r>
    </w:p>
    <w:p w14:paraId="6A042E49" w14:textId="77777777" w:rsidR="00303C6C" w:rsidRDefault="00000000">
      <w:pPr>
        <w:spacing w:after="120" w:line="276" w:lineRule="auto"/>
        <w:ind w:left="720" w:hanging="720"/>
      </w:pPr>
      <w:r>
        <w:rPr>
          <w:rFonts w:ascii="Times New Roman" w:hAnsi="Times New Roman" w:cs="Times New Roman"/>
        </w:rPr>
        <w:t xml:space="preserve">Guri, G., Westgaard, J., </w:t>
      </w:r>
      <w:proofErr w:type="spellStart"/>
      <w:r>
        <w:rPr>
          <w:rFonts w:ascii="Times New Roman" w:hAnsi="Times New Roman" w:cs="Times New Roman"/>
        </w:rPr>
        <w:t>Yoccoz</w:t>
      </w:r>
      <w:proofErr w:type="spellEnd"/>
      <w:r>
        <w:rPr>
          <w:rFonts w:ascii="Times New Roman" w:hAnsi="Times New Roman" w:cs="Times New Roman"/>
        </w:rPr>
        <w:t xml:space="preserve">, N., Wangensteen, O. S., Præbel, K., Ray, J. L., Kelly, R. P., Shelton, A. O., Hanebrekke, T., &amp; Johansen, T. (2023). Maximizing sampling efficiency to detect differences in fish community composition using environmental DNA metabarcoding in subarctic fjords. </w:t>
      </w:r>
      <w:r>
        <w:rPr>
          <w:rFonts w:ascii="Times New Roman" w:hAnsi="Times New Roman" w:cs="Times New Roman"/>
          <w:i/>
        </w:rPr>
        <w:t>Environmental DNA</w:t>
      </w:r>
      <w:r>
        <w:rPr>
          <w:rFonts w:ascii="Times New Roman" w:hAnsi="Times New Roman" w:cs="Times New Roman"/>
        </w:rPr>
        <w:t>, edn3.409. https://doi.org/10.1002/edn3.409</w:t>
      </w:r>
    </w:p>
    <w:p w14:paraId="23155746" w14:textId="77777777" w:rsidR="00303C6C" w:rsidRDefault="00000000">
      <w:pPr>
        <w:spacing w:after="120" w:line="276" w:lineRule="auto"/>
        <w:ind w:left="720" w:hanging="720"/>
      </w:pPr>
      <w:r>
        <w:rPr>
          <w:rFonts w:ascii="Times New Roman" w:hAnsi="Times New Roman" w:cs="Times New Roman"/>
        </w:rPr>
        <w:t xml:space="preserve">Miya, M., Sato, Y., Fukunaga, T., Sado, T., Poulsen, J. Y., Sato, K., Minamoto, T., Yamamoto, S., Yamanaka, H., Araki, H., </w:t>
      </w:r>
      <w:proofErr w:type="spellStart"/>
      <w:r>
        <w:rPr>
          <w:rFonts w:ascii="Times New Roman" w:hAnsi="Times New Roman" w:cs="Times New Roman"/>
        </w:rPr>
        <w:t>Kondoh</w:t>
      </w:r>
      <w:proofErr w:type="spellEnd"/>
      <w:r>
        <w:rPr>
          <w:rFonts w:ascii="Times New Roman" w:hAnsi="Times New Roman" w:cs="Times New Roman"/>
        </w:rPr>
        <w:t xml:space="preserve">, M., &amp; Iwasaki, W. (2015). </w:t>
      </w:r>
      <w:proofErr w:type="spellStart"/>
      <w:r>
        <w:rPr>
          <w:rFonts w:ascii="Times New Roman" w:hAnsi="Times New Roman" w:cs="Times New Roman"/>
        </w:rPr>
        <w:t>MiFish</w:t>
      </w:r>
      <w:proofErr w:type="spellEnd"/>
      <w:r>
        <w:rPr>
          <w:rFonts w:ascii="Times New Roman" w:hAnsi="Times New Roman" w:cs="Times New Roman"/>
        </w:rPr>
        <w:t xml:space="preserve">, a set of universal PCR primers for metabarcoding environmental DNA from fishes: Detection of more than 230 subtropical marine species. </w:t>
      </w:r>
      <w:r>
        <w:rPr>
          <w:rFonts w:ascii="Times New Roman" w:hAnsi="Times New Roman" w:cs="Times New Roman"/>
          <w:i/>
        </w:rPr>
        <w:t>Royal Society Open Science</w:t>
      </w:r>
      <w:r>
        <w:rPr>
          <w:rFonts w:ascii="Times New Roman" w:hAnsi="Times New Roman" w:cs="Times New Roman"/>
        </w:rPr>
        <w:t>. https://doi.org/10.1098/rsos.150088</w:t>
      </w:r>
    </w:p>
    <w:p w14:paraId="1B0E6591" w14:textId="77777777" w:rsidR="00303C6C" w:rsidRDefault="00000000">
      <w:pPr>
        <w:spacing w:after="120" w:line="276" w:lineRule="auto"/>
        <w:ind w:left="720" w:hanging="720"/>
      </w:pPr>
      <w:r>
        <w:rPr>
          <w:rFonts w:ascii="Times New Roman" w:hAnsi="Times New Roman" w:cs="Times New Roman"/>
        </w:rPr>
        <w:t xml:space="preserve">R Core Team. (2024). </w:t>
      </w:r>
      <w:r>
        <w:rPr>
          <w:rFonts w:ascii="Times New Roman" w:hAnsi="Times New Roman" w:cs="Times New Roman"/>
          <w:i/>
        </w:rPr>
        <w:t>R: A language and environment for statistical computing</w:t>
      </w:r>
      <w:r>
        <w:rPr>
          <w:rFonts w:ascii="Times New Roman" w:hAnsi="Times New Roman" w:cs="Times New Roman"/>
        </w:rPr>
        <w:t>. R Foundation for Statistical Computing, Vienna, Austria. https://www.R-project.org/</w:t>
      </w:r>
    </w:p>
    <w:p w14:paraId="125B2706" w14:textId="77777777" w:rsidR="00303C6C" w:rsidRDefault="00000000">
      <w:pPr>
        <w:spacing w:after="120" w:line="276" w:lineRule="auto"/>
        <w:ind w:left="720" w:hanging="720"/>
      </w:pPr>
      <w:r>
        <w:rPr>
          <w:rFonts w:ascii="Times New Roman" w:hAnsi="Times New Roman" w:cs="Times New Roman"/>
        </w:rPr>
        <w:t xml:space="preserve">Ramón-Laca, A., Wells, A., &amp; Park, L. (2021). A workflow for the relative quantification of multiple fish species from oceanic water samples using environmental DNA (eDNA) to support large-scale fishery surveys. </w:t>
      </w:r>
      <w:r>
        <w:rPr>
          <w:rFonts w:ascii="Times New Roman" w:hAnsi="Times New Roman" w:cs="Times New Roman"/>
          <w:i/>
        </w:rPr>
        <w:t>PLOS ONE</w:t>
      </w:r>
      <w:r>
        <w:rPr>
          <w:rFonts w:ascii="Times New Roman" w:hAnsi="Times New Roman" w:cs="Times New Roman"/>
        </w:rPr>
        <w:t xml:space="preserve">, </w:t>
      </w:r>
      <w:r>
        <w:rPr>
          <w:rFonts w:ascii="Times New Roman" w:hAnsi="Times New Roman" w:cs="Times New Roman"/>
          <w:i/>
        </w:rPr>
        <w:t>16</w:t>
      </w:r>
      <w:r>
        <w:rPr>
          <w:rFonts w:ascii="Times New Roman" w:hAnsi="Times New Roman" w:cs="Times New Roman"/>
        </w:rPr>
        <w:t>(9), e0257773. https://doi.org/10.1371/journal.pone.0257773</w:t>
      </w:r>
    </w:p>
    <w:p w14:paraId="415A3C04" w14:textId="77777777" w:rsidR="00303C6C" w:rsidRDefault="00000000">
      <w:pPr>
        <w:spacing w:after="120" w:line="276" w:lineRule="auto"/>
        <w:ind w:left="720" w:hanging="720"/>
      </w:pPr>
      <w:r>
        <w:rPr>
          <w:rFonts w:ascii="Times New Roman" w:hAnsi="Times New Roman" w:cs="Times New Roman"/>
        </w:rPr>
        <w:lastRenderedPageBreak/>
        <w:t xml:space="preserve">Shelton, A. O., Ramón-Laca, A., Wells, A., Clemons, J., Chu, D., Feist, B. E., Kelly, R. P., Parker-Stetter, S. L., Thomas, R., Nichols, K. M., &amp; Park, L. (2022). Environmental DNA provides quantitative estimates of Pacific hake abundance and distribution in the open ocean. </w:t>
      </w:r>
      <w:r>
        <w:rPr>
          <w:rFonts w:ascii="Times New Roman" w:hAnsi="Times New Roman" w:cs="Times New Roman"/>
          <w:i/>
        </w:rPr>
        <w:t>Proceedings of the Royal Society B: Biological Sciences</w:t>
      </w:r>
      <w:r>
        <w:rPr>
          <w:rFonts w:ascii="Times New Roman" w:hAnsi="Times New Roman" w:cs="Times New Roman"/>
        </w:rPr>
        <w:t xml:space="preserve">, </w:t>
      </w:r>
      <w:r>
        <w:rPr>
          <w:rFonts w:ascii="Times New Roman" w:hAnsi="Times New Roman" w:cs="Times New Roman"/>
          <w:i/>
        </w:rPr>
        <w:t>289</w:t>
      </w:r>
      <w:r>
        <w:rPr>
          <w:rFonts w:ascii="Times New Roman" w:hAnsi="Times New Roman" w:cs="Times New Roman"/>
        </w:rPr>
        <w:t>(1971), 20212613. https://doi.org/10.1098/rspb.2021.2613</w:t>
      </w:r>
    </w:p>
    <w:p w14:paraId="3DBD34A7" w14:textId="77777777" w:rsidR="00303C6C" w:rsidRDefault="00000000">
      <w:pPr>
        <w:spacing w:after="120" w:line="276" w:lineRule="auto"/>
        <w:ind w:left="720" w:hanging="720"/>
      </w:pPr>
      <w:r>
        <w:rPr>
          <w:rFonts w:ascii="Times New Roman" w:hAnsi="Times New Roman" w:cs="Times New Roman"/>
        </w:rPr>
        <w:t xml:space="preserve">Stan Development Team. (2023). </w:t>
      </w:r>
      <w:r>
        <w:rPr>
          <w:rFonts w:ascii="Times New Roman" w:hAnsi="Times New Roman" w:cs="Times New Roman"/>
          <w:i/>
        </w:rPr>
        <w:t>Stan modeling language users guide and reference manual</w:t>
      </w:r>
      <w:r>
        <w:rPr>
          <w:rFonts w:ascii="Times New Roman" w:hAnsi="Times New Roman" w:cs="Times New Roman"/>
        </w:rPr>
        <w:t xml:space="preserve"> (Version 2.26.1). https://mc-stan.org/</w:t>
      </w:r>
    </w:p>
    <w:sectPr w:rsidR="00303C6C" w:rsidSect="00C95467">
      <w:footerReference w:type="even" r:id="rId12"/>
      <w:footerReference w:type="default" r:id="rId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795FC9" w14:textId="77777777" w:rsidR="00763DF4" w:rsidRDefault="00763DF4">
      <w:pPr>
        <w:spacing w:after="0"/>
      </w:pPr>
      <w:r>
        <w:separator/>
      </w:r>
    </w:p>
  </w:endnote>
  <w:endnote w:type="continuationSeparator" w:id="0">
    <w:p w14:paraId="0B0EE661" w14:textId="77777777" w:rsidR="00763DF4" w:rsidRDefault="00763D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143F847D" w14:textId="77777777" w:rsidR="00C95467" w:rsidRDefault="00C95467"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CA67FB" w14:textId="77777777" w:rsidR="00C95467" w:rsidRDefault="00C95467"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BCEE8AC" w14:textId="77777777" w:rsidR="00C95467" w:rsidRDefault="00C95467"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C0CFD2" w14:textId="77777777" w:rsidR="00C95467" w:rsidRDefault="00C95467"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1A72E9" w14:textId="77777777" w:rsidR="00763DF4" w:rsidRDefault="00763DF4">
      <w:pPr>
        <w:spacing w:after="0"/>
      </w:pPr>
      <w:r>
        <w:separator/>
      </w:r>
    </w:p>
  </w:footnote>
  <w:footnote w:type="continuationSeparator" w:id="0">
    <w:p w14:paraId="7D1006D2" w14:textId="77777777" w:rsidR="00763DF4" w:rsidRDefault="00763DF4">
      <w:pPr>
        <w:spacing w:after="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67"/>
    <w:rsid w:val="000030CD"/>
    <w:rsid w:val="00010BA8"/>
    <w:rsid w:val="00045324"/>
    <w:rsid w:val="00075337"/>
    <w:rsid w:val="00091A31"/>
    <w:rsid w:val="000B3423"/>
    <w:rsid w:val="000F7DB4"/>
    <w:rsid w:val="00101B09"/>
    <w:rsid w:val="0010328B"/>
    <w:rsid w:val="00113A15"/>
    <w:rsid w:val="0012532C"/>
    <w:rsid w:val="00130111"/>
    <w:rsid w:val="00157427"/>
    <w:rsid w:val="001731C5"/>
    <w:rsid w:val="00183B9A"/>
    <w:rsid w:val="001B7AB2"/>
    <w:rsid w:val="001D1C8D"/>
    <w:rsid w:val="001F7648"/>
    <w:rsid w:val="0023342D"/>
    <w:rsid w:val="002519C1"/>
    <w:rsid w:val="002F0620"/>
    <w:rsid w:val="00303C6C"/>
    <w:rsid w:val="00310F86"/>
    <w:rsid w:val="0031582F"/>
    <w:rsid w:val="003377E3"/>
    <w:rsid w:val="003913C5"/>
    <w:rsid w:val="003B3C0C"/>
    <w:rsid w:val="003C5CAE"/>
    <w:rsid w:val="004100F8"/>
    <w:rsid w:val="0044288E"/>
    <w:rsid w:val="00475880"/>
    <w:rsid w:val="00496E79"/>
    <w:rsid w:val="004D06AF"/>
    <w:rsid w:val="00592AF4"/>
    <w:rsid w:val="005D278A"/>
    <w:rsid w:val="00601E1C"/>
    <w:rsid w:val="006376B2"/>
    <w:rsid w:val="00651D65"/>
    <w:rsid w:val="00695069"/>
    <w:rsid w:val="007574C0"/>
    <w:rsid w:val="00762A68"/>
    <w:rsid w:val="00763DF4"/>
    <w:rsid w:val="007C21C0"/>
    <w:rsid w:val="008628B5"/>
    <w:rsid w:val="0086752E"/>
    <w:rsid w:val="0087326D"/>
    <w:rsid w:val="00881B81"/>
    <w:rsid w:val="008F1268"/>
    <w:rsid w:val="00955050"/>
    <w:rsid w:val="00956A6C"/>
    <w:rsid w:val="00A07685"/>
    <w:rsid w:val="00A37F5F"/>
    <w:rsid w:val="00A62E5A"/>
    <w:rsid w:val="00A76B17"/>
    <w:rsid w:val="00AC1049"/>
    <w:rsid w:val="00B0706E"/>
    <w:rsid w:val="00B37FED"/>
    <w:rsid w:val="00B90EC3"/>
    <w:rsid w:val="00BA3188"/>
    <w:rsid w:val="00BD1CF2"/>
    <w:rsid w:val="00C14926"/>
    <w:rsid w:val="00C301E7"/>
    <w:rsid w:val="00C5066F"/>
    <w:rsid w:val="00C70BFA"/>
    <w:rsid w:val="00C95467"/>
    <w:rsid w:val="00D21053"/>
    <w:rsid w:val="00D277C0"/>
    <w:rsid w:val="00D364D3"/>
    <w:rsid w:val="00E0605E"/>
    <w:rsid w:val="00E40781"/>
    <w:rsid w:val="00E45ECF"/>
    <w:rsid w:val="00EC31DD"/>
    <w:rsid w:val="00EF78DF"/>
    <w:rsid w:val="00F0681B"/>
    <w:rsid w:val="00F11631"/>
    <w:rsid w:val="00F26004"/>
    <w:rsid w:val="00F461D7"/>
    <w:rsid w:val="00F553F9"/>
    <w:rsid w:val="00F65B86"/>
    <w:rsid w:val="00F7558B"/>
    <w:rsid w:val="00F95484"/>
    <w:rsid w:val="00FA7891"/>
    <w:rsid w:val="00FB7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B8D37"/>
  <w15:chartTrackingRefBased/>
  <w15:docId w15:val="{64CEC369-E9FC-874A-8E10-B4283C7C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467"/>
    <w:pPr>
      <w:spacing w:after="200" w:line="240" w:lineRule="auto"/>
    </w:pPr>
    <w:rPr>
      <w:kern w:val="0"/>
      <w14:ligatures w14:val="none"/>
    </w:rPr>
  </w:style>
  <w:style w:type="paragraph" w:styleId="Heading1">
    <w:name w:val="heading 1"/>
    <w:basedOn w:val="Normal"/>
    <w:next w:val="Normal"/>
    <w:link w:val="Heading1Char"/>
    <w:uiPriority w:val="9"/>
    <w:qFormat/>
    <w:rsid w:val="00C9546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9546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9546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95467"/>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95467"/>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95467"/>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95467"/>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95467"/>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95467"/>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467"/>
    <w:rPr>
      <w:rFonts w:eastAsiaTheme="majorEastAsia" w:cstheme="majorBidi"/>
      <w:color w:val="272727" w:themeColor="text1" w:themeTint="D8"/>
    </w:rPr>
  </w:style>
  <w:style w:type="paragraph" w:styleId="Title">
    <w:name w:val="Title"/>
    <w:basedOn w:val="Normal"/>
    <w:next w:val="Normal"/>
    <w:link w:val="TitleChar"/>
    <w:uiPriority w:val="10"/>
    <w:qFormat/>
    <w:rsid w:val="00C9546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95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46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9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467"/>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C95467"/>
    <w:rPr>
      <w:i/>
      <w:iCs/>
      <w:color w:val="404040" w:themeColor="text1" w:themeTint="BF"/>
    </w:rPr>
  </w:style>
  <w:style w:type="paragraph" w:styleId="ListParagraph">
    <w:name w:val="List Paragraph"/>
    <w:basedOn w:val="Normal"/>
    <w:uiPriority w:val="34"/>
    <w:qFormat/>
    <w:rsid w:val="00C95467"/>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C95467"/>
    <w:rPr>
      <w:i/>
      <w:iCs/>
      <w:color w:val="0F4761" w:themeColor="accent1" w:themeShade="BF"/>
    </w:rPr>
  </w:style>
  <w:style w:type="paragraph" w:styleId="IntenseQuote">
    <w:name w:val="Intense Quote"/>
    <w:basedOn w:val="Normal"/>
    <w:next w:val="Normal"/>
    <w:link w:val="IntenseQuoteChar"/>
    <w:uiPriority w:val="30"/>
    <w:qFormat/>
    <w:rsid w:val="00C9546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95467"/>
    <w:rPr>
      <w:i/>
      <w:iCs/>
      <w:color w:val="0F4761" w:themeColor="accent1" w:themeShade="BF"/>
    </w:rPr>
  </w:style>
  <w:style w:type="character" w:styleId="IntenseReference">
    <w:name w:val="Intense Reference"/>
    <w:basedOn w:val="DefaultParagraphFont"/>
    <w:uiPriority w:val="32"/>
    <w:qFormat/>
    <w:rsid w:val="00C95467"/>
    <w:rPr>
      <w:b/>
      <w:bCs/>
      <w:smallCaps/>
      <w:color w:val="0F4761" w:themeColor="accent1" w:themeShade="BF"/>
      <w:spacing w:val="5"/>
    </w:rPr>
  </w:style>
  <w:style w:type="paragraph" w:styleId="Bibliography">
    <w:name w:val="Bibliography"/>
    <w:basedOn w:val="Normal"/>
    <w:next w:val="Normal"/>
    <w:uiPriority w:val="37"/>
    <w:unhideWhenUsed/>
    <w:rsid w:val="00C95467"/>
  </w:style>
  <w:style w:type="paragraph" w:styleId="BodyText">
    <w:name w:val="Body Text"/>
    <w:basedOn w:val="NoSpacing"/>
    <w:link w:val="BodyTextChar"/>
    <w:autoRedefine/>
    <w:qFormat/>
    <w:rsid w:val="00C95467"/>
    <w:pPr>
      <w:spacing w:line="360" w:lineRule="auto"/>
      <w:jc w:val="both"/>
    </w:pPr>
    <w:rPr>
      <w:rFonts w:ascii="Times New Roman" w:hAnsi="Times New Roman"/>
      <w:bCs/>
    </w:rPr>
  </w:style>
  <w:style w:type="character" w:customStyle="1" w:styleId="BodyTextChar">
    <w:name w:val="Body Text Char"/>
    <w:basedOn w:val="DefaultParagraphFont"/>
    <w:link w:val="BodyText"/>
    <w:rsid w:val="00C95467"/>
    <w:rPr>
      <w:rFonts w:ascii="Times New Roman" w:hAnsi="Times New Roman"/>
      <w:bCs/>
      <w:kern w:val="0"/>
      <w14:ligatures w14:val="none"/>
    </w:rPr>
  </w:style>
  <w:style w:type="paragraph" w:customStyle="1" w:styleId="p1">
    <w:name w:val="p1"/>
    <w:basedOn w:val="Normal"/>
    <w:rsid w:val="00C95467"/>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C95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C95467"/>
    <w:pPr>
      <w:tabs>
        <w:tab w:val="center" w:pos="4680"/>
        <w:tab w:val="right" w:pos="9360"/>
      </w:tabs>
      <w:spacing w:after="0"/>
    </w:pPr>
  </w:style>
  <w:style w:type="character" w:customStyle="1" w:styleId="FooterChar">
    <w:name w:val="Footer Char"/>
    <w:basedOn w:val="DefaultParagraphFont"/>
    <w:link w:val="Footer"/>
    <w:rsid w:val="00C95467"/>
    <w:rPr>
      <w:kern w:val="0"/>
      <w14:ligatures w14:val="none"/>
    </w:rPr>
  </w:style>
  <w:style w:type="character" w:styleId="PageNumber">
    <w:name w:val="page number"/>
    <w:basedOn w:val="DefaultParagraphFont"/>
    <w:rsid w:val="00C95467"/>
  </w:style>
  <w:style w:type="paragraph" w:styleId="NoSpacing">
    <w:name w:val="No Spacing"/>
    <w:uiPriority w:val="1"/>
    <w:qFormat/>
    <w:rsid w:val="00C95467"/>
    <w:pPr>
      <w:spacing w:after="0" w:line="240" w:lineRule="auto"/>
    </w:pPr>
    <w:rPr>
      <w:kern w:val="0"/>
      <w14:ligatures w14:val="none"/>
    </w:rPr>
  </w:style>
  <w:style w:type="character" w:styleId="LineNumber">
    <w:name w:val="line number"/>
    <w:basedOn w:val="DefaultParagraphFont"/>
    <w:uiPriority w:val="99"/>
    <w:semiHidden/>
    <w:unhideWhenUsed/>
    <w:rsid w:val="00C95467"/>
  </w:style>
  <w:style w:type="paragraph" w:customStyle="1" w:styleId="Compact">
    <w:name w:val="Compact"/>
    <w:basedOn w:val="BodyText"/>
    <w:qFormat/>
    <w:rsid w:val="00C95467"/>
    <w:pPr>
      <w:spacing w:before="36" w:after="36"/>
    </w:pPr>
  </w:style>
  <w:style w:type="paragraph" w:customStyle="1" w:styleId="Author">
    <w:name w:val="Author"/>
    <w:next w:val="BodyText"/>
    <w:qFormat/>
    <w:rsid w:val="00C95467"/>
    <w:pPr>
      <w:keepNext/>
      <w:keepLines/>
      <w:spacing w:after="200" w:line="240" w:lineRule="auto"/>
      <w:jc w:val="center"/>
    </w:pPr>
    <w:rPr>
      <w:kern w:val="0"/>
      <w14:ligatures w14:val="none"/>
    </w:rPr>
  </w:style>
  <w:style w:type="table" w:customStyle="1" w:styleId="Table">
    <w:name w:val="Table"/>
    <w:semiHidden/>
    <w:unhideWhenUsed/>
    <w:qFormat/>
    <w:rsid w:val="00C95467"/>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C95467"/>
    <w:rPr>
      <w:color w:val="156082" w:themeColor="accent1"/>
    </w:rPr>
  </w:style>
  <w:style w:type="character" w:styleId="CommentReference">
    <w:name w:val="annotation reference"/>
    <w:basedOn w:val="DefaultParagraphFont"/>
    <w:uiPriority w:val="99"/>
    <w:semiHidden/>
    <w:unhideWhenUsed/>
    <w:rsid w:val="00EC31DD"/>
    <w:rPr>
      <w:sz w:val="16"/>
      <w:szCs w:val="16"/>
    </w:rPr>
  </w:style>
  <w:style w:type="paragraph" w:styleId="CommentText">
    <w:name w:val="annotation text"/>
    <w:basedOn w:val="Normal"/>
    <w:link w:val="CommentTextChar"/>
    <w:uiPriority w:val="99"/>
    <w:semiHidden/>
    <w:unhideWhenUsed/>
    <w:rsid w:val="00EC31DD"/>
    <w:rPr>
      <w:sz w:val="20"/>
      <w:szCs w:val="20"/>
    </w:rPr>
  </w:style>
  <w:style w:type="character" w:customStyle="1" w:styleId="CommentTextChar">
    <w:name w:val="Comment Text Char"/>
    <w:basedOn w:val="DefaultParagraphFont"/>
    <w:link w:val="CommentText"/>
    <w:uiPriority w:val="99"/>
    <w:semiHidden/>
    <w:rsid w:val="00EC31D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C31DD"/>
    <w:rPr>
      <w:b/>
      <w:bCs/>
    </w:rPr>
  </w:style>
  <w:style w:type="character" w:customStyle="1" w:styleId="CommentSubjectChar">
    <w:name w:val="Comment Subject Char"/>
    <w:basedOn w:val="CommentTextChar"/>
    <w:link w:val="CommentSubject"/>
    <w:uiPriority w:val="99"/>
    <w:semiHidden/>
    <w:rsid w:val="00EC31DD"/>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1905</Words>
  <Characters>10865</Characters>
  <Application>Microsoft Office Word</Application>
  <DocSecurity>0</DocSecurity>
  <Lines>90</Lines>
  <Paragraphs>25</Paragraphs>
  <ScaleCrop>false</ScaleCrop>
  <Company/>
  <LinksUpToDate>false</LinksUpToDate>
  <CharactersWithSpaces>12745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Gledis Guri</dc:creator>
  <cp:keywords/>
  <dc:description/>
  <cp:lastModifiedBy>Gledis Guri</cp:lastModifiedBy>
  <cp:revision>9</cp:revision>
  <dcterms:created xsi:type="dcterms:W3CDTF">2026-07-03T19:55:00Z</dcterms:created>
  <dcterms:modified xsi:type="dcterms:W3CDTF">2026-10-06T06:32:00Z</dcterms:modified>
</cp:coreProperties>
</file>