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E70B5B">
      <w:pPr>
        <w:pStyle w:val="BodyText"/>
      </w:pPr>
      <w:r>
        <w:rPr>
          <w:b/>
        </w:rPr>
        <w:t>Journal:</w:t>
      </w:r>
      <w:r>
        <w:t xml:space="preserve"> Ecological Applications</w:t>
      </w:r>
    </w:p>
    <w:p w14:paraId="75593CCD" w14:textId="77777777" w:rsidR="00BD1D03" w:rsidRDefault="00000000" w:rsidP="00E70B5B">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E70B5B">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E70B5B">
      <w:pPr>
        <w:pStyle w:val="BodyText"/>
      </w:pPr>
      <w:r>
        <w:rPr>
          <w:vertAlign w:val="superscript"/>
        </w:rPr>
        <w:t>1</w:t>
      </w:r>
      <w:r>
        <w:t>School of Marine and Environmental Affairs, University of Washington, Seattle, Washington, USA</w:t>
      </w:r>
    </w:p>
    <w:p w14:paraId="1194CBA9" w14:textId="77777777" w:rsidR="00BD1D03" w:rsidRDefault="00000000" w:rsidP="00E70B5B">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E70B5B">
      <w:pPr>
        <w:pStyle w:val="BodyText"/>
      </w:pPr>
      <w:r>
        <w:rPr>
          <w:vertAlign w:val="superscript"/>
        </w:rPr>
        <w:t>3</w:t>
      </w:r>
      <w:r>
        <w:t>School of Aquatic and Fishery Sciences, University of Washington, Seattle, Washington, USA</w:t>
      </w:r>
    </w:p>
    <w:p w14:paraId="3CA58A61" w14:textId="77777777" w:rsidR="00BD1D03" w:rsidRDefault="00000000" w:rsidP="00E70B5B">
      <w:pPr>
        <w:pStyle w:val="BodyText"/>
      </w:pPr>
      <w:r>
        <w:rPr>
          <w:vertAlign w:val="superscript"/>
        </w:rPr>
        <w:t>*</w:t>
      </w:r>
      <w:r>
        <w:t>Corresponding author. Email: gguri@uw.edu</w:t>
      </w:r>
    </w:p>
    <w:p w14:paraId="35BA781E" w14:textId="77777777" w:rsidR="00BD1D03" w:rsidRDefault="00000000" w:rsidP="00E70B5B">
      <w:pPr>
        <w:pStyle w:val="BodyText"/>
      </w:pPr>
      <w:r>
        <w:rPr>
          <w:b/>
        </w:rPr>
        <w:t>Open Research statement:</w:t>
      </w:r>
      <w:r>
        <w:t xml:space="preserve"> Data are archived in </w:t>
      </w:r>
      <w:proofErr w:type="spellStart"/>
      <w:r>
        <w:t>Zenodo</w:t>
      </w:r>
      <w:proofErr w:type="spellEnd"/>
      <w:r>
        <w:t xml:space="preserve">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w:t>
      </w:r>
      <w:proofErr w:type="spellStart"/>
      <w:r>
        <w:t>Zenodo</w:t>
      </w:r>
      <w:proofErr w:type="spellEnd"/>
      <w:r>
        <w:t>.</w:t>
      </w:r>
    </w:p>
    <w:p w14:paraId="4D9ED84F" w14:textId="77777777" w:rsidR="00BD1D03" w:rsidRDefault="00000000" w:rsidP="00E70B5B">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42EDF0D0" w:rsidR="000D6CB9" w:rsidRDefault="00000000" w:rsidP="00E70B5B">
      <w:pPr>
        <w:pStyle w:val="BodyText"/>
      </w:pPr>
      <w:r>
        <w:t>Environmental DNA (eDNA) surveys are increasingly used to monitor marine biodiversity, yet managers who must budget and justify surveys have little quantitative guidance on how many samples to collect, and because species differ in patchiness, no single sample size serves all. We hypothesized that a taxon’s spatial autocorrelation length-scale (ρ), which describes how quickly its eDNA field changes across space, can guide this decision, because smoothly varying fields can be reconstructed from fewer samples than patchy ones. To test this, we simulated Gaussian process (GP) fields spanning a wide range of ρ, fitted Bayesian GP models to learn their parameters, progressively removed samples and refitted the models, and compared the resulting predictions and parameter estimates with those from the complete fields. Prediction error declined with both sampling density and ρ: at 6 samples per 10,000 km2, log-scale error was ~1 (a factor of ~2.7) for ρ = 50 km but &lt;0.4 (~1.5) for ρ &gt; 500 km, and covariance-parameter recovery stabilized above this density. This relationship is summarized in an invertible error–effort equation that converts a target prediction error and a prior estimate of ρ into a minimum sampling density and is implemented in a free, browser-based survey planner. We then applied the method in a empirical example combining eDNA data for 12 fish species (358 samples from five depths along the U.S. West Coast) with 200 simulated fields (ρ = 25–1000 km). Species length-scales ranged from 22 to 1283 km. Error patterns in the simulations closely matched those in the observed data. Applied retrospectively, the planner showed that the 358 samples were sufficient to reach a target error of 0.5 for only the two smoothest species (nearly so for a third); the other nine needed 2.2–19.8 times as many. Together, these results show that the sampling effort needed to characterize a species’ distribution is not universal but depends on its spatial autocorrelation, and can therefore be specified in advance. The planner lets survey designers set defensible, species-specific effort before a cruise.</w:t>
      </w:r>
    </w:p>
    <w:p w14:paraId="5D886C7A" w14:textId="77777777" w:rsidR="003B5D12" w:rsidRPr="00915163" w:rsidRDefault="003B5D12" w:rsidP="00E70B5B">
      <w:pPr>
        <w:pStyle w:val="BodyText"/>
      </w:pPr>
    </w:p>
    <w:p w14:paraId="51CE0AFA" w14:textId="77777777" w:rsidR="0032076E" w:rsidRDefault="00D04708" w:rsidP="000545D1">
      <w:pPr>
        <w:pStyle w:val="Heading1"/>
        <w:spacing w:before="0" w:after="0" w:line="480" w:lineRule="auto"/>
      </w:pPr>
      <w:bookmarkStart w:id="1" w:name="introduction"/>
      <w:bookmarkEnd w:id="0"/>
      <w:r>
        <w:t>Introduction</w:t>
      </w:r>
    </w:p>
    <w:p w14:paraId="68880131" w14:textId="77777777" w:rsidR="00E656D3" w:rsidRDefault="00686350" w:rsidP="00E70B5B">
      <w:pPr>
        <w:pStyle w:val="BodyText"/>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bookmarkEnd w:id="2"/>
    <w:p w14:paraId="44A2B5FA" w14:textId="76898631" w:rsidR="00CE6B24" w:rsidRDefault="0066533A" w:rsidP="00E70B5B">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Recent synthesis work shows that eDNA methods have matured sufficiently for key uncertainties to be quantified and incorporated into existing fisheries stock-assessment frameworks</w:t>
      </w:r>
      <w:r w:rsidR="00C152E1">
        <w:t xml:space="preserve"> and species distribution models</w:t>
      </w:r>
      <w:r>
        <w:t xml:space="preserve">,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and species distribution modeling rather than as an exploratory tool, explicit and defensible guidance on how much to sample has become a prerequisite for uptake rather than a refinement of it.</w:t>
      </w:r>
    </w:p>
    <w:p w14:paraId="312C175B" w14:textId="77777777" w:rsidR="00BF4A9D" w:rsidRDefault="00BF4A9D" w:rsidP="00E70B5B">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 xml:space="preserve">(Schweiger et al., </w:t>
      </w:r>
      <w:r>
        <w:rPr>
          <w:noProof/>
        </w:rPr>
        <w:lastRenderedPageBreak/>
        <w:t>2016)</w:t>
      </w:r>
      <w:r>
        <w:fldChar w:fldCharType="end"/>
      </w:r>
      <w:r>
        <w:t xml:space="preserve">, this relationship exhibits diminishing returns where beyond a certain threshold, additional 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0388C83E" w14:textId="1B30DD82" w:rsidR="00286ADA" w:rsidRDefault="00FC70CA" w:rsidP="00E70B5B">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w:t>
      </w:r>
      <w:proofErr w:type="gramStart"/>
      <w:r>
        <w:t>namely</w:t>
      </w:r>
      <w:proofErr w:type="gramEnd"/>
      <w:r>
        <w:t xml:space="preserve"> to provide survey planners with guidance that can be applied before a cruise, based on a prior estimate of the spatial autocorrelation of target taxa and the level of precision required. We describe the </w:t>
      </w:r>
      <w:r>
        <w:lastRenderedPageBreak/>
        <w:t>underlying method and the planner, evaluate them on simulated and empirical data, and outline applications to survey planning, monitoring and management.</w:t>
      </w:r>
    </w:p>
    <w:p w14:paraId="3C0075C8" w14:textId="77777777" w:rsidR="00F072A7" w:rsidRPr="00C36F1B" w:rsidRDefault="00F072A7" w:rsidP="00E70B5B">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E70B5B">
      <w:pPr>
        <w:pStyle w:val="BodyText"/>
      </w:pPr>
      <w:r>
        <w:t>The method links sampling effort to the accuracy of spatial inference within a common GP framework and proceeds in four steps, Step 1 to Step 4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empirical example where relevant. The results of the simulations are reported first (Method performance), followed by the empirical empirical example, which checks the simulations against real fields and demonstrates the planner on an existing survey.</w:t>
      </w:r>
    </w:p>
    <w:p w14:paraId="119AEB16" w14:textId="77777777" w:rsidR="00522BE6" w:rsidRPr="007174DD" w:rsidRDefault="00522BE6" w:rsidP="00E70B5B">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E70B5B">
      <w:pPr>
        <w:pStyle w:val="BodyText"/>
      </w:pPr>
      <w:r>
        <w:t xml:space="preserve">The GP approach is grounded in the assumption that species distributions and abundances change in a smooth and continuous manner across space (or other covariates), reflecting correlated responses to 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assert that observations made 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proofErr w:type="gramStart"/>
      <w:r>
        <w:rPr>
          <w:i/>
          <w:iCs/>
          <w:vertAlign w:val="subscript"/>
        </w:rPr>
        <w:t>2</w:t>
      </w:r>
      <w:r>
        <w:t>,…</w:t>
      </w:r>
      <w:proofErr w:type="spellStart"/>
      <w:proofErr w:type="gramEnd"/>
      <w:r>
        <w:rPr>
          <w:i/>
          <w:iCs/>
        </w:rPr>
        <w:t>x</w:t>
      </w:r>
      <w:r>
        <w:rPr>
          <w:i/>
          <w:iCs/>
          <w:vertAlign w:val="subscript"/>
        </w:rPr>
        <w:t>N</w:t>
      </w:r>
      <w:proofErr w:type="spellEnd"/>
      <w:r>
        <w:t xml:space="preserve">} be the set of </w:t>
      </w:r>
      <w:proofErr w:type="gramStart"/>
      <w:r>
        <w:rPr>
          <w:i/>
          <w:iCs/>
        </w:rPr>
        <w:t>N</w:t>
      </w:r>
      <w:proofErr w:type="gramEnd"/>
      <w:r>
        <w:t xml:space="preserve"> observed spatial locations. Then species (eDNA) abundance or density </w:t>
      </w:r>
      <w:r>
        <w:rPr>
          <w:i/>
          <w:iCs/>
        </w:rPr>
        <w:t>Y</w:t>
      </w:r>
      <w:r>
        <w:t xml:space="preserve"> across all sampled locations (</w:t>
      </w:r>
      <w:r>
        <w:rPr>
          <w:i/>
          <w:iCs/>
        </w:rPr>
        <w:t>X</w:t>
      </w:r>
      <w:r>
        <w:t>) is modeled as,</w:t>
      </w:r>
    </w:p>
    <w:p w14:paraId="2A701D7D" w14:textId="77777777" w:rsidR="000D6CB9" w:rsidRDefault="00000000" w:rsidP="00E70B5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E70B5B">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w:t>
      </w:r>
      <w:proofErr w:type="gramStart"/>
      <w:r>
        <w:t>is</w:t>
      </w:r>
      <w:proofErr w:type="gramEnd"/>
      <w:r>
        <w:t xml:space="preserve"> an n x n identity matrix and </w:t>
      </w:r>
      <w:r>
        <w:rPr>
          <w:b/>
          <w:i/>
          <w:iCs/>
        </w:rPr>
        <w:t>K(</w:t>
      </w:r>
      <w:r>
        <w:rPr>
          <w:i/>
          <w:iCs/>
        </w:rPr>
        <w:t>X,X</w:t>
      </w:r>
      <w:r>
        <w:rPr>
          <w:b/>
          <w:i/>
          <w:iCs/>
        </w:rPr>
        <w:t>)</w:t>
      </w:r>
      <w:r>
        <w:t xml:space="preserve"> is the covariance matrix whose (</w:t>
      </w:r>
      <w:proofErr w:type="spellStart"/>
      <w:r>
        <w:rPr>
          <w:i/>
          <w:iCs/>
        </w:rPr>
        <w:t>i</w:t>
      </w:r>
      <w:r>
        <w:t>,</w:t>
      </w:r>
      <w:r>
        <w:rPr>
          <w:i/>
          <w:iCs/>
        </w:rPr>
        <w:t>j</w:t>
      </w:r>
      <w:proofErr w:type="spellEnd"/>
      <w:r>
        <w:t>)</w:t>
      </w:r>
      <w:proofErr w:type="spellStart"/>
      <w:r>
        <w:rPr>
          <w:vertAlign w:val="superscript"/>
        </w:rPr>
        <w:t>th</w:t>
      </w:r>
      <w:proofErr w:type="spellEnd"/>
      <w:r>
        <w:t xml:space="preserve"> entry is given by the squared exponential kernel function,</w:t>
      </w:r>
    </w:p>
    <w:p w14:paraId="5FFDB058" w14:textId="77777777" w:rsidR="000D6CB9" w:rsidRDefault="00000000" w:rsidP="00E70B5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E70B5B">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proofErr w:type="spellStart"/>
      <w:r>
        <w:rPr>
          <w:i/>
          <w:iCs/>
        </w:rPr>
        <w:t>x</w:t>
      </w:r>
      <w:r>
        <w:rPr>
          <w:i/>
          <w:iCs/>
          <w:vertAlign w:val="subscript"/>
        </w:rPr>
        <w:t>j</w:t>
      </w:r>
      <w:proofErr w:type="spellEnd"/>
      <w:r>
        <w:t xml:space="preserve"> units; hereafter spatial autocorrelation).  </w:t>
      </w:r>
    </w:p>
    <w:p w14:paraId="66038040" w14:textId="77777777" w:rsidR="00DC1B5E" w:rsidRPr="00DC1B5E" w:rsidRDefault="00DC1B5E" w:rsidP="00E70B5B">
      <w:pPr>
        <w:pStyle w:val="BodyText"/>
      </w:pPr>
    </w:p>
    <w:p w14:paraId="52F60017" w14:textId="77777777" w:rsidR="00B64EDC" w:rsidRPr="00E33848" w:rsidRDefault="00B64EDC" w:rsidP="000545D1">
      <w:pPr>
        <w:pStyle w:val="Heading2"/>
        <w:spacing w:before="0" w:after="0" w:line="480" w:lineRule="auto"/>
      </w:pPr>
      <w:r>
        <w:t>Step 1: Generating the simulated spatial field</w:t>
      </w:r>
    </w:p>
    <w:p w14:paraId="096EC31D" w14:textId="4E00C076" w:rsidR="00B64EDC" w:rsidRPr="007174DD" w:rsidRDefault="00B64EDC" w:rsidP="00E70B5B">
      <w:pPr>
        <w:pStyle w:val="BodyText"/>
      </w:pPr>
      <w:r>
        <w:t xml:space="preserve">We generated in-silico eDNA concentration data using the GP model (Eq. 1-2) across the same spatial domain and prediction grid (Q) used in the empirical analysis. We defined this grid (Q) as 18,916 discrete point estimates, representing the centroids of approximately 8 × 8 km spatial cells </w:t>
      </w:r>
      <w:r>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E70B5B">
      <w:pPr>
        <w:pStyle w:val="BodyText"/>
      </w:pPr>
    </w:p>
    <w:p w14:paraId="45CD38B0" w14:textId="087B45AA" w:rsidR="00B64EDC" w:rsidRPr="007174DD" w:rsidRDefault="00B64EDC" w:rsidP="00E70B5B">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w:t>
      </w:r>
      <w:proofErr w:type="gramStart"/>
      <w:r>
        <w:t>Similar to</w:t>
      </w:r>
      <w:proofErr w:type="gramEnd"/>
      <w:r>
        <w:t xml:space="preserve"> GP inference of the empirical data, within each simulation, ρ was held constant across depth layers, but each layer had a separate mean (</w:t>
      </w:r>
      <w:proofErr w:type="spellStart"/>
      <w:r>
        <w:t>μd</w:t>
      </w:r>
      <w:proofErr w:type="spellEnd"/>
      <w:r>
        <w:t>)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5746DDA3" w14:textId="05A8D3FF" w:rsidR="00E33848" w:rsidRPr="007174DD" w:rsidRDefault="00B64EDC" w:rsidP="00E70B5B">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E70B5B">
      <w:pPr>
        <w:pStyle w:val="BodyText"/>
      </w:pPr>
    </w:p>
    <w:p w14:paraId="4B10609F" w14:textId="37A4A9A9" w:rsidR="00A15ACC" w:rsidRPr="008D73E1" w:rsidRDefault="00162082" w:rsidP="000545D1">
      <w:pPr>
        <w:pStyle w:val="Heading2"/>
        <w:spacing w:line="480" w:lineRule="auto"/>
      </w:pPr>
      <w:r>
        <w:t>Step 1: Estimating GP-field spatial structure</w:t>
      </w:r>
    </w:p>
    <w:p w14:paraId="4E577FE3" w14:textId="3F69F0F6" w:rsidR="00D94C80" w:rsidRDefault="0039223E" w:rsidP="00E70B5B">
      <w:pPr>
        <w:pStyle w:val="BodyText"/>
      </w:pPr>
      <w:r>
        <w:t>Given simulated log eDNA concentration values (</w:t>
      </w:r>
      <w:r>
        <w:rPr>
          <w:i/>
          <w:iCs/>
        </w:rPr>
        <w:t>Y</w:t>
      </w:r>
      <w:r>
        <w:t>) paired with spatial coordinates (</w:t>
      </w:r>
      <w:r>
        <w:rPr>
          <w:i/>
          <w:iCs/>
        </w:rPr>
        <w:t>X</w:t>
      </w:r>
      <w:r>
        <w:t xml:space="preserve">) for each sampling location (x; N = 4,000 per simulated field), we used the GP model (Eq. 1–2) to infer the </w:t>
      </w:r>
      <w:r>
        <w:lastRenderedPageBreak/>
        <w:t>underlying spatial structure and learn key parameters governing the spatial field, including the depth-specific mean (</w:t>
      </w:r>
      <w:proofErr w:type="spellStart"/>
      <w:r>
        <w:rPr>
          <w:i/>
          <w:iCs/>
        </w:rPr>
        <w:t>μ</w:t>
      </w:r>
      <w:r>
        <w:rPr>
          <w:i/>
          <w:iCs/>
          <w:vertAlign w:val="subscript"/>
        </w:rPr>
        <w:t>d</w:t>
      </w:r>
      <w:proofErr w:type="spellEnd"/>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E70B5B">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to which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Step 2: Estimating prediction error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74D5514D" w:rsidR="005E3F20" w:rsidRDefault="005E3F20" w:rsidP="000545D1">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lastRenderedPageBreak/>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E70B5B">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E70B5B">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proofErr w:type="spellStart"/>
      <w:r>
        <w:rPr>
          <w:i/>
        </w:rPr>
        <w:t>ε</w:t>
      </w:r>
      <w:r>
        <w:rPr>
          <w:vertAlign w:val="subscript"/>
        </w:rPr>
        <w:t>sim</w:t>
      </w:r>
      <w:proofErr w:type="spellEnd"/>
      <w:r>
        <w:t xml:space="preserve"> | </w:t>
      </w:r>
      <w:r>
        <w:rPr>
          <w:i/>
        </w:rPr>
        <w:t>E</w:t>
      </w:r>
      <w:r>
        <w:t xml:space="preserve"> denotes the prediction error of the simulated fields at sampling density </w:t>
      </w:r>
      <w:r>
        <w:rPr>
          <w:i/>
        </w:rPr>
        <w:t>E</w:t>
      </w:r>
      <w:r>
        <w:t xml:space="preserve">, and </w:t>
      </w:r>
      <w:proofErr w:type="spellStart"/>
      <w:r>
        <w:rPr>
          <w:i/>
        </w:rPr>
        <w:t>ε</w:t>
      </w:r>
      <w:r>
        <w:rPr>
          <w:vertAlign w:val="subscript"/>
        </w:rPr>
        <w:t>obs</w:t>
      </w:r>
      <w:proofErr w:type="spellEnd"/>
      <w:r>
        <w:t xml:space="preserve"> | </w:t>
      </w:r>
      <w:r>
        <w:rPr>
          <w:i/>
        </w:rPr>
        <w:t>E</w:t>
      </w:r>
      <w:r>
        <w:t xml:space="preserve"> the prediction error of the observed data at sampling density </w:t>
      </w:r>
      <w:r>
        <w:rPr>
          <w:i/>
        </w:rPr>
        <w:t>E</w:t>
      </w:r>
      <w:r>
        <w:t xml:space="preserve">; hereafter we write </w:t>
      </w:r>
      <w:proofErr w:type="spellStart"/>
      <w:r>
        <w:rPr>
          <w:i/>
        </w:rPr>
        <w:t>ε</w:t>
      </w:r>
      <w:r>
        <w:rPr>
          <w:vertAlign w:val="subscript"/>
        </w:rPr>
        <w:t>sim</w:t>
      </w:r>
      <w:proofErr w:type="spellEnd"/>
      <w:r>
        <w:t xml:space="preserve"> and </w:t>
      </w:r>
      <w:proofErr w:type="spellStart"/>
      <w:r>
        <w:rPr>
          <w:i/>
        </w:rPr>
        <w:t>ε</w:t>
      </w:r>
      <w:r>
        <w:rPr>
          <w:vertAlign w:val="subscript"/>
        </w:rPr>
        <w:t>obs</w:t>
      </w:r>
      <w:proofErr w:type="spellEnd"/>
      <w:r>
        <w:t>.</w:t>
      </w:r>
    </w:p>
    <w:p w14:paraId="3CC2BDB0" w14:textId="4B99CDE7" w:rsidR="00DF1848" w:rsidRDefault="00DF1848" w:rsidP="00E70B5B">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E70B5B">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3: Linking prediction error to sampling effort and spatial autocorrelation </w:t>
      </w:r>
    </w:p>
    <w:p w14:paraId="2C5D7D99" w14:textId="69F2C6FF" w:rsidR="007D39EF" w:rsidRPr="007D39EF" w:rsidRDefault="007D39EF" w:rsidP="00E70B5B">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as follows:</w:t>
      </w:r>
    </w:p>
    <w:p w14:paraId="19A81167" w14:textId="77777777" w:rsidR="00124CBE" w:rsidRPr="00124CBE" w:rsidRDefault="00000000" w:rsidP="00E70B5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E70B5B">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E70B5B">
      <w:pPr>
        <w:pStyle w:val="BodyText"/>
      </w:pPr>
    </w:p>
    <w:p w14:paraId="5FB06672" w14:textId="4F6AD496" w:rsidR="00082BC7" w:rsidRPr="009E38DC" w:rsidRDefault="009E38DC" w:rsidP="00D328B7">
      <w:pPr>
        <w:pStyle w:val="Heading2"/>
      </w:pPr>
      <w:r>
        <w:lastRenderedPageBreak/>
        <w:t>Solving for the sampling density</w:t>
      </w:r>
    </w:p>
    <w:p w14:paraId="0D570EF1" w14:textId="6A7FEB69" w:rsidR="00BD1D03" w:rsidRPr="00DD566F" w:rsidRDefault="00000000" w:rsidP="00E70B5B">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E70B5B">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2B25335F" w:rsidR="00BD1D03" w:rsidRDefault="006011D6" w:rsidP="00E70B5B">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The same relationship can also be run in reverse, so that a fixed budget of </w:t>
      </w:r>
      <w:r>
        <w:rPr>
          <w:i/>
        </w:rPr>
        <w:t>N</w:t>
      </w:r>
      <w:r>
        <w:rPr>
          <w:vertAlign w:val="subscript"/>
        </w:rPr>
        <w:t>H</w:t>
      </w:r>
      <w:r>
        <w:t xml:space="preserve"> samples per depth supports a survey area of 10,000 </w:t>
      </w:r>
      <w:r>
        <w:rPr>
          <w:i/>
        </w:rPr>
        <w:t>N</w:t>
      </w:r>
      <w:r>
        <w:rPr>
          <w:vertAlign w:val="subscript"/>
        </w:rPr>
        <w:t>H</w:t>
      </w:r>
      <w:r>
        <w:t>/</w:t>
      </w:r>
      <w:r>
        <w:rPr>
          <w:i/>
        </w:rPr>
        <w:t>E</w:t>
      </w:r>
      <w:r>
        <w:rPr>
          <w:vertAlign w:val="superscript"/>
        </w:rPr>
        <w:t>*</w:t>
      </w:r>
      <w:r>
        <w:t xml:space="preserve"> at the target error. Eq. 7 is calibrated over ρ = 25–1000 km and E = 1.5–20 samples per 10,000 km</w:t>
      </w:r>
      <w:r w:rsidRPr="00C152E1">
        <w:rPr>
          <w:vertAlign w:val="superscript"/>
        </w:rPr>
        <w:t>2</w:t>
      </w:r>
      <w:r>
        <w:t xml:space="preserve"> per depth layer, and results outside this range are extrapolations.</w:t>
      </w:r>
    </w:p>
    <w:p w14:paraId="7A53D419" w14:textId="6677071C" w:rsidR="007C0AAD" w:rsidRDefault="00F869DE" w:rsidP="00E70B5B">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proofErr w:type="spellStart"/>
      <w:r>
        <w:rPr>
          <w:i/>
          <w:iCs/>
        </w:rPr>
        <w:t>lm</w:t>
      </w:r>
      <w:proofErr w:type="spellEnd"/>
      <w:r>
        <w:rPr>
          <w:i/>
          <w:iCs/>
        </w:rPr>
        <w:t>()</w:t>
      </w:r>
      <w:r>
        <w:t xml:space="preserve"> function in R (R Core Team, 2024); sampler settings, convergence diagnostics and prior distributions are given in Appendix S1: Section S3 and Table S2.</w:t>
      </w:r>
    </w:p>
    <w:p w14:paraId="7600981F" w14:textId="77777777" w:rsidR="00D42BF7" w:rsidRDefault="00D42BF7" w:rsidP="00E70B5B">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E70B5B">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E70B5B">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E70B5B">
      <w:pPr>
        <w:pStyle w:val="BodyText"/>
      </w:pPr>
      <w:r>
        <w:t>Prediction error in simulation data (</w:t>
      </w:r>
      <w:r>
        <w:rPr>
          <w:i/>
          <w:iCs/>
          <w:lang w:val="el-GR"/>
        </w:rPr>
        <w:t>ε</w:t>
      </w:r>
      <w:r w:rsidRPr="008A55EA">
        <w:rPr>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E70B5B">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E70B5B">
      <w:pPr>
        <w:pStyle w:val="BodyText"/>
      </w:pPr>
      <w:r>
        <w:t>Sampling effort and spatial autocorrelation strongly influenced the ability of the GP model to recover the parameters used to generate the simulated spatial fields (Figure 4). Estimation error for the depth-specific mean (</w:t>
      </w:r>
      <w:proofErr w:type="spellStart"/>
      <w:r>
        <w:rPr>
          <w:i/>
          <w:iCs/>
        </w:rPr>
        <w:t>μ</w:t>
      </w:r>
      <w:r>
        <w:rPr>
          <w:i/>
          <w:iCs/>
          <w:vertAlign w:val="subscript"/>
        </w:rPr>
        <w:t>d</w:t>
      </w:r>
      <w:proofErr w:type="spellEnd"/>
      <w:r>
        <w:t xml:space="preserve">) decreased with increasing sampling density for simulated fields with small spatial autocorrelation but showed the opposite pattern for fields with large spatial </w:t>
      </w:r>
      <w:r>
        <w:lastRenderedPageBreak/>
        <w:t xml:space="preserve">ranges (Figure 4C). Specifically, </w:t>
      </w:r>
      <w:r>
        <w:rPr>
          <w:i/>
          <w:iCs/>
          <w:lang w:val="el-GR"/>
        </w:rPr>
        <w:t>τ</w:t>
      </w:r>
      <w:r>
        <w:t xml:space="preserve"> (root mean squared error between estimated and simulated) for </w:t>
      </w:r>
      <w:proofErr w:type="spellStart"/>
      <w:r>
        <w:rPr>
          <w:i/>
          <w:iCs/>
        </w:rPr>
        <w:t>μ</w:t>
      </w:r>
      <w:r>
        <w:rPr>
          <w:i/>
          <w:iCs/>
          <w:vertAlign w:val="subscript"/>
        </w:rPr>
        <w:t>d</w:t>
      </w:r>
      <w:proofErr w:type="spellEnd"/>
      <w:r>
        <w:t xml:space="preserve"> increased with sampling effort when spatial autocorrelation exceeded 400 km, indicating that mean estimates became increasingly uncertain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D7DA22C" w14:textId="77777777" w:rsidR="00EF7D10" w:rsidRDefault="00F70DB9" w:rsidP="00E70B5B">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55D6C355" w:rsidR="00D42BF7" w:rsidRDefault="00D42BF7" w:rsidP="00E70B5B">
      <w:pPr>
        <w:pStyle w:val="BodyText"/>
      </w:pPr>
      <w:r>
        <w:t>To make Eq. 6–7 usable without a prior installation of a statistical software, we implemented them in the “eDNA survey planner”, a browser-based application that can run offline (Appendix S1: Figure S6). All calculations run locally in the browser, so no survey data are uploaded, and the only online component (a basemap for drawing the study domain) is optional, as boundaries can also be entered as coordinates; an R version with the same functions is also provided with the archived code. The planner answers the two questions survey designers most often face. “How many samples?” takes a target error (ε*), a prior estimate of ρ (entered directly or chosen from presets ranging from very patchy, 25 km, to very smooth, 1,000 km), the survey area per depth (measured from a study domain of 1,000–1,000,000 km2 per depth layer that the user outlines on a map, loads from the Pacific example used in the empirical example or enters as coordinates) and the number of depth layers, and returns the required sampling density, the samples per depth and the total site–depth observations. Additionally, an optional “How much area?” calculation takes ε*, ρ and a sample budget per depth, and returns the area that budget can support at the target error.</w:t>
      </w:r>
    </w:p>
    <w:p w14:paraId="3B4AEB84" w14:textId="44DADAF6" w:rsidR="00D42BF7" w:rsidRDefault="00D42BF7" w:rsidP="00E70B5B">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xml:space="preserve">), a multiplicative factor of </w:t>
      </w:r>
      <w:proofErr w:type="spellStart"/>
      <w:r>
        <w:t>e</w:t>
      </w:r>
      <w:r>
        <w:rPr>
          <w:i/>
          <w:vertAlign w:val="superscript"/>
        </w:rPr>
        <w:t>ε</w:t>
      </w:r>
      <w:proofErr w:type="spellEnd"/>
      <w:r>
        <w:t xml:space="preserve">. An interactive error–effort curve shows where the target lies on the curve of diminishing returns, and a </w:t>
      </w:r>
      <w:proofErr w:type="gramStart"/>
      <w:r>
        <w:t>two-dimensional GP simulation displays</w:t>
      </w:r>
      <w:proofErr w:type="gramEnd"/>
      <w:r>
        <w:t xml:space="preserve">, for the chosen domain, a reference field, the samples required to reach </w:t>
      </w:r>
      <w:r>
        <w:rPr>
          <w:i/>
        </w:rPr>
        <w:t>ε</w:t>
      </w:r>
      <w:r>
        <w:rPr>
          <w:vertAlign w:val="superscript"/>
        </w:rPr>
        <w:t>*</w:t>
      </w:r>
      <w:r>
        <w:t xml:space="preserve"> and the resulting reconstruction, together with a map of its pointwise prediction error. This simulation is a visual demonstration of the recommended survey and does not enter the calculation of the sampling density.</w:t>
      </w:r>
    </w:p>
    <w:p w14:paraId="4439FAB9" w14:textId="5B5178A1" w:rsidR="00D42BF7" w:rsidRDefault="00D42BF7" w:rsidP="00E70B5B">
      <w:pPr>
        <w:pStyle w:val="BodyText"/>
      </w:pPr>
      <w:r>
        <w:t xml:space="preserve">Default coefficients are those of Eq. 6 estimated from the simulations, but they can be edited, so that programs can substitute a calibration for their own region, taxa or assay by applying Steps 0–3 with the archived code. Results outside the calibrated range are calculated but flagged as extrapolations, and the planner states that </w:t>
      </w:r>
      <w:r>
        <w:rPr>
          <w:i/>
        </w:rPr>
        <w:t>ε</w:t>
      </w:r>
      <w:r>
        <w:t xml:space="preserve"> is an average error across the survey domain rather than a percent error, a detection probability or a pointwise confidence interval. Recommendations follow the central fitted curve; uncertainty in the coefficients is not yet propagated. The output is therefore an exploratory planning aid rather than a guarantee that a given </w:t>
      </w:r>
      <w:r>
        <w:rPr>
          <w:i/>
        </w:rPr>
        <w:t>ε</w:t>
      </w:r>
      <w:r>
        <w:t xml:space="preserve"> will be achieved in a </w:t>
      </w:r>
      <w:r>
        <w:lastRenderedPageBreak/>
        <w:t>real survey, and the area returned from a sample budget is a density-equivalent value rather than a boundary of reliable inference.</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Empirical example: a multispecies eDNA survey of the California Current</w:t>
      </w:r>
    </w:p>
    <w:p w14:paraId="7271F7E7" w14:textId="77777777" w:rsidR="0006456E" w:rsidRDefault="0006456E" w:rsidP="00E70B5B">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E70B5B">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w:t>
      </w:r>
      <w:proofErr w:type="spellStart"/>
      <w:r>
        <w:t>Niskin</w:t>
      </w:r>
      <w:proofErr w:type="spellEnd"/>
      <w:r>
        <w:t xml:space="preserve"> bottles at five target depths (0, 50, 150, 300 and 500 m) and filtered onboard, yielding 358 site–depth samples from 152 sampling locations. Species-specific eDNA concentrations (log copies/L) were estimated for 12 fish species by jointly modeling 12S rRNA metabarcoding reads (</w:t>
      </w:r>
      <w:proofErr w:type="spellStart"/>
      <w:r>
        <w:t>MiFish</w:t>
      </w:r>
      <w:proofErr w:type="spellEnd"/>
      <w:r>
        <w:t xml:space="preserve"> primers), a mock community to correct for amplification bias and qPCR measurements of Pacific hake (Guri et al., 2024, 2025). The focal assemblage comprised pelagic, mesopelagic and demersal taxa characteristic of the California Current ecosystem: </w:t>
      </w:r>
      <w:r>
        <w:rPr>
          <w:i/>
        </w:rPr>
        <w:t xml:space="preserve">Clupea </w:t>
      </w:r>
      <w:proofErr w:type="spellStart"/>
      <w:r>
        <w:rPr>
          <w:i/>
        </w:rPr>
        <w:t>pallasii</w:t>
      </w:r>
      <w:proofErr w:type="spellEnd"/>
      <w:r>
        <w:t xml:space="preserve">, </w:t>
      </w:r>
      <w:proofErr w:type="spellStart"/>
      <w:r>
        <w:rPr>
          <w:i/>
        </w:rPr>
        <w:t>Engraulis</w:t>
      </w:r>
      <w:proofErr w:type="spellEnd"/>
      <w:r>
        <w:rPr>
          <w:i/>
        </w:rPr>
        <w:t xml:space="preserve"> mordax</w:t>
      </w:r>
      <w:r>
        <w:t xml:space="preserve">, </w:t>
      </w:r>
      <w:proofErr w:type="spellStart"/>
      <w:r>
        <w:rPr>
          <w:i/>
        </w:rPr>
        <w:t>Leuroglossus</w:t>
      </w:r>
      <w:proofErr w:type="spellEnd"/>
      <w:r>
        <w:rPr>
          <w:i/>
        </w:rPr>
        <w:t xml:space="preserve"> </w:t>
      </w:r>
      <w:proofErr w:type="spellStart"/>
      <w:r>
        <w:rPr>
          <w:i/>
        </w:rPr>
        <w:t>stilbius</w:t>
      </w:r>
      <w:proofErr w:type="spellEnd"/>
      <w:r>
        <w:t xml:space="preserve">, </w:t>
      </w:r>
      <w:proofErr w:type="spellStart"/>
      <w:r>
        <w:rPr>
          <w:i/>
        </w:rPr>
        <w:t>Microstomus</w:t>
      </w:r>
      <w:proofErr w:type="spellEnd"/>
      <w:r>
        <w:rPr>
          <w:i/>
        </w:rPr>
        <w:t xml:space="preserve"> pacificus</w:t>
      </w:r>
      <w:r>
        <w:t xml:space="preserve">, </w:t>
      </w:r>
      <w:proofErr w:type="spellStart"/>
      <w:r>
        <w:rPr>
          <w:i/>
        </w:rPr>
        <w:t>Sardinops</w:t>
      </w:r>
      <w:proofErr w:type="spellEnd"/>
      <w:r>
        <w:rPr>
          <w:i/>
        </w:rPr>
        <w:t xml:space="preserve"> </w:t>
      </w:r>
      <w:proofErr w:type="spellStart"/>
      <w:r>
        <w:rPr>
          <w:i/>
        </w:rPr>
        <w:t>sagax</w:t>
      </w:r>
      <w:proofErr w:type="spellEnd"/>
      <w:r>
        <w:t xml:space="preserve">, </w:t>
      </w:r>
      <w:proofErr w:type="spellStart"/>
      <w:r>
        <w:rPr>
          <w:i/>
        </w:rPr>
        <w:t>Scomber</w:t>
      </w:r>
      <w:proofErr w:type="spellEnd"/>
      <w:r>
        <w:rPr>
          <w:i/>
        </w:rPr>
        <w:t xml:space="preserve"> japonicus</w:t>
      </w:r>
      <w:r>
        <w:t xml:space="preserve">, </w:t>
      </w:r>
      <w:r>
        <w:rPr>
          <w:i/>
        </w:rPr>
        <w:t xml:space="preserve">Sebastes </w:t>
      </w:r>
      <w:proofErr w:type="spellStart"/>
      <w:r>
        <w:rPr>
          <w:i/>
        </w:rPr>
        <w:t>entomelas</w:t>
      </w:r>
      <w:proofErr w:type="spellEnd"/>
      <w:r>
        <w:t xml:space="preserve">, </w:t>
      </w:r>
      <w:proofErr w:type="spellStart"/>
      <w:r>
        <w:rPr>
          <w:i/>
        </w:rPr>
        <w:t>Stenobrachius</w:t>
      </w:r>
      <w:proofErr w:type="spellEnd"/>
      <w:r>
        <w:rPr>
          <w:i/>
        </w:rPr>
        <w:t xml:space="preserve"> </w:t>
      </w:r>
      <w:proofErr w:type="spellStart"/>
      <w:r>
        <w:rPr>
          <w:i/>
        </w:rPr>
        <w:t>leucopsarus</w:t>
      </w:r>
      <w:proofErr w:type="spellEnd"/>
      <w:r>
        <w:t xml:space="preserve">, </w:t>
      </w:r>
      <w:proofErr w:type="spellStart"/>
      <w:r>
        <w:rPr>
          <w:i/>
        </w:rPr>
        <w:t>Tactostoma</w:t>
      </w:r>
      <w:proofErr w:type="spellEnd"/>
      <w:r>
        <w:rPr>
          <w:i/>
        </w:rPr>
        <w:t xml:space="preserve"> </w:t>
      </w:r>
      <w:proofErr w:type="spellStart"/>
      <w:r>
        <w:rPr>
          <w:i/>
        </w:rPr>
        <w:t>macropus</w:t>
      </w:r>
      <w:proofErr w:type="spellEnd"/>
      <w:r>
        <w:t xml:space="preserve">, </w:t>
      </w:r>
      <w:proofErr w:type="spellStart"/>
      <w:r>
        <w:rPr>
          <w:i/>
        </w:rPr>
        <w:t>Tarletonbeania</w:t>
      </w:r>
      <w:proofErr w:type="spellEnd"/>
      <w:r>
        <w:rPr>
          <w:i/>
        </w:rPr>
        <w:t xml:space="preserve"> </w:t>
      </w:r>
      <w:proofErr w:type="spellStart"/>
      <w:r>
        <w:rPr>
          <w:i/>
        </w:rPr>
        <w:t>crenularis</w:t>
      </w:r>
      <w:proofErr w:type="spellEnd"/>
      <w:r>
        <w:t xml:space="preserve">, </w:t>
      </w:r>
      <w:proofErr w:type="spellStart"/>
      <w:r>
        <w:rPr>
          <w:i/>
        </w:rPr>
        <w:t>Thaleichthys</w:t>
      </w:r>
      <w:proofErr w:type="spellEnd"/>
      <w:r>
        <w:rPr>
          <w:i/>
        </w:rPr>
        <w:t xml:space="preserve"> pacificus</w:t>
      </w:r>
      <w:r>
        <w:t xml:space="preserve"> and </w:t>
      </w:r>
      <w:r>
        <w:rPr>
          <w:i/>
        </w:rPr>
        <w:t xml:space="preserve">Trachurus </w:t>
      </w:r>
      <w:proofErr w:type="spellStart"/>
      <w:r>
        <w:rPr>
          <w:i/>
        </w:rPr>
        <w:t>symmetricus</w:t>
      </w:r>
      <w:proofErr w:type="spellEnd"/>
      <w:r>
        <w:t>. Sampling, laboratory and bioinformatic details are given in Appendix S1: Section S1.</w:t>
      </w:r>
      <w:bookmarkStart w:id="12" w:name="fig:epsilon"/>
    </w:p>
    <w:p w14:paraId="3F00D293" w14:textId="77777777" w:rsidR="008E7E08" w:rsidRDefault="008E7E08" w:rsidP="00E70B5B">
      <w:pPr>
        <w:pStyle w:val="BodyText"/>
      </w:pPr>
    </w:p>
    <w:p w14:paraId="2D18E634" w14:textId="4BD81B8B" w:rsidR="00E33848" w:rsidRDefault="00823035" w:rsidP="000545D1">
      <w:pPr>
        <w:pStyle w:val="Heading2"/>
        <w:spacing w:before="0" w:after="0" w:line="480" w:lineRule="auto"/>
      </w:pPr>
      <w:r>
        <w:lastRenderedPageBreak/>
        <w:t>Spatial structure of the studied species (Step 1)</w:t>
      </w:r>
    </w:p>
    <w:p w14:paraId="1A2CA10D" w14:textId="3D8E4BD2" w:rsidR="00823035" w:rsidRDefault="00E33848" w:rsidP="00E70B5B">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137AA330" w14:textId="70E61F6B" w:rsidR="007174DD" w:rsidRDefault="000443C6" w:rsidP="00E70B5B">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depths, although this pattern was not universal. </w:t>
      </w:r>
      <w:proofErr w:type="spellStart"/>
      <w:r>
        <w:rPr>
          <w:i/>
          <w:iCs/>
        </w:rPr>
        <w:t>Tactostoma</w:t>
      </w:r>
      <w:proofErr w:type="spellEnd"/>
      <w:r>
        <w:rPr>
          <w:i/>
          <w:iCs/>
        </w:rPr>
        <w:t xml:space="preserve"> </w:t>
      </w:r>
      <w:proofErr w:type="spellStart"/>
      <w:r>
        <w:rPr>
          <w:i/>
          <w:iCs/>
        </w:rPr>
        <w:t>macropus</w:t>
      </w:r>
      <w:proofErr w:type="spellEnd"/>
      <w:r>
        <w:t>, for instance, showed a comparatively short length-scale despite its deep-water affinity. Estimated length-scales ranged from 22 to 1283 km across the 12 species (Table 1).</w:t>
      </w:r>
    </w:p>
    <w:p w14:paraId="377654E4" w14:textId="77777777" w:rsidR="008E7E08" w:rsidRDefault="008E7E08" w:rsidP="00E70B5B">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E70B5B">
      <w:pPr>
        <w:pStyle w:val="BodyText"/>
      </w:pPr>
      <w:r>
        <w:t>As in Step 2, we randomly thinned the 358 observations to N = 330, 300, 260, 220 and 150 (Figure 2B), refit the GP model to each reduced dataset and calculated the prediction error (</w:t>
      </w:r>
      <w:proofErr w:type="spellStart"/>
      <w:r>
        <w:rPr>
          <w:i/>
          <w:iCs/>
        </w:rPr>
        <w:t>ε</w:t>
      </w:r>
      <w:r w:rsidRPr="0069152E">
        <w:rPr>
          <w:vertAlign w:val="subscript"/>
        </w:rPr>
        <w:t>obs</w:t>
      </w:r>
      <w:proofErr w:type="spellEnd"/>
      <w:r>
        <w:t>) against the field predicted from the full dataset as in Eq. 5, repeating the procedure across 20 random realizations for each thinning intensity.</w:t>
      </w:r>
    </w:p>
    <w:p w14:paraId="5558D7AE" w14:textId="67661EFB" w:rsidR="0038715A" w:rsidRDefault="0037779D" w:rsidP="00E70B5B">
      <w:pPr>
        <w:pStyle w:val="BodyText"/>
      </w:pPr>
      <w:r>
        <w:t xml:space="preserve">Prediction error in empirical data decreased with increasing sampling density across all species (Appendix S1: Figure S1 and S2). However, this reduction was strongly modulated by the degree of spatial autocorrelation, </w:t>
      </w:r>
      <w:proofErr w:type="gramStart"/>
      <w:r>
        <w:t>similar to</w:t>
      </w:r>
      <w:proofErr w:type="gramEnd"/>
      <w:r>
        <w:t xml:space="preserve"> the simulations (Appendix S1: Figure S2). Species </w:t>
      </w:r>
      <w:r>
        <w:lastRenderedPageBreak/>
        <w:t xml:space="preserve">characterized by short spatial autocorrelation (small </w:t>
      </w:r>
      <w:r>
        <w:rPr>
          <w:i/>
          <w:iCs/>
        </w:rPr>
        <w:t>ρ</w:t>
      </w:r>
      <w:r>
        <w:t xml:space="preserve"> values) consistently exhibited higher prediction error (</w:t>
      </w:r>
      <w:proofErr w:type="spellStart"/>
      <w:r>
        <w:rPr>
          <w:i/>
          <w:iCs/>
        </w:rPr>
        <w:t>ε</w:t>
      </w:r>
      <w:r w:rsidRPr="0069152E">
        <w:rPr>
          <w:vertAlign w:val="subscript"/>
        </w:rPr>
        <w:t>obs</w:t>
      </w:r>
      <w:proofErr w:type="spellEnd"/>
      <w:r>
        <w:t>) across all sampling densities, whereas species with wider spatial autocorrelation structures (e.g., ρ &gt; 500 km) showed substantially lower prediction errors (</w:t>
      </w:r>
      <w:r>
        <w:rPr>
          <w:i/>
          <w:iCs/>
          <w:lang w:val="el-GR"/>
        </w:rPr>
        <w:t>ε</w:t>
      </w:r>
      <w:proofErr w:type="spellStart"/>
      <w:r w:rsidRPr="0069152E">
        <w:rPr>
          <w:vertAlign w:val="subscript"/>
        </w:rPr>
        <w:t>obs</w:t>
      </w:r>
      <w:proofErr w:type="spellEnd"/>
      <w:r>
        <w:t>) even under comparatively sparse sampling regimes.</w:t>
      </w:r>
    </w:p>
    <w:p w14:paraId="4DA5241F" w14:textId="77777777" w:rsidR="008E7E08" w:rsidRDefault="008E7E08" w:rsidP="00E70B5B">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E70B5B">
      <w:pPr>
        <w:pStyle w:val="BodyText"/>
      </w:pPr>
      <w:r>
        <w:t>As in Step 3 of the simulations, we fitted Eq. 6 to the observed prediction errors (</w:t>
      </w:r>
      <w:proofErr w:type="spellStart"/>
      <w:r w:rsidRPr="0069152E">
        <w:rPr>
          <w:i/>
        </w:rPr>
        <w:t>ε</w:t>
      </w:r>
      <w:r>
        <w:rPr>
          <w:vertAlign w:val="subscript"/>
        </w:rPr>
        <w:t>obs</w:t>
      </w:r>
      <w:proofErr w:type="spellEnd"/>
      <w:r>
        <w:t xml:space="preserve">), using the length-scale estimated for each species in Step 1 (ρ) and the sampling density of each thinned dataset (E), to describe how prediction error in real eDNA fields depends jointly on sampling effort and spatial autocorrelation. </w:t>
      </w:r>
    </w:p>
    <w:p w14:paraId="35B70E95" w14:textId="24E8A71A" w:rsidR="00A62458" w:rsidRPr="00D328B7" w:rsidRDefault="00F81DE5" w:rsidP="00E70B5B">
      <w:pPr>
        <w:pStyle w:val="BodyText"/>
        <w:rPr>
          <w:rFonts w:cs="Times New Roman"/>
          <w:color w:val="000000"/>
        </w:rPr>
      </w:pPr>
      <w:r>
        <w:t xml:space="preserve">The observed and simulated prediction errors cannot be compared directly because they are measured against reference fields of different quality: </w:t>
      </w:r>
      <w:proofErr w:type="spellStart"/>
      <w:r w:rsidRPr="0069152E">
        <w:rPr>
          <w:i/>
        </w:rPr>
        <w:t>ε</w:t>
      </w:r>
      <w:r>
        <w:rPr>
          <w:vertAlign w:val="subscript"/>
        </w:rPr>
        <w:t>obs</w:t>
      </w:r>
      <w:proofErr w:type="spellEnd"/>
      <w:r>
        <w:t xml:space="preserve"> is measured against the field predicted from the 358 observed samples, whereas </w:t>
      </w:r>
      <w:proofErr w:type="spellStart"/>
      <w:r w:rsidRPr="0069152E">
        <w:rPr>
          <w:i/>
        </w:rPr>
        <w:t>ε</w:t>
      </w:r>
      <w:r>
        <w:rPr>
          <w:vertAlign w:val="subscript"/>
        </w:rPr>
        <w:t>sim</w:t>
      </w:r>
      <w:proofErr w:type="spellEnd"/>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w:t>
      </w:r>
      <w:r w:rsidRPr="0069152E">
        <w:rPr>
          <w:i/>
        </w:rPr>
        <w:t>ε</w:t>
      </w:r>
      <w:r>
        <w:rPr>
          <w:vertAlign w:val="subscript"/>
        </w:rPr>
        <w:t>sim,358</w:t>
      </w:r>
      <w:r>
        <w:t xml:space="preserve">) as in Eq. 5. We then fitted Eq. 6 to </w:t>
      </w:r>
      <w:r w:rsidRPr="0069152E">
        <w:rPr>
          <w:i/>
        </w:rPr>
        <w:t>ε</w:t>
      </w:r>
      <w:r>
        <w:rPr>
          <w:vertAlign w:val="subscript"/>
        </w:rPr>
        <w:t>sim,358</w:t>
      </w:r>
      <w:r>
        <w:t xml:space="preserve"> and compared its coefficients with those fitted to </w:t>
      </w:r>
      <w:proofErr w:type="spellStart"/>
      <w:r w:rsidRPr="0069152E">
        <w:rPr>
          <w:i/>
        </w:rPr>
        <w:t>ε</w:t>
      </w:r>
      <w:r>
        <w:rPr>
          <w:vertAlign w:val="subscript"/>
        </w:rPr>
        <w:t>obs</w:t>
      </w:r>
      <w:proofErr w:type="spellEnd"/>
      <w:r>
        <w:t>, as close agreement would indicate that the simulations reproduce the error structure of real eDNA fields (Appendix S1: Section S2).</w:t>
      </w:r>
    </w:p>
    <w:p w14:paraId="4AB72DF1" w14:textId="41C7E4FF" w:rsidR="00D974B6" w:rsidRPr="006751C4" w:rsidRDefault="00D328B7" w:rsidP="00E70B5B">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estimates of all four coefficients, the intercept (</w:t>
      </w:r>
      <w:r>
        <w:rPr>
          <w:i/>
          <w:iCs/>
        </w:rPr>
        <w:t>ω</w:t>
      </w:r>
      <w:r>
        <w:t>) and the three slopes (</w:t>
      </w:r>
      <w:r>
        <w:rPr>
          <w:i/>
        </w:rPr>
        <w:t>β</w:t>
      </w:r>
      <w:r>
        <w:t xml:space="preserve">, </w:t>
      </w:r>
      <w:r>
        <w:rPr>
          <w:i/>
        </w:rPr>
        <w:t>θ</w:t>
      </w:r>
      <w:r>
        <w:t xml:space="preserve"> and </w:t>
      </w:r>
      <w:r>
        <w:rPr>
          <w:i/>
        </w:rPr>
        <w:t>γ</w:t>
      </w:r>
      <w:r>
        <w:t xml:space="preserve">), also aligned closely with the 1:1 line, demonstrating </w:t>
      </w:r>
      <w:r>
        <w:lastRenderedPageBreak/>
        <w:t xml:space="preserve">a high degree of structural agreement between the empirical and simulated error models (Appendix S1: Figure S1).  </w:t>
      </w:r>
    </w:p>
    <w:p w14:paraId="15ACFE1F" w14:textId="77777777" w:rsidR="00CB78E2" w:rsidRPr="00101BFB" w:rsidRDefault="00CB78E2" w:rsidP="00E70B5B">
      <w:pPr>
        <w:pStyle w:val="BodyText"/>
      </w:pPr>
    </w:p>
    <w:p w14:paraId="706A472C" w14:textId="5D50B215" w:rsidR="00BD1D03" w:rsidRDefault="00000000" w:rsidP="000545D1">
      <w:pPr>
        <w:pStyle w:val="Heading2"/>
        <w:spacing w:before="0" w:after="0" w:line="480" w:lineRule="auto"/>
      </w:pPr>
      <w:r>
        <w:t>Using the planner</w:t>
      </w:r>
    </w:p>
    <w:p w14:paraId="38394DE8" w14:textId="332C2527" w:rsidR="00BD1D03" w:rsidRDefault="00000000" w:rsidP="00E70B5B">
      <w:pPr>
        <w:pStyle w:val="BodyText"/>
      </w:pPr>
      <w:r>
        <w:t>To show how the planner is used, we asked whether the 358 site–depth samples collected in 2019 (E = 3.6 samples per 10,000 km</w:t>
      </w:r>
      <w:r w:rsidRPr="00C152E1">
        <w:rPr>
          <w:vertAlign w:val="superscript"/>
        </w:rPr>
        <w:t>2</w:t>
      </w:r>
      <w:r>
        <w:t xml:space="preserve">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w:t>
      </w:r>
      <w:r w:rsidRPr="00C152E1">
        <w:rPr>
          <w:vertAlign w:val="superscript"/>
        </w:rPr>
        <w:t>2</w:t>
      </w:r>
      <w:r>
        <w:t xml:space="preserve"> per layer) and the five depth layers into Eq. 7, which returns the required sampling density (E*) and the corresponding total number of samples (Table 1). The results showed that the samples collected were sufficient for the two species with the longest length-scales, </w:t>
      </w:r>
      <w:proofErr w:type="spellStart"/>
      <w:r>
        <w:rPr>
          <w:i/>
          <w:iCs/>
        </w:rPr>
        <w:t>Leuroglossus</w:t>
      </w:r>
      <w:proofErr w:type="spellEnd"/>
      <w:r>
        <w:rPr>
          <w:i/>
          <w:iCs/>
        </w:rPr>
        <w:t xml:space="preserve"> </w:t>
      </w:r>
      <w:proofErr w:type="spellStart"/>
      <w:r>
        <w:rPr>
          <w:i/>
          <w:iCs/>
        </w:rPr>
        <w:t>stilbius</w:t>
      </w:r>
      <w:proofErr w:type="spellEnd"/>
      <w:r>
        <w:t xml:space="preserve"> and </w:t>
      </w:r>
      <w:proofErr w:type="spellStart"/>
      <w:r>
        <w:rPr>
          <w:i/>
          <w:iCs/>
        </w:rPr>
        <w:t>Microstomus</w:t>
      </w:r>
      <w:proofErr w:type="spellEnd"/>
      <w:r>
        <w:rPr>
          <w:i/>
          <w:iCs/>
        </w:rPr>
        <w:t xml:space="preserve"> pacificus</w:t>
      </w:r>
      <w:r>
        <w:t xml:space="preserve">, for which the planner required 291–295 samples, about 17–19% fewer than were </w:t>
      </w:r>
      <w:proofErr w:type="gramStart"/>
      <w:r>
        <w:t>collected, and</w:t>
      </w:r>
      <w:proofErr w:type="gramEnd"/>
      <w:r>
        <w:t xml:space="preserve"> were close to the requirement for </w:t>
      </w:r>
      <w:r>
        <w:rPr>
          <w:i/>
          <w:iCs/>
        </w:rPr>
        <w:t xml:space="preserve">Sebastes </w:t>
      </w:r>
      <w:proofErr w:type="spellStart"/>
      <w:r>
        <w:rPr>
          <w:i/>
          <w:iCs/>
        </w:rPr>
        <w:t>entomelas</w:t>
      </w:r>
      <w:proofErr w:type="spellEnd"/>
      <w:r>
        <w:t xml:space="preserve"> (373 samples; ρ = 763 km). For the remaining 9 species the planner required 2.2 to 19.8 times as many samples as were collected, and the requirement rose steeply as the length-scale decreased (for example 1,011 samples for </w:t>
      </w:r>
      <w:r>
        <w:rPr>
          <w:i/>
          <w:iCs/>
        </w:rPr>
        <w:t xml:space="preserve">Clupea </w:t>
      </w:r>
      <w:proofErr w:type="spellStart"/>
      <w:r>
        <w:rPr>
          <w:i/>
          <w:iCs/>
        </w:rPr>
        <w:t>pallasii</w:t>
      </w:r>
      <w:proofErr w:type="spellEnd"/>
      <w:r>
        <w:t xml:space="preserve">, ρ = 150 km, and 7,078 for </w:t>
      </w:r>
      <w:proofErr w:type="spellStart"/>
      <w:r>
        <w:rPr>
          <w:i/>
          <w:iCs/>
        </w:rPr>
        <w:t>Tarletonbeania</w:t>
      </w:r>
      <w:proofErr w:type="spellEnd"/>
      <w:r>
        <w:rPr>
          <w:i/>
          <w:iCs/>
        </w:rPr>
        <w:t xml:space="preserve"> </w:t>
      </w:r>
      <w:proofErr w:type="spellStart"/>
      <w:r>
        <w:rPr>
          <w:i/>
          <w:iCs/>
        </w:rPr>
        <w:t>crenularis</w:t>
      </w:r>
      <w:proofErr w:type="spellEnd"/>
      <w:r>
        <w:t>, ρ = 22 km). Because five species have length-scales outside the calibrated range (ρ = 25–1000 km) and four require more than the calibrated maximum of 20 samples per 10,000 km</w:t>
      </w:r>
      <w:r w:rsidRPr="0018311D">
        <w:rPr>
          <w:vertAlign w:val="superscript"/>
        </w:rPr>
        <w:t>2</w:t>
      </w:r>
      <w:r>
        <w:t xml:space="preserve"> per depth layer (Table 1), the largest requirements are extrapolations. They indicate that the 2019 effort fell far short of the target for these species, but they should not be read as precise sample sizes.</w:t>
      </w:r>
    </w:p>
    <w:p w14:paraId="7ECE1F92" w14:textId="77777777" w:rsidR="008B0EB9" w:rsidRPr="008B0EB9" w:rsidRDefault="008B0EB9" w:rsidP="00E70B5B">
      <w:pPr>
        <w:pStyle w:val="BodyText"/>
      </w:pPr>
    </w:p>
    <w:p w14:paraId="306866FC" w14:textId="77777777" w:rsidR="00F52C0A" w:rsidRPr="009A0DF6" w:rsidRDefault="00000000" w:rsidP="00E70B5B">
      <w:pPr>
        <w:pStyle w:val="BodyText"/>
      </w:pPr>
      <w:r>
        <w:rPr>
          <w:b/>
        </w:rPr>
        <w:lastRenderedPageBreak/>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w:t>
      </w:r>
      <w:proofErr w:type="gramStart"/>
      <w:r>
        <w:t>site</w:t>
      </w:r>
      <w:proofErr w:type="gramEnd"/>
      <w:r>
        <w:t>–depth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E70B5B">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E70B5B">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E70B5B">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E70B5B">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E70B5B">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E70B5B">
            <w:pPr>
              <w:pStyle w:val="BodyText"/>
            </w:pPr>
            <w:proofErr w:type="spellStart"/>
            <w:r>
              <w:t>Leuroglossus</w:t>
            </w:r>
            <w:proofErr w:type="spellEnd"/>
            <w:r>
              <w:t xml:space="preserve"> </w:t>
            </w:r>
            <w:proofErr w:type="spellStart"/>
            <w:r>
              <w:t>stilbius</w:t>
            </w:r>
            <w:proofErr w:type="spellEnd"/>
            <w:r>
              <w:t>†</w:t>
            </w:r>
          </w:p>
        </w:tc>
        <w:tc>
          <w:tcPr>
            <w:tcW w:w="1418" w:type="dxa"/>
            <w:vAlign w:val="center"/>
          </w:tcPr>
          <w:p w14:paraId="7CE7C8CA" w14:textId="77777777" w:rsidR="00CB78E2" w:rsidRDefault="00CB78E2" w:rsidP="00E70B5B">
            <w:pPr>
              <w:pStyle w:val="BodyText"/>
            </w:pPr>
            <w:r>
              <w:t>1283</w:t>
            </w:r>
          </w:p>
        </w:tc>
        <w:tc>
          <w:tcPr>
            <w:tcW w:w="1275" w:type="dxa"/>
            <w:vAlign w:val="center"/>
          </w:tcPr>
          <w:p w14:paraId="630ED874" w14:textId="77777777" w:rsidR="00CB78E2" w:rsidRDefault="00CB78E2" w:rsidP="00E70B5B">
            <w:pPr>
              <w:pStyle w:val="BodyText"/>
            </w:pPr>
            <w:r>
              <w:t>2.9</w:t>
            </w:r>
          </w:p>
        </w:tc>
        <w:tc>
          <w:tcPr>
            <w:tcW w:w="1276" w:type="dxa"/>
            <w:vAlign w:val="center"/>
          </w:tcPr>
          <w:p w14:paraId="4B92C9B5" w14:textId="77777777" w:rsidR="00CB78E2" w:rsidRDefault="00CB78E2" w:rsidP="00E70B5B">
            <w:pPr>
              <w:pStyle w:val="BodyText"/>
            </w:pPr>
            <w:r>
              <w:t>291</w:t>
            </w:r>
          </w:p>
        </w:tc>
        <w:tc>
          <w:tcPr>
            <w:tcW w:w="1418" w:type="dxa"/>
            <w:vAlign w:val="center"/>
          </w:tcPr>
          <w:p w14:paraId="5951105A" w14:textId="77777777" w:rsidR="00CB78E2" w:rsidRDefault="00CB78E2" w:rsidP="00E70B5B">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E70B5B">
            <w:pPr>
              <w:pStyle w:val="BodyText"/>
            </w:pPr>
            <w:proofErr w:type="spellStart"/>
            <w:r>
              <w:t>Microstomus</w:t>
            </w:r>
            <w:proofErr w:type="spellEnd"/>
            <w:r>
              <w:t xml:space="preserve"> pacificus†</w:t>
            </w:r>
          </w:p>
        </w:tc>
        <w:tc>
          <w:tcPr>
            <w:tcW w:w="1418" w:type="dxa"/>
            <w:vAlign w:val="center"/>
          </w:tcPr>
          <w:p w14:paraId="23CAB33F" w14:textId="77777777" w:rsidR="00CB78E2" w:rsidRDefault="00CB78E2" w:rsidP="00E70B5B">
            <w:pPr>
              <w:pStyle w:val="BodyText"/>
            </w:pPr>
            <w:r>
              <w:t>1243</w:t>
            </w:r>
          </w:p>
        </w:tc>
        <w:tc>
          <w:tcPr>
            <w:tcW w:w="1275" w:type="dxa"/>
            <w:vAlign w:val="center"/>
          </w:tcPr>
          <w:p w14:paraId="324B388D" w14:textId="77777777" w:rsidR="00CB78E2" w:rsidRDefault="00CB78E2" w:rsidP="00E70B5B">
            <w:pPr>
              <w:pStyle w:val="BodyText"/>
            </w:pPr>
            <w:r>
              <w:t>3.0</w:t>
            </w:r>
          </w:p>
        </w:tc>
        <w:tc>
          <w:tcPr>
            <w:tcW w:w="1276" w:type="dxa"/>
            <w:vAlign w:val="center"/>
          </w:tcPr>
          <w:p w14:paraId="0AC549B3" w14:textId="77777777" w:rsidR="00CB78E2" w:rsidRDefault="00CB78E2" w:rsidP="00E70B5B">
            <w:pPr>
              <w:pStyle w:val="BodyText"/>
            </w:pPr>
            <w:r>
              <w:t>295</w:t>
            </w:r>
          </w:p>
        </w:tc>
        <w:tc>
          <w:tcPr>
            <w:tcW w:w="1418" w:type="dxa"/>
            <w:vAlign w:val="center"/>
          </w:tcPr>
          <w:p w14:paraId="4DA90EA6" w14:textId="77777777" w:rsidR="00CB78E2" w:rsidRDefault="00CB78E2" w:rsidP="00E70B5B">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E70B5B">
            <w:pPr>
              <w:pStyle w:val="BodyText"/>
            </w:pPr>
            <w:r>
              <w:t xml:space="preserve">Sebastes </w:t>
            </w:r>
            <w:proofErr w:type="spellStart"/>
            <w:r>
              <w:t>entomelas</w:t>
            </w:r>
            <w:proofErr w:type="spellEnd"/>
          </w:p>
        </w:tc>
        <w:tc>
          <w:tcPr>
            <w:tcW w:w="1418" w:type="dxa"/>
            <w:vAlign w:val="center"/>
          </w:tcPr>
          <w:p w14:paraId="69FAEF83" w14:textId="77777777" w:rsidR="00CB78E2" w:rsidRDefault="00CB78E2" w:rsidP="00E70B5B">
            <w:pPr>
              <w:pStyle w:val="BodyText"/>
            </w:pPr>
            <w:r>
              <w:t>763</w:t>
            </w:r>
          </w:p>
        </w:tc>
        <w:tc>
          <w:tcPr>
            <w:tcW w:w="1275" w:type="dxa"/>
            <w:vAlign w:val="center"/>
          </w:tcPr>
          <w:p w14:paraId="5AC35193" w14:textId="77777777" w:rsidR="00CB78E2" w:rsidRDefault="00CB78E2" w:rsidP="00E70B5B">
            <w:pPr>
              <w:pStyle w:val="BodyText"/>
            </w:pPr>
            <w:r>
              <w:t>3.7</w:t>
            </w:r>
          </w:p>
        </w:tc>
        <w:tc>
          <w:tcPr>
            <w:tcW w:w="1276" w:type="dxa"/>
            <w:vAlign w:val="center"/>
          </w:tcPr>
          <w:p w14:paraId="121D5E34" w14:textId="77777777" w:rsidR="00CB78E2" w:rsidRDefault="00CB78E2" w:rsidP="00E70B5B">
            <w:pPr>
              <w:pStyle w:val="BodyText"/>
            </w:pPr>
            <w:r>
              <w:t>373</w:t>
            </w:r>
          </w:p>
        </w:tc>
        <w:tc>
          <w:tcPr>
            <w:tcW w:w="1418" w:type="dxa"/>
            <w:vAlign w:val="center"/>
          </w:tcPr>
          <w:p w14:paraId="0BB3B6A7" w14:textId="77777777" w:rsidR="00CB78E2" w:rsidRDefault="00CB78E2" w:rsidP="00E70B5B">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E70B5B">
            <w:pPr>
              <w:pStyle w:val="BodyText"/>
            </w:pPr>
            <w:proofErr w:type="spellStart"/>
            <w:r>
              <w:t>Engraulis</w:t>
            </w:r>
            <w:proofErr w:type="spellEnd"/>
            <w:r>
              <w:t xml:space="preserve"> mordax</w:t>
            </w:r>
          </w:p>
        </w:tc>
        <w:tc>
          <w:tcPr>
            <w:tcW w:w="1418" w:type="dxa"/>
            <w:vAlign w:val="center"/>
          </w:tcPr>
          <w:p w14:paraId="512C9779" w14:textId="77777777" w:rsidR="00CB78E2" w:rsidRDefault="00CB78E2" w:rsidP="00E70B5B">
            <w:pPr>
              <w:pStyle w:val="BodyText"/>
            </w:pPr>
            <w:r>
              <w:t>207</w:t>
            </w:r>
          </w:p>
        </w:tc>
        <w:tc>
          <w:tcPr>
            <w:tcW w:w="1275" w:type="dxa"/>
            <w:vAlign w:val="center"/>
          </w:tcPr>
          <w:p w14:paraId="36BBED47" w14:textId="77777777" w:rsidR="00CB78E2" w:rsidRDefault="00CB78E2" w:rsidP="00E70B5B">
            <w:pPr>
              <w:pStyle w:val="BodyText"/>
            </w:pPr>
            <w:r>
              <w:t>8.0</w:t>
            </w:r>
          </w:p>
        </w:tc>
        <w:tc>
          <w:tcPr>
            <w:tcW w:w="1276" w:type="dxa"/>
            <w:vAlign w:val="center"/>
          </w:tcPr>
          <w:p w14:paraId="628A7AFB" w14:textId="77777777" w:rsidR="00CB78E2" w:rsidRDefault="00CB78E2" w:rsidP="00E70B5B">
            <w:pPr>
              <w:pStyle w:val="BodyText"/>
            </w:pPr>
            <w:r>
              <w:t>804</w:t>
            </w:r>
          </w:p>
        </w:tc>
        <w:tc>
          <w:tcPr>
            <w:tcW w:w="1418" w:type="dxa"/>
            <w:vAlign w:val="center"/>
          </w:tcPr>
          <w:p w14:paraId="759CE63E" w14:textId="77777777" w:rsidR="00CB78E2" w:rsidRDefault="00CB78E2" w:rsidP="00E70B5B">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E70B5B">
            <w:pPr>
              <w:pStyle w:val="BodyText"/>
            </w:pPr>
            <w:proofErr w:type="spellStart"/>
            <w:r>
              <w:t>Sardinops</w:t>
            </w:r>
            <w:proofErr w:type="spellEnd"/>
            <w:r>
              <w:t xml:space="preserve"> </w:t>
            </w:r>
            <w:proofErr w:type="spellStart"/>
            <w:r>
              <w:t>sagax</w:t>
            </w:r>
            <w:proofErr w:type="spellEnd"/>
          </w:p>
        </w:tc>
        <w:tc>
          <w:tcPr>
            <w:tcW w:w="1418" w:type="dxa"/>
            <w:vAlign w:val="center"/>
          </w:tcPr>
          <w:p w14:paraId="06FDF082" w14:textId="77777777" w:rsidR="00CB78E2" w:rsidRDefault="00CB78E2" w:rsidP="00E70B5B">
            <w:pPr>
              <w:pStyle w:val="BodyText"/>
            </w:pPr>
            <w:r>
              <w:t>181</w:t>
            </w:r>
          </w:p>
        </w:tc>
        <w:tc>
          <w:tcPr>
            <w:tcW w:w="1275" w:type="dxa"/>
            <w:vAlign w:val="center"/>
          </w:tcPr>
          <w:p w14:paraId="57006512" w14:textId="77777777" w:rsidR="00CB78E2" w:rsidRDefault="00CB78E2" w:rsidP="00E70B5B">
            <w:pPr>
              <w:pStyle w:val="BodyText"/>
            </w:pPr>
            <w:r>
              <w:t>8.8</w:t>
            </w:r>
          </w:p>
        </w:tc>
        <w:tc>
          <w:tcPr>
            <w:tcW w:w="1276" w:type="dxa"/>
            <w:vAlign w:val="center"/>
          </w:tcPr>
          <w:p w14:paraId="45324612" w14:textId="77777777" w:rsidR="00CB78E2" w:rsidRDefault="00CB78E2" w:rsidP="00E70B5B">
            <w:pPr>
              <w:pStyle w:val="BodyText"/>
            </w:pPr>
            <w:r>
              <w:t>882</w:t>
            </w:r>
          </w:p>
        </w:tc>
        <w:tc>
          <w:tcPr>
            <w:tcW w:w="1418" w:type="dxa"/>
            <w:vAlign w:val="center"/>
          </w:tcPr>
          <w:p w14:paraId="34B6F4E9" w14:textId="77777777" w:rsidR="00CB78E2" w:rsidRDefault="00CB78E2" w:rsidP="00E70B5B">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E70B5B">
            <w:pPr>
              <w:pStyle w:val="BodyText"/>
            </w:pPr>
            <w:r>
              <w:t xml:space="preserve">Clupea </w:t>
            </w:r>
            <w:proofErr w:type="spellStart"/>
            <w:r>
              <w:t>pallasii</w:t>
            </w:r>
            <w:proofErr w:type="spellEnd"/>
          </w:p>
        </w:tc>
        <w:tc>
          <w:tcPr>
            <w:tcW w:w="1418" w:type="dxa"/>
            <w:vAlign w:val="center"/>
          </w:tcPr>
          <w:p w14:paraId="793654F3" w14:textId="77777777" w:rsidR="00CB78E2" w:rsidRDefault="00CB78E2" w:rsidP="00E70B5B">
            <w:pPr>
              <w:pStyle w:val="BodyText"/>
            </w:pPr>
            <w:r>
              <w:t>150</w:t>
            </w:r>
          </w:p>
        </w:tc>
        <w:tc>
          <w:tcPr>
            <w:tcW w:w="1275" w:type="dxa"/>
            <w:vAlign w:val="center"/>
          </w:tcPr>
          <w:p w14:paraId="3465E8A3" w14:textId="77777777" w:rsidR="00CB78E2" w:rsidRDefault="00CB78E2" w:rsidP="00E70B5B">
            <w:pPr>
              <w:pStyle w:val="BodyText"/>
            </w:pPr>
            <w:r>
              <w:t>10.1</w:t>
            </w:r>
          </w:p>
        </w:tc>
        <w:tc>
          <w:tcPr>
            <w:tcW w:w="1276" w:type="dxa"/>
            <w:vAlign w:val="center"/>
          </w:tcPr>
          <w:p w14:paraId="449A8085" w14:textId="77777777" w:rsidR="00CB78E2" w:rsidRDefault="00CB78E2" w:rsidP="00E70B5B">
            <w:pPr>
              <w:pStyle w:val="BodyText"/>
            </w:pPr>
            <w:r>
              <w:t>1,011</w:t>
            </w:r>
          </w:p>
        </w:tc>
        <w:tc>
          <w:tcPr>
            <w:tcW w:w="1418" w:type="dxa"/>
            <w:vAlign w:val="center"/>
          </w:tcPr>
          <w:p w14:paraId="764136D8" w14:textId="77777777" w:rsidR="00CB78E2" w:rsidRDefault="00CB78E2" w:rsidP="00E70B5B">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E70B5B">
            <w:pPr>
              <w:pStyle w:val="BodyText"/>
            </w:pPr>
            <w:proofErr w:type="spellStart"/>
            <w:r>
              <w:t>Scomber</w:t>
            </w:r>
            <w:proofErr w:type="spellEnd"/>
            <w:r>
              <w:t xml:space="preserve"> japonicus</w:t>
            </w:r>
          </w:p>
        </w:tc>
        <w:tc>
          <w:tcPr>
            <w:tcW w:w="1418" w:type="dxa"/>
            <w:vAlign w:val="center"/>
          </w:tcPr>
          <w:p w14:paraId="3BCC6302" w14:textId="77777777" w:rsidR="00CB78E2" w:rsidRDefault="00CB78E2" w:rsidP="00E70B5B">
            <w:pPr>
              <w:pStyle w:val="BodyText"/>
            </w:pPr>
            <w:r>
              <w:t>89</w:t>
            </w:r>
          </w:p>
        </w:tc>
        <w:tc>
          <w:tcPr>
            <w:tcW w:w="1275" w:type="dxa"/>
            <w:vAlign w:val="center"/>
          </w:tcPr>
          <w:p w14:paraId="2AFF12DA" w14:textId="77777777" w:rsidR="00CB78E2" w:rsidRDefault="00CB78E2" w:rsidP="00E70B5B">
            <w:pPr>
              <w:pStyle w:val="BodyText"/>
            </w:pPr>
            <w:r>
              <w:t>15.4</w:t>
            </w:r>
          </w:p>
        </w:tc>
        <w:tc>
          <w:tcPr>
            <w:tcW w:w="1276" w:type="dxa"/>
            <w:vAlign w:val="center"/>
          </w:tcPr>
          <w:p w14:paraId="168307D8" w14:textId="77777777" w:rsidR="00CB78E2" w:rsidRDefault="00CB78E2" w:rsidP="00E70B5B">
            <w:pPr>
              <w:pStyle w:val="BodyText"/>
            </w:pPr>
            <w:r>
              <w:t>1,540</w:t>
            </w:r>
          </w:p>
        </w:tc>
        <w:tc>
          <w:tcPr>
            <w:tcW w:w="1418" w:type="dxa"/>
            <w:vAlign w:val="center"/>
          </w:tcPr>
          <w:p w14:paraId="3BD0AA5B" w14:textId="77777777" w:rsidR="00CB78E2" w:rsidRDefault="00CB78E2" w:rsidP="00E70B5B">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E70B5B">
            <w:pPr>
              <w:pStyle w:val="BodyText"/>
            </w:pPr>
            <w:proofErr w:type="spellStart"/>
            <w:r>
              <w:t>Tactostoma</w:t>
            </w:r>
            <w:proofErr w:type="spellEnd"/>
            <w:r>
              <w:t xml:space="preserve"> </w:t>
            </w:r>
            <w:proofErr w:type="spellStart"/>
            <w:r>
              <w:t>macropus</w:t>
            </w:r>
            <w:proofErr w:type="spellEnd"/>
          </w:p>
        </w:tc>
        <w:tc>
          <w:tcPr>
            <w:tcW w:w="1418" w:type="dxa"/>
            <w:vAlign w:val="center"/>
          </w:tcPr>
          <w:p w14:paraId="4E806551" w14:textId="77777777" w:rsidR="00CB78E2" w:rsidRDefault="00CB78E2" w:rsidP="00E70B5B">
            <w:pPr>
              <w:pStyle w:val="BodyText"/>
            </w:pPr>
            <w:r>
              <w:t>79</w:t>
            </w:r>
          </w:p>
        </w:tc>
        <w:tc>
          <w:tcPr>
            <w:tcW w:w="1275" w:type="dxa"/>
            <w:vAlign w:val="center"/>
          </w:tcPr>
          <w:p w14:paraId="2EBBC14C" w14:textId="77777777" w:rsidR="00CB78E2" w:rsidRDefault="00CB78E2" w:rsidP="00E70B5B">
            <w:pPr>
              <w:pStyle w:val="BodyText"/>
            </w:pPr>
            <w:r>
              <w:t>17.0</w:t>
            </w:r>
          </w:p>
        </w:tc>
        <w:tc>
          <w:tcPr>
            <w:tcW w:w="1276" w:type="dxa"/>
            <w:vAlign w:val="center"/>
          </w:tcPr>
          <w:p w14:paraId="73F35786" w14:textId="77777777" w:rsidR="00CB78E2" w:rsidRDefault="00CB78E2" w:rsidP="00E70B5B">
            <w:pPr>
              <w:pStyle w:val="BodyText"/>
            </w:pPr>
            <w:r>
              <w:t>1,702</w:t>
            </w:r>
          </w:p>
        </w:tc>
        <w:tc>
          <w:tcPr>
            <w:tcW w:w="1418" w:type="dxa"/>
            <w:vAlign w:val="center"/>
          </w:tcPr>
          <w:p w14:paraId="5971A47E" w14:textId="77777777" w:rsidR="00CB78E2" w:rsidRDefault="00CB78E2" w:rsidP="00E70B5B">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E70B5B">
            <w:pPr>
              <w:pStyle w:val="BodyText"/>
            </w:pPr>
            <w:proofErr w:type="spellStart"/>
            <w:r>
              <w:t>Stenobrachius</w:t>
            </w:r>
            <w:proofErr w:type="spellEnd"/>
            <w:r>
              <w:t xml:space="preserve"> </w:t>
            </w:r>
            <w:proofErr w:type="spellStart"/>
            <w:r>
              <w:t>leucopsarus</w:t>
            </w:r>
            <w:proofErr w:type="spellEnd"/>
            <w:r>
              <w:t>†</w:t>
            </w:r>
          </w:p>
        </w:tc>
        <w:tc>
          <w:tcPr>
            <w:tcW w:w="1418" w:type="dxa"/>
            <w:vAlign w:val="center"/>
          </w:tcPr>
          <w:p w14:paraId="14F54453" w14:textId="77777777" w:rsidR="00CB78E2" w:rsidRDefault="00CB78E2" w:rsidP="00E70B5B">
            <w:pPr>
              <w:pStyle w:val="BodyText"/>
            </w:pPr>
            <w:r>
              <w:t>41</w:t>
            </w:r>
          </w:p>
        </w:tc>
        <w:tc>
          <w:tcPr>
            <w:tcW w:w="1275" w:type="dxa"/>
            <w:vAlign w:val="center"/>
          </w:tcPr>
          <w:p w14:paraId="204ADED3" w14:textId="77777777" w:rsidR="00CB78E2" w:rsidRDefault="00CB78E2" w:rsidP="00E70B5B">
            <w:pPr>
              <w:pStyle w:val="BodyText"/>
            </w:pPr>
            <w:r>
              <w:t>32.8</w:t>
            </w:r>
          </w:p>
        </w:tc>
        <w:tc>
          <w:tcPr>
            <w:tcW w:w="1276" w:type="dxa"/>
            <w:vAlign w:val="center"/>
          </w:tcPr>
          <w:p w14:paraId="735300BE" w14:textId="77777777" w:rsidR="00CB78E2" w:rsidRDefault="00CB78E2" w:rsidP="00E70B5B">
            <w:pPr>
              <w:pStyle w:val="BodyText"/>
            </w:pPr>
            <w:r>
              <w:t>3,283</w:t>
            </w:r>
          </w:p>
        </w:tc>
        <w:tc>
          <w:tcPr>
            <w:tcW w:w="1418" w:type="dxa"/>
            <w:vAlign w:val="center"/>
          </w:tcPr>
          <w:p w14:paraId="52506CC9" w14:textId="77777777" w:rsidR="00CB78E2" w:rsidRDefault="00CB78E2" w:rsidP="00E70B5B">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E70B5B">
            <w:pPr>
              <w:pStyle w:val="BodyText"/>
            </w:pPr>
            <w:r>
              <w:t xml:space="preserve">Trachurus </w:t>
            </w:r>
            <w:proofErr w:type="spellStart"/>
            <w:r>
              <w:t>symmetricus</w:t>
            </w:r>
            <w:proofErr w:type="spellEnd"/>
            <w:r>
              <w:t>†</w:t>
            </w:r>
          </w:p>
        </w:tc>
        <w:tc>
          <w:tcPr>
            <w:tcW w:w="1418" w:type="dxa"/>
            <w:vAlign w:val="center"/>
          </w:tcPr>
          <w:p w14:paraId="200E4613" w14:textId="77777777" w:rsidR="00CB78E2" w:rsidRDefault="00CB78E2" w:rsidP="00E70B5B">
            <w:pPr>
              <w:pStyle w:val="BodyText"/>
            </w:pPr>
            <w:r>
              <w:t>24</w:t>
            </w:r>
          </w:p>
        </w:tc>
        <w:tc>
          <w:tcPr>
            <w:tcW w:w="1275" w:type="dxa"/>
            <w:vAlign w:val="center"/>
          </w:tcPr>
          <w:p w14:paraId="5EA31C78" w14:textId="77777777" w:rsidR="00CB78E2" w:rsidRDefault="00CB78E2" w:rsidP="00E70B5B">
            <w:pPr>
              <w:pStyle w:val="BodyText"/>
            </w:pPr>
            <w:r>
              <w:t>60.8</w:t>
            </w:r>
          </w:p>
        </w:tc>
        <w:tc>
          <w:tcPr>
            <w:tcW w:w="1276" w:type="dxa"/>
            <w:vAlign w:val="center"/>
          </w:tcPr>
          <w:p w14:paraId="32881211" w14:textId="77777777" w:rsidR="00CB78E2" w:rsidRDefault="00CB78E2" w:rsidP="00E70B5B">
            <w:pPr>
              <w:pStyle w:val="BodyText"/>
            </w:pPr>
            <w:r>
              <w:t>6,076</w:t>
            </w:r>
          </w:p>
        </w:tc>
        <w:tc>
          <w:tcPr>
            <w:tcW w:w="1418" w:type="dxa"/>
            <w:vAlign w:val="center"/>
          </w:tcPr>
          <w:p w14:paraId="2929F44A" w14:textId="77777777" w:rsidR="00CB78E2" w:rsidRDefault="00CB78E2" w:rsidP="00E70B5B">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E70B5B">
            <w:pPr>
              <w:pStyle w:val="BodyText"/>
            </w:pPr>
            <w:proofErr w:type="spellStart"/>
            <w:r>
              <w:t>Thaleichthys</w:t>
            </w:r>
            <w:proofErr w:type="spellEnd"/>
            <w:r>
              <w:t xml:space="preserve"> pacificus†</w:t>
            </w:r>
          </w:p>
        </w:tc>
        <w:tc>
          <w:tcPr>
            <w:tcW w:w="1418" w:type="dxa"/>
            <w:vAlign w:val="center"/>
          </w:tcPr>
          <w:p w14:paraId="7772D1FE" w14:textId="77777777" w:rsidR="00CB78E2" w:rsidRDefault="00CB78E2" w:rsidP="00E70B5B">
            <w:pPr>
              <w:pStyle w:val="BodyText"/>
            </w:pPr>
            <w:r>
              <w:t>23</w:t>
            </w:r>
          </w:p>
        </w:tc>
        <w:tc>
          <w:tcPr>
            <w:tcW w:w="1275" w:type="dxa"/>
            <w:vAlign w:val="center"/>
          </w:tcPr>
          <w:p w14:paraId="0AEEFE61" w14:textId="77777777" w:rsidR="00CB78E2" w:rsidRDefault="00CB78E2" w:rsidP="00E70B5B">
            <w:pPr>
              <w:pStyle w:val="BodyText"/>
            </w:pPr>
            <w:r>
              <w:t>65.3</w:t>
            </w:r>
          </w:p>
        </w:tc>
        <w:tc>
          <w:tcPr>
            <w:tcW w:w="1276" w:type="dxa"/>
            <w:vAlign w:val="center"/>
          </w:tcPr>
          <w:p w14:paraId="0DA18185" w14:textId="77777777" w:rsidR="00CB78E2" w:rsidRDefault="00CB78E2" w:rsidP="00E70B5B">
            <w:pPr>
              <w:pStyle w:val="BodyText"/>
            </w:pPr>
            <w:r>
              <w:t>6,532</w:t>
            </w:r>
          </w:p>
        </w:tc>
        <w:tc>
          <w:tcPr>
            <w:tcW w:w="1418" w:type="dxa"/>
            <w:vAlign w:val="center"/>
          </w:tcPr>
          <w:p w14:paraId="07F27A3A" w14:textId="77777777" w:rsidR="00CB78E2" w:rsidRDefault="00CB78E2" w:rsidP="00E70B5B">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E70B5B">
            <w:pPr>
              <w:pStyle w:val="BodyText"/>
            </w:pPr>
            <w:proofErr w:type="spellStart"/>
            <w:r>
              <w:t>Tarletonbeania</w:t>
            </w:r>
            <w:proofErr w:type="spellEnd"/>
            <w:r>
              <w:t xml:space="preserve"> </w:t>
            </w:r>
            <w:proofErr w:type="spellStart"/>
            <w:r>
              <w:t>crenularis</w:t>
            </w:r>
            <w:proofErr w:type="spellEnd"/>
            <w:r>
              <w:t>†</w:t>
            </w:r>
          </w:p>
        </w:tc>
        <w:tc>
          <w:tcPr>
            <w:tcW w:w="1418" w:type="dxa"/>
            <w:tcBorders>
              <w:bottom w:val="single" w:sz="8" w:space="0" w:color="000000"/>
            </w:tcBorders>
            <w:vAlign w:val="center"/>
          </w:tcPr>
          <w:p w14:paraId="60DE2DEB" w14:textId="77777777" w:rsidR="00CB78E2" w:rsidRDefault="00CB78E2" w:rsidP="00E70B5B">
            <w:pPr>
              <w:pStyle w:val="BodyText"/>
            </w:pPr>
            <w:r>
              <w:t>22</w:t>
            </w:r>
          </w:p>
        </w:tc>
        <w:tc>
          <w:tcPr>
            <w:tcW w:w="1275" w:type="dxa"/>
            <w:tcBorders>
              <w:bottom w:val="single" w:sz="8" w:space="0" w:color="000000"/>
            </w:tcBorders>
            <w:vAlign w:val="center"/>
          </w:tcPr>
          <w:p w14:paraId="469479A5" w14:textId="77777777" w:rsidR="00CB78E2" w:rsidRDefault="00CB78E2" w:rsidP="00E70B5B">
            <w:pPr>
              <w:pStyle w:val="BodyText"/>
            </w:pPr>
            <w:r>
              <w:t>70.8</w:t>
            </w:r>
          </w:p>
        </w:tc>
        <w:tc>
          <w:tcPr>
            <w:tcW w:w="1276" w:type="dxa"/>
            <w:tcBorders>
              <w:bottom w:val="single" w:sz="8" w:space="0" w:color="000000"/>
            </w:tcBorders>
            <w:vAlign w:val="center"/>
          </w:tcPr>
          <w:p w14:paraId="490B90A6" w14:textId="77777777" w:rsidR="00CB78E2" w:rsidRDefault="00CB78E2" w:rsidP="00E70B5B">
            <w:pPr>
              <w:pStyle w:val="BodyText"/>
            </w:pPr>
            <w:r>
              <w:t>7,078</w:t>
            </w:r>
          </w:p>
        </w:tc>
        <w:tc>
          <w:tcPr>
            <w:tcW w:w="1418" w:type="dxa"/>
            <w:tcBorders>
              <w:bottom w:val="single" w:sz="8" w:space="0" w:color="000000"/>
            </w:tcBorders>
            <w:vAlign w:val="center"/>
          </w:tcPr>
          <w:p w14:paraId="5BB904BF" w14:textId="77777777" w:rsidR="00CB78E2" w:rsidRDefault="00CB78E2" w:rsidP="00E70B5B">
            <w:pPr>
              <w:pStyle w:val="BodyText"/>
            </w:pPr>
            <w:r>
              <w:t>19.8</w:t>
            </w:r>
          </w:p>
        </w:tc>
      </w:tr>
    </w:tbl>
    <w:p w14:paraId="3D680CCC" w14:textId="77777777" w:rsidR="00F52C0A" w:rsidRDefault="00F52C0A" w:rsidP="00E70B5B">
      <w:pPr>
        <w:pStyle w:val="BodyText"/>
      </w:pPr>
    </w:p>
    <w:p w14:paraId="096E9EEB" w14:textId="77777777" w:rsidR="0032076E" w:rsidRDefault="00D04708" w:rsidP="000545D1">
      <w:pPr>
        <w:pStyle w:val="Heading1"/>
        <w:spacing w:before="0" w:after="0" w:line="480" w:lineRule="auto"/>
      </w:pPr>
      <w:bookmarkStart w:id="13" w:name="fig:epsilon_sp"/>
      <w:bookmarkStart w:id="14" w:name="discussion"/>
      <w:bookmarkEnd w:id="11"/>
      <w:bookmarkEnd w:id="13"/>
      <w:r>
        <w:lastRenderedPageBreak/>
        <w:t>Discussion</w:t>
      </w:r>
    </w:p>
    <w:p w14:paraId="36549347" w14:textId="6798D62A" w:rsidR="00D00D31" w:rsidRDefault="00000000" w:rsidP="00E70B5B">
      <w:pPr>
        <w:pStyle w:val="BodyText"/>
      </w:pPr>
      <w:bookmarkStart w:id="15"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43031F1E" w14:textId="77777777" w:rsidR="000900A5" w:rsidRDefault="000900A5" w:rsidP="00E70B5B">
      <w:pPr>
        <w:pStyle w:val="BodyText"/>
      </w:pPr>
    </w:p>
    <w:p w14:paraId="505A8390" w14:textId="77777777" w:rsidR="00F87A78" w:rsidRDefault="00D328B7" w:rsidP="005A7757">
      <w:pPr>
        <w:pStyle w:val="Heading2"/>
        <w:spacing w:line="480" w:lineRule="auto"/>
      </w:pPr>
      <w:bookmarkStart w:id="16" w:name="OLE_LINK2"/>
      <w:r>
        <w:t>Sampling effort, spatial autocorrelation and prediction accuracy</w:t>
      </w:r>
    </w:p>
    <w:p w14:paraId="347D7449" w14:textId="49285346" w:rsidR="00D00D31" w:rsidRDefault="00000000" w:rsidP="00E70B5B">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w:t>
      </w:r>
      <w:r w:rsidR="00E70B5B">
        <w:t xml:space="preserve"> Additionally, a</w:t>
      </w:r>
      <w:r>
        <w:t xml:space="preserve">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E70B5B">
      <w:pPr>
        <w:pStyle w:val="BodyText"/>
      </w:pPr>
    </w:p>
    <w:p w14:paraId="4BE2D8A1" w14:textId="23EEC4D6" w:rsidR="00D00D31" w:rsidRDefault="00000000" w:rsidP="00E70B5B">
      <w:pPr>
        <w:pStyle w:val="BodyText"/>
      </w:pPr>
      <w:r>
        <w:t>Although effort is reported per 10,000 km</w:t>
      </w:r>
      <w:r>
        <w:rPr>
          <w:vertAlign w:val="superscript"/>
        </w:rPr>
        <w:t>2</w:t>
      </w:r>
      <w:r w:rsidR="00067A37">
        <w:t xml:space="preserve">, </w:t>
      </w:r>
      <w:r>
        <w:t xml:space="preserve">due to its dependence on the study domain and the number of samples, what matters most is how far apart samples are relative to the autocorrelation of a species. A sampling effort </w:t>
      </w:r>
      <w:r>
        <w:rPr>
          <w:i/>
        </w:rPr>
        <w:t>E</w:t>
      </w:r>
      <w:r>
        <w:t xml:space="preserve"> places samples roughly </w:t>
      </w:r>
      <w:r>
        <w:sym w:font="Symbol" w:char="F0D6"/>
      </w:r>
      <w:r>
        <w:t>(10,000/</w:t>
      </w:r>
      <w:r>
        <w:rPr>
          <w:i/>
        </w:rPr>
        <w:t>E</w:t>
      </w:r>
      <w:r>
        <w:t xml:space="preserve">) km apart, so the effort needed for a given target error can equivalently be expressed as the ratio of sample spacing to </w:t>
      </w:r>
      <w:r>
        <w:lastRenderedPageBreak/>
        <w:t>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w:t>
      </w:r>
      <w:r w:rsidR="00067A37">
        <w:t xml:space="preserve">ratio </w:t>
      </w:r>
      <w:r>
        <w:t>of roughly 2.4 for the patchiest taxon (</w:t>
      </w:r>
      <w:r>
        <w:rPr>
          <w:i/>
        </w:rPr>
        <w:t>ρ</w:t>
      </w:r>
      <w:r>
        <w:t xml:space="preserve"> = 22 km) and 0.04 for the smoothest (</w:t>
      </w:r>
      <w:r>
        <w:rPr>
          <w:i/>
        </w:rPr>
        <w:t>ρ</w:t>
      </w:r>
      <w:r>
        <w:t xml:space="preserve"> = 1283 km; Table 1). In the first case </w:t>
      </w:r>
      <w:r w:rsidR="00067A37">
        <w:t>neighboring</w:t>
      </w:r>
      <w:r>
        <w:t xml:space="preserve">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depths, although the ratio 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0F569EB7" w14:textId="77777777" w:rsidR="00C30665" w:rsidRDefault="00C30665" w:rsidP="00E70B5B">
      <w:pPr>
        <w:pStyle w:val="BodyText"/>
      </w:pPr>
    </w:p>
    <w:p w14:paraId="5A632DC5" w14:textId="77777777" w:rsidR="000533E5" w:rsidRDefault="00000000" w:rsidP="002E0707">
      <w:pPr>
        <w:pStyle w:val="Heading2"/>
        <w:spacing w:line="480" w:lineRule="auto"/>
      </w:pPr>
      <w:r>
        <w:t>Empirical example: agreement with observed data and implications</w:t>
      </w:r>
    </w:p>
    <w:p w14:paraId="589D7699" w14:textId="725429DB" w:rsidR="00D00D31" w:rsidRDefault="00000000" w:rsidP="00E70B5B">
      <w:pPr>
        <w:pStyle w:val="BodyText"/>
      </w:pPr>
      <w:r>
        <w:t xml:space="preserve">In the empirical example, the error model estimated from the observed data reproduced the structure of the model estimated from the simulations. This supports the use of the simulation-derived coefficients for taxa and domains similar to those studied here. </w:t>
      </w:r>
    </w:p>
    <w:p w14:paraId="2BDBAAD1" w14:textId="03D7658B" w:rsidR="00D00D31" w:rsidRDefault="00000000" w:rsidP="003E57EA">
      <w:pPr>
        <w:pStyle w:val="BodyText"/>
      </w:pPr>
      <w:r>
        <w:t>The empirical example is also the main limit on how far these conclusions can be generalized. It covers 12 fish species from a single region, season (summer 2019), survey and assay, within one domain of about 200,000 km2,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directly, because the same workflow can be applied to any dataset using the archived code.</w:t>
      </w:r>
    </w:p>
    <w:p w14:paraId="749B53C1" w14:textId="77777777" w:rsidR="00BF0925" w:rsidRDefault="00BF0925" w:rsidP="003E57EA">
      <w:pPr>
        <w:pStyle w:val="BodyText"/>
      </w:pPr>
    </w:p>
    <w:bookmarkEnd w:id="16"/>
    <w:bookmarkEnd w:id="17"/>
    <w:p w14:paraId="4C243B52" w14:textId="77777777" w:rsidR="00A318B1" w:rsidRPr="000D2BF7" w:rsidRDefault="000F7C17" w:rsidP="003E57EA">
      <w:pPr>
        <w:pStyle w:val="Heading2"/>
        <w:spacing w:line="480" w:lineRule="auto"/>
        <w:rPr>
          <w:i/>
          <w:iCs/>
        </w:rPr>
      </w:pPr>
      <w:r>
        <w:t>Assumptions and limitations of the method</w:t>
      </w:r>
    </w:p>
    <w:p w14:paraId="2534E899" w14:textId="08C119E7" w:rsidR="00D00D31" w:rsidRDefault="00000000" w:rsidP="003E57EA">
      <w:pPr>
        <w:pStyle w:val="BodyText"/>
      </w:pPr>
      <w:r>
        <w:t>A first limitation concerns how well ρ itself can be estimated at the sampling effort available in the empirical example. The 358 samples correspond to E = 3.6 samples per 10,000 km2 per depth layer, below the density at which the recovery of ρ stabilized in the simulations (Figure 4A). At this effort, length-scales may be over- or under-estimated at both ends of the range. For very patchy taxa (ρ below roughly 50), spacing is comparable to or greater than the distance over which samples remain correlated, so few sample pairs resolve how quickly correlation decays. For very smooth taxa (ρ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ρ is the main input to the planner, errors in its estimate carry through to the effort the planner returns, and users working with taxa at either extreme may wish to explore a range of plausible length-scales rather than a single value.</w:t>
      </w:r>
    </w:p>
    <w:p w14:paraId="7052E5F5" w14:textId="77777777" w:rsidR="00AE268E" w:rsidRDefault="00000000" w:rsidP="00E70B5B">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w:t>
      </w:r>
    </w:p>
    <w:p w14:paraId="654C135E" w14:textId="77777777" w:rsidR="00AE268E" w:rsidRDefault="00000000" w:rsidP="00E70B5B">
      <w:pPr>
        <w:pStyle w:val="BodyText"/>
      </w:pPr>
      <w:r>
        <w:t>In addition, ecological processes such as migration, schooling, habitat discontinuities or patchy prey fields can also generate multi-scale patterns that depart from a single characteristic length-</w:t>
      </w:r>
      <w:r>
        <w:lastRenderedPageBreak/>
        <w:t xml:space="preserve">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in the simulations. </w:t>
      </w:r>
    </w:p>
    <w:p w14:paraId="79CBF2CC" w14:textId="13C0C4D6" w:rsidR="00D00D31" w:rsidRDefault="00000000" w:rsidP="00E70B5B">
      <w:pPr>
        <w:pStyle w:val="BodyText"/>
      </w:pPr>
      <w:r>
        <w:t xml:space="preserve">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7C95E237" w:rsidR="00D00D31" w:rsidRDefault="00000000" w:rsidP="00E70B5B">
      <w:pPr>
        <w:pStyle w:val="BodyText"/>
      </w:pPr>
      <w:r>
        <w:t xml:space="preserve">Furthermore, the simulation assumes a stationary GP with fixed amplitude and noise and a single length-scale across depths, whereas real eDNA fields may have variable variance structure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proofErr w:type="spellStart"/>
      <w:r>
        <w:rPr>
          <w:i/>
        </w:rPr>
        <w:t>ε</w:t>
      </w:r>
      <w:r>
        <w:rPr>
          <w:vertAlign w:val="subscript"/>
        </w:rPr>
        <w:t>sim</w:t>
      </w:r>
      <w:proofErr w:type="spellEnd"/>
      <w:r>
        <w:t>) is also computed against a "complete" prediction from a 4,000-point subset (Z) rather than the full grid, a limitation most visible in the secondary thinning comparison, where the reference field is constrained to N = 358 samples, making prediction error higher and more stochastic. In addition, Eq. 7 reflects the GP model used here, and models that survey teams build in the future from their own data (for example with different kernels, covariates, priors or observation models) can add further variance, so realized errors may exceed the target error (</w:t>
      </w:r>
      <w:r>
        <w:rPr>
          <w:i/>
        </w:rPr>
        <w:t>ε</w:t>
      </w:r>
      <w:r>
        <w:rPr>
          <w:vertAlign w:val="superscript"/>
        </w:rPr>
        <w:t>*</w:t>
      </w:r>
      <w:r>
        <w:t>) even when the recommended sampling density is achieved.</w:t>
      </w:r>
    </w:p>
    <w:p w14:paraId="7D5A3B40" w14:textId="73AAF6E0" w:rsidR="00D00D31" w:rsidRDefault="00000000" w:rsidP="00E70B5B">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w:t>
      </w:r>
      <w:r>
        <w:fldChar w:fldCharType="begin"/>
      </w:r>
      <w:r>
        <w:instrText xml:space="preserve"> ADDIN ZOTERO_ITEM CSL_CITATION {"citationItems":[{"id":4808,"uris":["http://zotero.org/users/9456007/items/PZMXF3Y4"],"itemData":{"id":4808,"type":"article-journal","abstract":"Abstract\n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P."}],"issued":{"date-parts":[["2023",5]]}}},{"id":99001,"uris":["http://zotero.org/users/9456007/items/U8Y2U7U9"],"itemData":{"id":99001,"type":"article-journal","citation-key":"dias2025","container-title":"Scientific Reports","DOI":"10.1038/s41598-025-12916-5","ISSN":"2045-2322","issue":"1","journalAbbreviation":"Sci Rep","language":"en","page":"26791","source":"DOI.org (Crossref)","title":"Differential decay of multiple environmental nucleic acid components","URL":"https://www.nature.com/articles/s41598-025-12916-5","volume":"15","author":[{"family":"Brandão‐Dias","given":"Pedro Fp"},{"family":"Shaffer","given":"Megan"},{"family":"Guri","given":"Gledis"},{"family":"Parsons","given":"Kim M."},{"family":"Kelly","given":"Ryan P."},{"family":"Allan","given":"Elizabeth Andruszkiewicz"}],"issued":{"date-parts":[["2025",7,23]]}}}],"schema":"https://github.com/citation-style-language/schema/raw/master/csl-citation.json","citationID":"RR1G9juY","properties":{"unsorted":false,"formattedCitation":"(Brand\\uc0\\u227{}o\\uc0\\u8208{}Dias et al., 2023, 2025)","plainCitation":"(Brandão‐Dias et al., 2023, 2025)","noteIndex":0}} </w:instrText>
      </w:r>
      <w:r>
        <w:fldChar w:fldCharType="separate"/>
      </w:r>
      <w:r>
        <w:rPr>
          <w:noProof/>
        </w:rPr>
        <w:t>(Brandão‐Dias et al., 2025)</w:t>
      </w:r>
      <w:r>
        <w:fldChar w:fldCharType="end"/>
      </w:r>
      <w:r>
        <w:t xml:space="preserve">. Such integration is embedded within the inferred length-scale, so </w:t>
      </w:r>
      <w:r>
        <w:rPr>
          <w:i/>
          <w:iCs/>
          <w:lang w:val="el-GR"/>
        </w:rPr>
        <w:t>ρ</w:t>
      </w:r>
      <w:r>
        <w:t xml:space="preserve"> should be interpreted as an effective length-scale of the observed </w:t>
      </w:r>
      <w:r>
        <w:lastRenderedPageBreak/>
        <w:t xml:space="preserve">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bookmarkStart w:id="18" w:name="OLE_LINK3"/>
      <w:r>
        <w:t xml:space="preserve"> In a small domain, the autocorrelation scale of the observed eDNA field may exceed the survey extent, making the field appear nearly uniform and the depth-specific mean (</w:t>
      </w:r>
      <w:proofErr w:type="spellStart"/>
      <w:r>
        <w:rPr>
          <w:i/>
        </w:rPr>
        <w:t>μ</w:t>
      </w:r>
      <w:r>
        <w:rPr>
          <w:i/>
          <w:vertAlign w:val="subscript"/>
        </w:rPr>
        <w:t>d</w:t>
      </w:r>
      <w:proofErr w:type="spellEnd"/>
      <w:r>
        <w:t xml:space="preserve">) difficult to estimate independently of the spatial process, as observed in our simulations (Figure 4C) and reported previously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E70B5B">
      <w:pPr>
        <w:pStyle w:val="BodyText"/>
      </w:pPr>
    </w:p>
    <w:p w14:paraId="2CE730D7" w14:textId="77777777" w:rsidR="00BD1D03" w:rsidRDefault="00000000" w:rsidP="000545D1">
      <w:pPr>
        <w:pStyle w:val="Heading1"/>
        <w:spacing w:before="0" w:after="0" w:line="480" w:lineRule="auto"/>
      </w:pPr>
      <w:r>
        <w:t>Perspectives and applications</w:t>
      </w:r>
    </w:p>
    <w:p w14:paraId="099FFAEB" w14:textId="19D46BC1" w:rsidR="00D00D31" w:rsidRDefault="00000000" w:rsidP="00E70B5B">
      <w:pPr>
        <w:pStyle w:val="BodyText"/>
      </w:pPr>
      <w:r>
        <w:t>The eDNA Survey Planner turns a single estimable quantity, the spatial autocorrelation of the target taxon, into a transparent calculation that can be run before a vessel leaves port. It needs only an outline of the study domain, a prior estimate of ρ and a target error, runs in a web browser (also offline) without installation and uploads no survey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empirical example, where it showed how far a completed survey met a stated precision for each taxon.</w:t>
      </w:r>
    </w:p>
    <w:p w14:paraId="0ED1E562" w14:textId="3A0585F3" w:rsidR="00107E75" w:rsidRDefault="00000000" w:rsidP="00E70B5B">
      <w:pPr>
        <w:pStyle w:val="BodyText"/>
      </w:pPr>
      <w:r>
        <w:t xml:space="preserve">For data collection, the planner lets survey teams state their assumptions about spatial structure and precision at the proposal stage and compare designs for taxa with different length-scales. The value of the planner depends on what a survey is meant to deliver. For stock assessment the key output is usually an aggregate abundance or biomass index, to which spatial structure contributes </w:t>
      </w:r>
      <w:r>
        <w:lastRenderedPageBreak/>
        <w:t xml:space="preserve">mainly through the precision of that index </w:t>
      </w:r>
      <w:r>
        <w:fldChar w:fldCharType="begin"/>
      </w:r>
      <w:r>
        <w: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and</w:t>
      </w:r>
      <w:r>
        <w:rPr>
          <w:noProof/>
        </w:rPr>
        <w:t>,</w:t>
      </w:r>
      <w:r>
        <w:t xml:space="preserve"> an eDNA-derived abundance index was incorporated for the first time in the 2025 U.S.-Canada Pacific hake assessment </w:t>
      </w:r>
      <w:r>
        <w:fldChar w:fldCharType="begin"/>
      </w:r>
      <w:r>
        <w:instrText xml:space="preserve"> ADDIN ZOTERO_ITEM CSL_CITATION {"citationItems":[{"id":99002,"uris":["http://zotero.org/users/9456007/items/STZS5KKI"],"itemData":{"id":99002,"type":"article-journal","citation-key":"johnson2025","DOI":"10.25923/B5XS-S331","language":"en","publisher":"NOAA National Marine Fisheries Service Northwest Fisheries Science Center","source":"DOI.org (Datacite)","title":"Status of the Pacific Hake (whiting) stock in U.S. and Canadian waters in 2025","URL":"https://repository.library.noaa.gov/view/noaa/67186","author":[{"family":"Johnson","given":"Kelli"},{"family":"Edwards","given":"Andrew"},{"family":"Berger","given":"Aaron"},{"family":"Grandin","given":"Chris"},{"family":"Wetzel","given":"Chantel"}],"issued":{"date-parts":[["2025"]]}}}],"schema":"https://github.com/citation-style-language/schema/raw/master/csl-citation.json","citationID":"DYE4ZmvE","properties":{"unsorted":false,"formattedCitation":"(Johnson et al., 2025)","plainCitation":"(Johnson et al., 2025)","noteIndex":0}} </w:instrText>
      </w:r>
      <w:r>
        <w:fldChar w:fldCharType="separate"/>
      </w:r>
      <w:r>
        <w:rPr>
          <w:noProof/>
        </w:rPr>
        <w:t>(Johnson et al., 2025)</w:t>
      </w:r>
      <w:r>
        <w:fldChar w:fldCharType="end"/>
      </w:r>
      <w:r>
        <w:t xml:space="preserve">. The planner’s error metric, which measures how well a whole field is reconstructed, is not the same as the uncertainty of an area-integrated total, so it should not be read as a direct measure of assessment precision. It applies where the spatial field itself is the product, as in distribution maps, range shifts, protected areas, bycatch avoidance and multispecies management </w:t>
      </w:r>
      <w:r>
        <w:fldChar w:fldCharType="begin"/>
      </w:r>
      <w:r>
        <w: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In these cases sampling density is often the bottleneck, because conventional surveys are costly and cover space sparsely </w:t>
      </w:r>
      <w:r>
        <w:fldChar w:fldCharType="begin"/>
      </w:r>
      <w:r>
        <w: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whereas eDNA tends to lower the cost and effort of sampling </w:t>
      </w:r>
      <w:r>
        <w:fldChar w:fldCharType="begin"/>
      </w:r>
      <w:r>
        <w: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many more sampling points. It is best seen as complementing conventional gear rather than replacing it </w:t>
      </w:r>
      <w:r>
        <w:fldChar w:fldCharType="begin"/>
      </w:r>
      <w:r>
        <w:instrText xml:space="preserve"> ADDIN ZOTERO_ITEM CSL_CITATION {"citationItems":[{"id":619,"uris":["http://zotero.org/users/9456007/items/HEWRJKJD"],"itemData":{"id":619,"type":"article-journal","abstract":"Abstract\n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citationID":"rjDhkXkS","properties":{"unsorted":false,"formattedCitation":"(Guri et al., 2024; Hansen et al., 2018; Lacoursi\\uc0\\u232{}re-Roussel et al., 2016; Ram\\uc0\\u237{}rez-Amaro et al., 2022; Salter et al., 2026)","plainCitation":"(Guri et al., 2024; Hansen et al., 2018; Lacoursière-Roussel et al., 2016; Ramírez-Amaro et al., 2022; Salter et al., 2026)","noteIndex":0}} </w:instrText>
      </w:r>
      <w:r>
        <w:fldChar w:fldCharType="separate"/>
      </w:r>
      <w:r>
        <w:rPr>
          <w:noProof/>
        </w:rPr>
        <w:t>(Guri et al., 2024; Hansen et al., 2018; Lacoursière-Roussel et al., 2016; Ramírez-Amaro et al., 2022; Salter et al., 2026)</w:t>
      </w:r>
      <w:r>
        <w:fldChar w:fldCharType="end"/>
      </w:r>
      <w:r>
        <w:t xml:space="preserve">. </w:t>
      </w:r>
    </w:p>
    <w:p w14:paraId="268170E8" w14:textId="77777777" w:rsidR="006640EB" w:rsidRDefault="00000000" w:rsidP="00E70B5B">
      <w:pPr>
        <w:pStyle w:val="BodyText"/>
      </w:pPr>
      <w:r>
        <w:t xml:space="preserve">For monitoring and management, the planner can be used to evaluate whether existing programs are matched to the objectives they are meant to serve, and to anticipate how effort may need to change if new target taxa are added. Such programs are required for marine protected areas and other regulated places, where increasing sampling effort has been shown to shorten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Because the planner converts a target error and length-scale into a sampling density, it can be used to size baseline surveys and before-after-control designs.</w:t>
      </w:r>
    </w:p>
    <w:p w14:paraId="79FCC4A4" w14:textId="4D69512D" w:rsidR="00107E75" w:rsidRDefault="00000000" w:rsidP="00E70B5B">
      <w:pPr>
        <w:pStyle w:val="BodyText"/>
      </w:pPr>
      <w:r>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w:t>
      </w:r>
      <w:r>
        <w:lastRenderedPageBreak/>
        <w:t xml:space="preserve">Coupling molecular tools with conventional surveys can add flexibility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2BDFF70F" w:rsidR="00107E75" w:rsidRDefault="00000000" w:rsidP="00E70B5B">
      <w:pPr>
        <w:pStyle w:val="BodyText"/>
      </w:pPr>
      <w:r>
        <w:t>For policy implementation, the planner offers a transparent and reproducible way to justify the sampling effort written into monitoring plans, survey proposals and funding requests, and its most direct use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(Sanchez et al., 2025). Spatially explicit eDNA maps can also identify biodiversity hotspots that coincide with documented regions of ecological significance, such as the Columbia River plume and Heceta Bank (Guri et al., 2025), and have been used to map the marine distribution of the eulachon a species listed as threatened under the U.S. Endangered Species Act, to augment recovery planning and potentially inform bycatch mitigation (Liu et al., 2026). Decisions about where to establish or adjust protected areas, closures or bycatch measures depend on how reliably such maps resolve the species of concern, and the planner makes that reliability explicit. Because patchy species need denser sampling than smoothly distributed ones to reach the same map accuracy, as the empirical example showed, a survey sized for the latter may be too sparse to delineate habitat for the former. Global targets for protected-area coverage emphasize the quantity of area protected over whether biodiversity is represented within it, which can lead to inefficient conservation action (He et al., 2023). Stating 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rsidP="00E70B5B">
      <w:pPr>
        <w:pStyle w:val="BodyText"/>
      </w:pPr>
    </w:p>
    <w:p w14:paraId="47706EA9" w14:textId="498D3786" w:rsidR="00D00D31" w:rsidRDefault="00000000" w:rsidP="00E70B5B">
      <w:pPr>
        <w:pStyle w:val="BodyText"/>
      </w:pPr>
      <w:r>
        <w:t xml:space="preserve">The planner is </w:t>
      </w:r>
      <w:r w:rsidR="005A2B11">
        <w:t xml:space="preserve">also </w:t>
      </w:r>
      <w:r>
        <w:t>designed to be adapted rather than applied as a fixed rule. Its coefficients can be edited, so that programs can substitute a calibration for their own region, taxa or assay by applying the workflow to their own data with the archived code, and the length-scales estimated here for 12 fish species can serve as starting priors until regional calibrations exist. Reporting estimated length-scales alongside concentration results would allow these priors to accumulate across surveys and regions. Natural extensions of the framework are to propagate uncertainty in the model coefficients into the recommended sampling density, to relax the stationary, isotropic kernel so that non-stationary, anisotropic or covariate-dependent spatial structure can be represented, and to link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E70B5B">
      <w:pPr>
        <w:pStyle w:val="BodyText"/>
      </w:pPr>
    </w:p>
    <w:p w14:paraId="34732D63" w14:textId="77777777" w:rsidR="00AB53F8" w:rsidRDefault="00AB53F8" w:rsidP="00E70B5B">
      <w:pPr>
        <w:pStyle w:val="BodyText"/>
      </w:pPr>
      <w:bookmarkStart w:id="19" w:name="OLE_LINK1"/>
      <w:bookmarkEnd w:id="18"/>
      <w:bookmarkEnd w:id="19"/>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E70B5B">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E70B5B">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E70B5B">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E70B5B">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E70B5B">
      <w:pPr>
        <w:pStyle w:val="BodyText"/>
      </w:pPr>
      <w:r>
        <w:t>The authors declare no conflicts of interest.</w:t>
      </w:r>
    </w:p>
    <w:p w14:paraId="5450AF37" w14:textId="77777777" w:rsidR="00DE3F70" w:rsidRDefault="00DE3F70" w:rsidP="00E70B5B">
      <w:pPr>
        <w:pStyle w:val="BodyText"/>
      </w:pPr>
    </w:p>
    <w:p w14:paraId="74B35DB3" w14:textId="77777777" w:rsidR="0032076E" w:rsidRPr="002877EE" w:rsidRDefault="00625110" w:rsidP="00411FC1">
      <w:pPr>
        <w:pStyle w:val="Heading1"/>
      </w:pPr>
      <w:bookmarkStart w:id="20" w:name="fig:mu_rho_N"/>
      <w:bookmarkStart w:id="21" w:name="appendix"/>
      <w:bookmarkEnd w:id="14"/>
      <w:bookmarkEnd w:id="15"/>
      <w:r>
        <w:t>References</w:t>
      </w:r>
    </w:p>
    <w:bookmarkEnd w:id="20"/>
    <w:bookmarkEnd w:id="21"/>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lastRenderedPageBreak/>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12D1D2BD" w14:textId="77777777" w:rsidR="001012B0" w:rsidRDefault="00000000">
      <w:pPr>
        <w:pStyle w:val="Bibliography"/>
        <w:rPr>
          <w:rFonts w:cs="Times New Roman"/>
        </w:rPr>
      </w:pPr>
      <w:r>
        <w:rPr>
          <w:rFonts w:cs="Times New Roman"/>
        </w:rPr>
        <w:t xml:space="preserve">Brandão-Dias, P. F., Shaffer, M., Guri, G., Parsons, K. M., Kelly, R. P., &amp; Allan, E. A. (2025). Differential decay of multiple environmental nucleic acid components. </w:t>
      </w:r>
      <w:r>
        <w:rPr>
          <w:rFonts w:cs="Times New Roman"/>
          <w:i/>
        </w:rPr>
        <w:t>Scientific Reports</w:t>
      </w:r>
      <w:r>
        <w:rPr>
          <w:rFonts w:cs="Times New Roman"/>
        </w:rPr>
        <w:t xml:space="preserve">, </w:t>
      </w:r>
      <w:r>
        <w:rPr>
          <w:rFonts w:cs="Times New Roman"/>
          <w:i/>
        </w:rPr>
        <w:t>15</w:t>
      </w:r>
      <w:r>
        <w:rPr>
          <w:rFonts w:cs="Times New Roman"/>
        </w:rPr>
        <w:t>(1), 26791. https://doi.org/10.1038/s41598-025-12916-5</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lastRenderedPageBreak/>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Quantitative, 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lastRenderedPageBreak/>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168E4B32" w14:textId="77777777" w:rsidR="001012B0" w:rsidRDefault="00000000">
      <w:pPr>
        <w:pStyle w:val="Bibliography"/>
        <w:rPr>
          <w:rFonts w:cs="Times New Roman"/>
        </w:rPr>
      </w:pPr>
      <w:r>
        <w:rPr>
          <w:rFonts w:cs="Times New Roman"/>
        </w:rPr>
        <w:t xml:space="preserve">Johnson, K., Edwards, A., Berger, A., Grandin, C., &amp; Wetzel, C. (2025). </w:t>
      </w:r>
      <w:r>
        <w:rPr>
          <w:rFonts w:cs="Times New Roman"/>
          <w:i/>
        </w:rPr>
        <w:t>Status of the Pacific Hake (whiting) stock in U.S. and Canadian waters in 2025</w:t>
      </w:r>
      <w:r>
        <w:rPr>
          <w:rFonts w:cs="Times New Roman"/>
        </w:rPr>
        <w:t>. NOAA National Marine Fisheries Service, Northwest Fisheries Science Center. https://doi.org/10.25923/B5XS-S331</w:t>
      </w:r>
    </w:p>
    <w:p w14:paraId="3506C935" w14:textId="77777777" w:rsidR="0092112F" w:rsidRPr="0092112F" w:rsidRDefault="0092112F" w:rsidP="000545D1">
      <w:pPr>
        <w:pStyle w:val="Bibliography"/>
        <w:rPr>
          <w:rFonts w:cs="Times New Roman"/>
        </w:rPr>
      </w:pPr>
      <w:r>
        <w:rPr>
          <w:rFonts w:cs="Times New Roman"/>
        </w:rPr>
        <w:lastRenderedPageBreak/>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w:t>
      </w:r>
      <w:r>
        <w:rPr>
          <w:rFonts w:cs="Times New Roman"/>
        </w:rPr>
        <w:lastRenderedPageBreak/>
        <w:t xml:space="preserve">(Thaleichthys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w:t>
      </w:r>
      <w:r>
        <w:rPr>
          <w:rFonts w:cs="Times New Roman"/>
        </w:rPr>
        <w:lastRenderedPageBreak/>
        <w:t xml:space="preserve">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lastRenderedPageBreak/>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lastRenderedPageBreak/>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E70B5B">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E70B5B">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xml:space="preserve">), and in Step 3 the resulting prediction errors are related to sampling effort and spatial autocorrelation. Three prediction errors are calculated, </w:t>
      </w:r>
      <w:proofErr w:type="spellStart"/>
      <w:r w:rsidRPr="0069152E">
        <w:rPr>
          <w:i/>
        </w:rPr>
        <w:t>ε</w:t>
      </w:r>
      <w:r>
        <w:rPr>
          <w:vertAlign w:val="subscript"/>
        </w:rPr>
        <w:t>sim</w:t>
      </w:r>
      <w:proofErr w:type="spellEnd"/>
      <w:r>
        <w:t xml:space="preserve"> and </w:t>
      </w:r>
      <w:r w:rsidRPr="0069152E">
        <w:rPr>
          <w:i/>
        </w:rPr>
        <w:t>ε</w:t>
      </w:r>
      <w:r>
        <w:rPr>
          <w:vertAlign w:val="subscript"/>
        </w:rPr>
        <w:t>sim,358</w:t>
      </w:r>
      <w:r>
        <w:t xml:space="preserve"> for the simulated data (using </w:t>
      </w:r>
      <w:r>
        <w:rPr>
          <w:i/>
        </w:rPr>
        <w:t>Z</w:t>
      </w:r>
      <w:r>
        <w:t xml:space="preserve"> and the prediction from 358 samples as the reference, respectively) and </w:t>
      </w:r>
      <w:proofErr w:type="spellStart"/>
      <w:r w:rsidRPr="0069152E">
        <w:rPr>
          <w:i/>
        </w:rPr>
        <w:t>ε</w:t>
      </w:r>
      <w:r>
        <w:rPr>
          <w:vertAlign w:val="subscript"/>
        </w:rPr>
        <w:t>obs</w:t>
      </w:r>
      <w:proofErr w:type="spellEnd"/>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E70B5B">
      <w:pPr>
        <w:pStyle w:val="BodyText"/>
      </w:pPr>
      <w:r>
        <w:rPr>
          <w:b/>
        </w:rPr>
        <w:t>Figure 3.</w:t>
      </w:r>
      <w:r>
        <w:t xml:space="preserve"> Prediction error (</w:t>
      </w:r>
      <w:proofErr w:type="spellStart"/>
      <w:r>
        <w:rPr>
          <w:i/>
        </w:rPr>
        <w:t>ε</w:t>
      </w:r>
      <w:r>
        <w:rPr>
          <w:vertAlign w:val="subscript"/>
        </w:rPr>
        <w:t>sim</w:t>
      </w:r>
      <w:proofErr w:type="spellEnd"/>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E70B5B">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proofErr w:type="spellStart"/>
      <w:r>
        <w:rPr>
          <w:i/>
        </w:rPr>
        <w:t>μ</w:t>
      </w:r>
      <w:r>
        <w:rPr>
          <w:vertAlign w:val="subscript"/>
        </w:rPr>
        <w:t>d</w:t>
      </w:r>
      <w:proofErr w:type="spellEnd"/>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E70B5B">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E70B5B">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E70B5B">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E70B5B">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E70B5B">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E70B5B">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344D4F" w14:textId="77777777" w:rsidR="00DD4B77" w:rsidRDefault="00DD4B77" w:rsidP="009A2297">
      <w:pPr>
        <w:spacing w:after="0"/>
      </w:pPr>
      <w:r>
        <w:separator/>
      </w:r>
    </w:p>
  </w:endnote>
  <w:endnote w:type="continuationSeparator" w:id="0">
    <w:p w14:paraId="3A945BD7" w14:textId="77777777" w:rsidR="00DD4B77" w:rsidRDefault="00DD4B77"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BEE79" w14:textId="77777777" w:rsidR="00DD4B77" w:rsidRDefault="00DD4B77" w:rsidP="009A2297">
      <w:pPr>
        <w:spacing w:after="0"/>
      </w:pPr>
      <w:r>
        <w:separator/>
      </w:r>
    </w:p>
  </w:footnote>
  <w:footnote w:type="continuationSeparator" w:id="0">
    <w:p w14:paraId="737E0B38" w14:textId="77777777" w:rsidR="00DD4B77" w:rsidRDefault="00DD4B77"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561"/>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67A37"/>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00A5"/>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18B7"/>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526"/>
    <w:rsid w:val="000F67DF"/>
    <w:rsid w:val="000F71FC"/>
    <w:rsid w:val="000F7C17"/>
    <w:rsid w:val="00100A8A"/>
    <w:rsid w:val="00100FD6"/>
    <w:rsid w:val="001012B0"/>
    <w:rsid w:val="001012ED"/>
    <w:rsid w:val="001016A0"/>
    <w:rsid w:val="00101BFB"/>
    <w:rsid w:val="00102D80"/>
    <w:rsid w:val="00103125"/>
    <w:rsid w:val="00105071"/>
    <w:rsid w:val="00106163"/>
    <w:rsid w:val="001062D5"/>
    <w:rsid w:val="001063EA"/>
    <w:rsid w:val="00106A43"/>
    <w:rsid w:val="00107481"/>
    <w:rsid w:val="00107A58"/>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1D"/>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4C1D"/>
    <w:rsid w:val="001D5C6C"/>
    <w:rsid w:val="001D6294"/>
    <w:rsid w:val="001D6DCB"/>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707"/>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24ED"/>
    <w:rsid w:val="002F4694"/>
    <w:rsid w:val="002F53D4"/>
    <w:rsid w:val="002F68A8"/>
    <w:rsid w:val="002F6B9D"/>
    <w:rsid w:val="003004DE"/>
    <w:rsid w:val="00300B06"/>
    <w:rsid w:val="0030120A"/>
    <w:rsid w:val="00301CEE"/>
    <w:rsid w:val="003029C3"/>
    <w:rsid w:val="00303831"/>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57809"/>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57EA"/>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0A2"/>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291A"/>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482"/>
    <w:rsid w:val="004C790D"/>
    <w:rsid w:val="004C7D1E"/>
    <w:rsid w:val="004D0AE1"/>
    <w:rsid w:val="004D0F65"/>
    <w:rsid w:val="004D0F66"/>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5B"/>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04FF"/>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0BF8"/>
    <w:rsid w:val="005A1D6F"/>
    <w:rsid w:val="005A2B11"/>
    <w:rsid w:val="005A2C98"/>
    <w:rsid w:val="005A2D43"/>
    <w:rsid w:val="005A387E"/>
    <w:rsid w:val="005A48FF"/>
    <w:rsid w:val="005A4BD9"/>
    <w:rsid w:val="005A5E64"/>
    <w:rsid w:val="005A6DEF"/>
    <w:rsid w:val="005A7757"/>
    <w:rsid w:val="005B03F9"/>
    <w:rsid w:val="005B12B8"/>
    <w:rsid w:val="005B1BAA"/>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0EB"/>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52E"/>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17B14"/>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2E01"/>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5EA"/>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8E4"/>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3341"/>
    <w:rsid w:val="00924509"/>
    <w:rsid w:val="00926073"/>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4A30"/>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A24"/>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2BAD"/>
    <w:rsid w:val="009A35F4"/>
    <w:rsid w:val="009A36EB"/>
    <w:rsid w:val="009A5D04"/>
    <w:rsid w:val="009A5D91"/>
    <w:rsid w:val="009A5E84"/>
    <w:rsid w:val="009A606B"/>
    <w:rsid w:val="009A6F98"/>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1C6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5EE6"/>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268E"/>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3188"/>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2E1"/>
    <w:rsid w:val="00C15E52"/>
    <w:rsid w:val="00C165C1"/>
    <w:rsid w:val="00C17112"/>
    <w:rsid w:val="00C210C6"/>
    <w:rsid w:val="00C2175D"/>
    <w:rsid w:val="00C22C74"/>
    <w:rsid w:val="00C25351"/>
    <w:rsid w:val="00C25FD6"/>
    <w:rsid w:val="00C2782F"/>
    <w:rsid w:val="00C30246"/>
    <w:rsid w:val="00C30665"/>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0248"/>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1E62"/>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E2C"/>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4B7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3C93"/>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4387"/>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B5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B62"/>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0FCC"/>
    <w:rsid w:val="00F92B57"/>
    <w:rsid w:val="00F92FBC"/>
    <w:rsid w:val="00F9313D"/>
    <w:rsid w:val="00F9341D"/>
    <w:rsid w:val="00F93441"/>
    <w:rsid w:val="00F93B4D"/>
    <w:rsid w:val="00F94F46"/>
    <w:rsid w:val="00F95A68"/>
    <w:rsid w:val="00F96E8D"/>
    <w:rsid w:val="00FA07DA"/>
    <w:rsid w:val="00FA0C03"/>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E70B5B"/>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E70B5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63</TotalTime>
  <Pages>41</Pages>
  <Words>27570</Words>
  <Characters>157150</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184352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45</cp:revision>
  <cp:lastPrinted>2026-10-03T04:14:00Z</cp:lastPrinted>
  <dcterms:created xsi:type="dcterms:W3CDTF">2026-10-06T01:01:00Z</dcterms:created>
  <dcterms:modified xsi:type="dcterms:W3CDTF">2026-10-06T06:30:00Z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