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DE2E40">
      <w:pPr>
        <w:pStyle w:val="BodyText"/>
      </w:pPr>
      <w:r>
        <w:rPr>
          <w:b/>
        </w:rPr>
        <w:t>Journal:</w:t>
      </w:r>
      <w:r>
        <w:t xml:space="preserve"> Ecological Applications</w:t>
      </w:r>
    </w:p>
    <w:p w14:paraId="75593CCD" w14:textId="77777777" w:rsidR="00BD1D03" w:rsidRDefault="00000000" w:rsidP="00DE2E40">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DE2E40">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DE2E40">
      <w:pPr>
        <w:pStyle w:val="BodyText"/>
      </w:pPr>
      <w:r>
        <w:rPr>
          <w:vertAlign w:val="superscript"/>
        </w:rPr>
        <w:t>1</w:t>
      </w:r>
      <w:r>
        <w:t>School of Marine and Environmental Affairs, University of Washington, Seattle, Washington, USA</w:t>
      </w:r>
    </w:p>
    <w:p w14:paraId="1194CBA9" w14:textId="77777777" w:rsidR="00BD1D03" w:rsidRDefault="00000000" w:rsidP="00DE2E40">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DE2E40">
      <w:pPr>
        <w:pStyle w:val="BodyText"/>
      </w:pPr>
      <w:r>
        <w:rPr>
          <w:vertAlign w:val="superscript"/>
        </w:rPr>
        <w:t>3</w:t>
      </w:r>
      <w:r>
        <w:t>School of Aquatic and Fishery Sciences, University of Washington, Seattle, Washington, USA</w:t>
      </w:r>
    </w:p>
    <w:p w14:paraId="3CA58A61" w14:textId="77777777" w:rsidR="00BD1D03" w:rsidRDefault="00000000" w:rsidP="00DE2E40">
      <w:pPr>
        <w:pStyle w:val="BodyText"/>
      </w:pPr>
      <w:r>
        <w:rPr>
          <w:vertAlign w:val="superscript"/>
        </w:rPr>
        <w:t>*</w:t>
      </w:r>
      <w:r>
        <w:t>Corresponding author. Email: gguri@uw.edu</w:t>
      </w:r>
    </w:p>
    <w:p w14:paraId="35BA781E" w14:textId="77777777" w:rsidR="00BD1D03" w:rsidRDefault="00000000" w:rsidP="00DE2E40">
      <w:pPr>
        <w:pStyle w:val="BodyText"/>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rsidP="00DE2E40">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3D15D2BE" w:rsidR="000D6CB9" w:rsidRDefault="00000000" w:rsidP="00DE2E40">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Pr>
          <w:rFonts w:cs="Times New Roman"/>
        </w:rPr>
        <w:t>The resulting</w:t>
      </w:r>
      <w:r>
        <w:t xml:space="preserve"> prediction </w:t>
      </w:r>
      <w:r>
        <w:rPr>
          <w:rFonts w:cs="Times New Roman"/>
        </w:rPr>
        <w:t>error</w:t>
      </w:r>
      <w:r>
        <w:t xml:space="preserve">s are summarized in an invertible error–effort equation that converts a target prediction error and a prior estimate of ρ into a minimum sampling density and is implemented in a free, browser-based survey planner. </w:t>
      </w:r>
      <w:r>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 Marginal gains in prediction accuracy became negligible </w:t>
      </w:r>
      <w:r>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for patchily distributed species (</w:t>
      </w:r>
      <w:r>
        <w:rPr>
          <w:i/>
        </w:rPr>
        <w:t>ρ</w:t>
      </w:r>
      <w:r>
        <w:t xml:space="preserve"> &lt; 50 km) </w:t>
      </w:r>
      <w:r>
        <w:rPr>
          <w:rFonts w:cs="Times New Roman"/>
        </w:rPr>
        <w:t>they became negligible only beyon</w:t>
      </w:r>
      <w:r>
        <w:t xml:space="preserve">d 8–11, </w:t>
      </w:r>
      <w:r>
        <w:rPr>
          <w:rFonts w:cs="Times New Roman"/>
        </w:rPr>
        <w:t>more than</w:t>
      </w:r>
      <w:r>
        <w:t xml:space="preserve"> twice the </w:t>
      </w:r>
      <w:r>
        <w:rPr>
          <w:rFonts w:cs="Times New Roman"/>
        </w:rPr>
        <w:t>sampling density</w:t>
      </w:r>
      <w:r>
        <w:t xml:space="preserve">. Error patterns in the simulations closely matched those in the observed data. </w:t>
      </w:r>
      <w:r>
        <w:rPr>
          <w:rFonts w:cs="Times New Roman"/>
        </w:rPr>
        <w:t>Together, these results show that the sampling effort needed to characterize a species’ distribution is not universal but depends on its spatial autocorrelation, and can therefore be specified in advance</w:t>
      </w:r>
      <w:r>
        <w:t>. The planner lets survey designers set defensible, species-specific effort before a cruise.</w:t>
      </w:r>
    </w:p>
    <w:p w14:paraId="5D886C7A" w14:textId="77777777" w:rsidR="003B5D12" w:rsidRPr="00915163" w:rsidRDefault="003B5D12" w:rsidP="00DE2E40">
      <w:pPr>
        <w:pStyle w:val="BodyText"/>
      </w:pPr>
    </w:p>
    <w:p w14:paraId="51CE0AFA" w14:textId="77777777" w:rsidR="0032076E" w:rsidRDefault="00D04708" w:rsidP="000545D1">
      <w:pPr>
        <w:pStyle w:val="Heading1"/>
        <w:spacing w:before="0" w:after="0" w:line="480" w:lineRule="auto"/>
      </w:pPr>
      <w:bookmarkStart w:id="1" w:name="introduction"/>
      <w:bookmarkEnd w:id="0"/>
      <w:r>
        <w:lastRenderedPageBreak/>
        <w:t>Introduction</w:t>
      </w:r>
    </w:p>
    <w:p w14:paraId="68880131" w14:textId="77777777" w:rsidR="00E656D3" w:rsidRDefault="00686350" w:rsidP="00DE2E40">
      <w:pPr>
        <w:pStyle w:val="BodyText"/>
      </w:pPr>
      <w:bookmarkStart w:id="2"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p w14:paraId="60979650" w14:textId="77777777" w:rsidR="00DC1B5E" w:rsidRDefault="00DC1B5E" w:rsidP="00DE2E40">
      <w:pPr>
        <w:pStyle w:val="BodyText"/>
      </w:pPr>
    </w:p>
    <w:bookmarkEnd w:id="2"/>
    <w:p w14:paraId="44A2B5FA" w14:textId="77777777" w:rsidR="00CE6B24" w:rsidRDefault="0066533A" w:rsidP="00DE2E40">
      <w:pPr>
        <w:pStyle w:val="BodyText"/>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5EE9C929" w14:textId="77777777" w:rsidR="00DC1B5E" w:rsidRDefault="00DC1B5E" w:rsidP="00DE2E40">
      <w:pPr>
        <w:pStyle w:val="BodyText"/>
      </w:pPr>
    </w:p>
    <w:p w14:paraId="312C175B" w14:textId="77777777" w:rsidR="00BF4A9D" w:rsidRDefault="00BF4A9D" w:rsidP="00DE2E40">
      <w:pPr>
        <w:pStyle w:val="BodyText"/>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xml:space="preserve">, this relationship exhibits diminishing returns where beyond a certain threshold, additional </w:t>
      </w:r>
      <w:r w:rsidRPr="00BF4A9D">
        <w:lastRenderedPageBreak/>
        <w:t>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7257B23" w14:textId="77777777" w:rsidR="00DC1B5E" w:rsidRDefault="00DC1B5E" w:rsidP="00DE2E40">
      <w:pPr>
        <w:pStyle w:val="BodyText"/>
      </w:pPr>
    </w:p>
    <w:p w14:paraId="0388C83E" w14:textId="1B30DD82" w:rsidR="00286ADA" w:rsidRDefault="00FC70CA" w:rsidP="00DE2E40">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Pr>
          <w:noProof/>
        </w:rPr>
        <w:t>(Fortin et al., 1989)</w:t>
      </w:r>
      <w:r w:rsidR="001365D9">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design guidance is rarely used unless it is accessible to those who plan surveys. Here we </w:t>
      </w:r>
      <w:r w:rsidR="00311F3F">
        <w:t>used</w:t>
      </w:r>
      <w:r>
        <w:t xml:space="preserve"> simulations</w:t>
      </w:r>
      <w:r w:rsidR="00311F3F">
        <w:t xml:space="preserve"> to</w:t>
      </w:r>
      <w:r>
        <w:t xml:space="preserve"> quantify how spatial autocorrelation and sampling effort affect the predictive accuracy of species distribution models and</w:t>
      </w:r>
      <w:r w:rsidR="00311F3F">
        <w:t xml:space="preserve"> secondary measure</w:t>
      </w:r>
      <w:r>
        <w:t xml:space="preserve"> </w:t>
      </w:r>
      <w:r w:rsidR="00311F3F">
        <w:t xml:space="preserve">the samples needed for estimating accurate </w:t>
      </w:r>
      <w:r>
        <w:t xml:space="preserve">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namely to provide survey planners with guidance that can be applied before a cruise, based on a prior estimate of the spatial autocorrelation of target taxa and the level of precision required. We describe the </w:t>
      </w:r>
      <w:r w:rsidR="008C354B">
        <w:lastRenderedPageBreak/>
        <w:t>underlying</w:t>
      </w:r>
      <w:r>
        <w:t xml:space="preserve"> method and the planner, evaluate them on simulated and empirical data, and outline applications to survey planning, monitoring and management.</w:t>
      </w:r>
    </w:p>
    <w:p w14:paraId="3C0075C8" w14:textId="77777777" w:rsidR="00F072A7" w:rsidRPr="00C36F1B" w:rsidRDefault="00F072A7" w:rsidP="00DE2E40">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DE2E40">
      <w:pPr>
        <w:pStyle w:val="BodyText"/>
      </w:pPr>
      <w:bookmarkStart w:id="5" w:name="simulated-edna-data"/>
      <w:r w:rsidRPr="007174DD">
        <w:t xml:space="preserve">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w:t>
      </w:r>
      <w:r w:rsidR="00922E7C">
        <w:t>“</w:t>
      </w:r>
      <w:r w:rsidRPr="007174DD">
        <w:t xml:space="preserve">eDNA </w:t>
      </w:r>
      <w:r w:rsidR="00922E7C">
        <w:t>s</w:t>
      </w:r>
      <w:r w:rsidRPr="007174DD">
        <w:t xml:space="preserve">urvey </w:t>
      </w:r>
      <w:r w:rsidR="00922E7C">
        <w:t>p</w:t>
      </w:r>
      <w:r w:rsidRPr="007174DD">
        <w:t>lanner</w:t>
      </w:r>
      <w:r w:rsidR="00922E7C">
        <w:t>”</w:t>
      </w:r>
      <w:r w:rsidRPr="007174DD">
        <w:t>, so that end users need only a prior estimate of spatial autocorrelation and a target error. The same workflow is also applied to observed eDNA data to benchmark the simulations against real fields. We describe each step generically, giving the values used in the case study where relevant. The results of the simulations are reported first (Method performance), followed by the empirical case study, which checks the simulations against real fields and demonstrates the planner on an existing survey.</w:t>
      </w:r>
    </w:p>
    <w:p w14:paraId="119AEB16" w14:textId="77777777" w:rsidR="00522BE6" w:rsidRPr="007174DD" w:rsidRDefault="00522BE6" w:rsidP="00DE2E40">
      <w:pPr>
        <w:pStyle w:val="BodyText"/>
      </w:pPr>
    </w:p>
    <w:p w14:paraId="59C9A8B7" w14:textId="77777777" w:rsidR="000D6CB9" w:rsidRDefault="00000000" w:rsidP="000545D1">
      <w:pPr>
        <w:pStyle w:val="Heading2"/>
        <w:spacing w:before="0" w:after="0" w:line="480" w:lineRule="auto"/>
      </w:pPr>
      <w:r>
        <w:lastRenderedPageBreak/>
        <w:t>Modelling framework: Gaussian processes</w:t>
      </w:r>
    </w:p>
    <w:p w14:paraId="285A475A" w14:textId="77777777" w:rsidR="000D6CB9" w:rsidRDefault="00000000" w:rsidP="00DE2E40">
      <w:pPr>
        <w:pStyle w:val="BodyText"/>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rsidP="00DE2E40">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DE2E40">
      <w:pPr>
        <w:pStyle w:val="FirstParagraph"/>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rsidP="00DE2E40">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DE2E40">
      <w:pPr>
        <w:pStyle w:val="FirstParagraph"/>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66038040" w14:textId="77777777" w:rsidR="00DC1B5E" w:rsidRPr="00DC1B5E" w:rsidRDefault="00DC1B5E" w:rsidP="00DE2E40">
      <w:pPr>
        <w:pStyle w:val="BodyText"/>
      </w:pPr>
    </w:p>
    <w:p w14:paraId="52F60017" w14:textId="77777777" w:rsidR="00B64EDC" w:rsidRPr="00E33848" w:rsidRDefault="00B64EDC" w:rsidP="000545D1">
      <w:pPr>
        <w:pStyle w:val="Heading2"/>
        <w:spacing w:before="0" w:after="0" w:line="480" w:lineRule="auto"/>
      </w:pPr>
      <w:r w:rsidRPr="00E33848">
        <w:t xml:space="preserve">Step 0: </w:t>
      </w:r>
      <w:r w:rsidRPr="00F072A7">
        <w:t>Generating the simulated</w:t>
      </w:r>
      <w:r w:rsidRPr="00E33848">
        <w:t xml:space="preserve"> spatial field</w:t>
      </w:r>
    </w:p>
    <w:p w14:paraId="096EC31D" w14:textId="4E00C076" w:rsidR="00B64EDC" w:rsidRPr="007174DD" w:rsidRDefault="00B64EDC" w:rsidP="00DE2E40">
      <w:pPr>
        <w:pStyle w:val="BodyText"/>
      </w:pPr>
      <w:r w:rsidRPr="007174DD">
        <w:t>We generated in-silico eDNA concentration data using the GP model (Eq. 1-2) across the same spatial domain and prediction grid (Q) used in the empirical analysis.</w:t>
      </w:r>
      <w:r w:rsidR="00E33848" w:rsidRPr="007174DD">
        <w:t xml:space="preserve"> We defined this grid (Q) as 18,916 discrete point estimates, representing the centroids of approximately 8 × 8 km spatial cells </w:t>
      </w:r>
      <w:r w:rsidR="00E33848" w:rsidRPr="007174DD">
        <w:lastRenderedPageBreak/>
        <w:t>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DE2E40">
      <w:pPr>
        <w:pStyle w:val="BodyText"/>
      </w:pPr>
    </w:p>
    <w:p w14:paraId="45CD38B0" w14:textId="087B45AA" w:rsidR="00B64EDC" w:rsidRPr="007174DD" w:rsidRDefault="00B64EDC" w:rsidP="00DE2E40">
      <w:pPr>
        <w:pStyle w:val="BodyText"/>
      </w:pPr>
      <w:r w:rsidRPr="007174DD">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sidRPr="007174DD">
        <w:rPr>
          <w:rFonts w:ascii="Cambria Math" w:hAnsi="Cambria Math" w:cs="Cambria Math"/>
        </w:rPr>
        <w:t>𝜌</w:t>
      </w:r>
      <w:r w:rsidRPr="007174DD">
        <w:t xml:space="preserve"> levels × 20 replicates; Appendix S1: Table S1). Similar to GP inference of the empirical data, within each simulation, ρ 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Pr="007174DD" w:rsidRDefault="00E33848" w:rsidP="00DE2E40">
      <w:pPr>
        <w:pStyle w:val="BodyText"/>
      </w:pPr>
    </w:p>
    <w:p w14:paraId="5746DDA3" w14:textId="05A8D3FF" w:rsidR="00E33848" w:rsidRPr="007174DD" w:rsidRDefault="00B64EDC" w:rsidP="00DE2E40">
      <w:pPr>
        <w:pStyle w:val="BodyText"/>
      </w:pPr>
      <w:r w:rsidRPr="007174DD">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w:t>
      </w:r>
      <w:r w:rsidR="00E33848" w:rsidRPr="007174DD">
        <w:t>, which constitutes the data used for all downstream analyses</w:t>
      </w:r>
      <w:r w:rsidRPr="007174DD">
        <w:t>.</w:t>
      </w:r>
    </w:p>
    <w:p w14:paraId="071BE2AE" w14:textId="77777777" w:rsidR="00E33848" w:rsidRPr="00B64EDC" w:rsidRDefault="00E33848" w:rsidP="00DE2E40">
      <w:pPr>
        <w:pStyle w:val="BodyText"/>
      </w:pPr>
    </w:p>
    <w:p w14:paraId="4B10609F" w14:textId="37A4A9A9" w:rsidR="00A15ACC" w:rsidRPr="008D73E1" w:rsidRDefault="00162082" w:rsidP="000545D1">
      <w:pPr>
        <w:pStyle w:val="Heading2"/>
        <w:spacing w:line="480" w:lineRule="auto"/>
      </w:pPr>
      <w:r>
        <w:t xml:space="preserve">Step 1: Estimating </w:t>
      </w:r>
      <w:r w:rsidR="002A2A47">
        <w:t xml:space="preserve">GP-field </w:t>
      </w:r>
      <w:r>
        <w:t>spatial structure</w:t>
      </w:r>
    </w:p>
    <w:p w14:paraId="4E577FE3" w14:textId="3F69F0F6" w:rsidR="00D94C80" w:rsidRDefault="0039223E" w:rsidP="00DE2E40">
      <w:pPr>
        <w:pStyle w:val="BodyText"/>
      </w:pPr>
      <w:r>
        <w:t xml:space="preserve">Given </w:t>
      </w:r>
      <w:r w:rsidR="00E33848">
        <w:t xml:space="preserve">simulated </w:t>
      </w:r>
      <w:r>
        <w:t>log eDNA concentration values (</w:t>
      </w:r>
      <w:r>
        <w:rPr>
          <w:i/>
          <w:iCs/>
        </w:rPr>
        <w:t>Y</w:t>
      </w:r>
      <w:r>
        <w:t>) paired with spatial coordinates (</w:t>
      </w:r>
      <w:r>
        <w:rPr>
          <w:i/>
          <w:iCs/>
        </w:rPr>
        <w:t>X</w:t>
      </w:r>
      <w:r>
        <w:t xml:space="preserve">) for each sampling location </w:t>
      </w:r>
      <w:r w:rsidR="00E33848">
        <w:t>(x; N = 4,000 per simulated field)</w:t>
      </w:r>
      <w:r>
        <w:t xml:space="preserve">, we used the GP model (Eq. 1–2) to infer the </w:t>
      </w:r>
      <w:r>
        <w:lastRenderedPageBreak/>
        <w:t>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DE2E40">
      <w:pPr>
        <w:pStyle w:val="BodyText"/>
      </w:pPr>
      <w:r>
        <w:t>To predict the eDNA concentrations (Z) across the spatial prediction grid (Q) for a given simulated field</w:t>
      </w:r>
      <w:r w:rsidR="007A35C1">
        <w:t xml:space="preserve">, </w:t>
      </w:r>
      <w:r w:rsidR="00E0592E">
        <w:t>we</w:t>
      </w:r>
      <w:r w:rsidR="007A35C1" w:rsidRPr="00D83BC6">
        <w:t xml:space="preserve"> compute the covariance matrix among observed locations, </w:t>
      </w:r>
      <w:r w:rsidR="000B4F85" w:rsidRPr="000B4F85">
        <w:rPr>
          <w:b/>
          <w:i/>
          <w:iCs/>
        </w:rPr>
        <w:t>K</w:t>
      </w:r>
      <w:r w:rsidR="000B4F85" w:rsidRPr="000B4F85">
        <w:rPr>
          <w:i/>
          <w:iCs/>
        </w:rPr>
        <w:t>(X,X</w:t>
      </w:r>
      <w:r w:rsidR="004F0C90">
        <w:rPr>
          <w:i/>
          <w:iCs/>
        </w:rPr>
        <w:t>’</w:t>
      </w:r>
      <w:r w:rsidR="000B4F85" w:rsidRPr="000B4F85">
        <w:rPr>
          <w:i/>
          <w:iCs/>
        </w:rPr>
        <w:t>)</w:t>
      </w:r>
      <w:r w:rsidR="000B4F85" w:rsidRPr="00EC1F08">
        <w:t>,</w:t>
      </w:r>
      <w:r w:rsidR="000B4F85">
        <w:t xml:space="preserve"> </w:t>
      </w:r>
      <w:r w:rsidR="007A35C1" w:rsidRPr="00D83BC6">
        <w:t xml:space="preserve">using the squared exponential kernel and the </w:t>
      </w:r>
      <w:r w:rsidR="00FC5E1D">
        <w:t>non-spatial variance term</w:t>
      </w:r>
      <w:r w:rsidR="007A35C1" w:rsidRPr="00D83BC6">
        <w:t xml:space="preserve"> (</w:t>
      </w:r>
      <w:r w:rsidR="000B4F85" w:rsidRPr="000B4F85">
        <w:rPr>
          <w:i/>
          <w:iCs/>
          <w:lang w:val="el-GR"/>
        </w:rPr>
        <w:t>σ</w:t>
      </w:r>
      <w:r w:rsidR="000B4F85" w:rsidRPr="000B4F85">
        <w:rPr>
          <w:i/>
          <w:iCs/>
          <w:vertAlign w:val="superscript"/>
        </w:rPr>
        <w:t>2</w:t>
      </w:r>
      <w:r w:rsidR="000B4F85" w:rsidRPr="000B4F85">
        <w:rPr>
          <w:b/>
          <w:i/>
          <w:iCs/>
        </w:rPr>
        <w:t>I</w:t>
      </w:r>
      <w:r w:rsidR="007A35C1" w:rsidRPr="00D83BC6">
        <w:t>)</w:t>
      </w:r>
      <w:r w:rsidR="007A35C1">
        <w:t xml:space="preserve">. Using the </w:t>
      </w:r>
      <w:r w:rsidR="007A35C1" w:rsidRPr="00D83BC6">
        <w:t>Cholesky decompos</w:t>
      </w:r>
      <w:r w:rsidR="007A35C1">
        <w:t>ition</w:t>
      </w:r>
      <w:r w:rsidR="007A35C1" w:rsidRPr="00D83BC6">
        <w:t xml:space="preserve"> </w:t>
      </w:r>
      <w:r w:rsidR="000E3CB4">
        <w:t>we</w:t>
      </w:r>
      <w:r w:rsidR="007A35C1" w:rsidRPr="00D83BC6">
        <w:t xml:space="preserve"> solve</w:t>
      </w:r>
      <w:r w:rsidR="000E3CB4">
        <w:t>d</w:t>
      </w:r>
      <w:r w:rsidR="007A35C1" w:rsidRPr="00D83BC6">
        <w:t xml:space="preserve"> </w:t>
      </w:r>
      <w:r w:rsidR="00FC5E1D">
        <w:t>for (</w:t>
      </w:r>
      <w:r w:rsidR="00FC5E1D" w:rsidRPr="00FC5E1D">
        <w:rPr>
          <w:b/>
          <w:i/>
          <w:iCs/>
        </w:rPr>
        <w:t>K</w:t>
      </w:r>
      <w:r w:rsidR="00771760" w:rsidRPr="00771760">
        <w:rPr>
          <w:i/>
          <w:iCs/>
        </w:rPr>
        <w:t>(X,X</w:t>
      </w:r>
      <w:r w:rsidR="00AF746C">
        <w:rPr>
          <w:i/>
          <w:iCs/>
        </w:rPr>
        <w:t>’</w:t>
      </w:r>
      <w:r w:rsidR="00771760" w:rsidRPr="00771760">
        <w:rPr>
          <w:i/>
          <w:iCs/>
        </w:rPr>
        <w:t>)</w:t>
      </w:r>
      <w:r w:rsidR="00FC5E1D" w:rsidRPr="00FC5E1D">
        <w:rPr>
          <w:i/>
          <w:iCs/>
        </w:rPr>
        <w:t xml:space="preserve"> + </w:t>
      </w:r>
      <w:r w:rsidR="00FC5E1D" w:rsidRPr="00FC5E1D">
        <w:rPr>
          <w:i/>
          <w:iCs/>
          <w:lang w:val="el-GR"/>
        </w:rPr>
        <w:t>σ</w:t>
      </w:r>
      <w:r w:rsidR="00FC5E1D" w:rsidRPr="00FC5E1D">
        <w:rPr>
          <w:i/>
          <w:iCs/>
          <w:vertAlign w:val="superscript"/>
        </w:rPr>
        <w:t>2</w:t>
      </w:r>
      <w:r w:rsidR="00FC5E1D" w:rsidRPr="00FC5E1D">
        <w:rPr>
          <w:b/>
          <w:i/>
          <w:iCs/>
        </w:rPr>
        <w:t>I</w:t>
      </w:r>
      <w:r w:rsidR="00FC5E1D">
        <w:t>)</w:t>
      </w:r>
      <w:r w:rsidR="00FC5E1D" w:rsidRPr="00FC5E1D">
        <w:rPr>
          <w:vertAlign w:val="superscript"/>
        </w:rPr>
        <w:t>-1</w:t>
      </w:r>
      <w:r w:rsidR="00FC5E1D">
        <w:t>(</w:t>
      </w:r>
      <w:r w:rsidR="00FC5E1D" w:rsidRPr="00FC5E1D">
        <w:rPr>
          <w:i/>
          <w:iCs/>
        </w:rPr>
        <w:t xml:space="preserve">Y - </w:t>
      </w:r>
      <w:r w:rsidR="00FC5E1D" w:rsidRPr="00FC5E1D">
        <w:rPr>
          <w:i/>
          <w:iCs/>
          <w:lang w:val="el-GR"/>
        </w:rPr>
        <w:t>μ</w:t>
      </w:r>
      <w:r w:rsidR="00FC5E1D" w:rsidRPr="00FC5E1D">
        <w:rPr>
          <w:i/>
          <w:iCs/>
          <w:vertAlign w:val="subscript"/>
        </w:rPr>
        <w:t>d</w:t>
      </w:r>
      <w:r w:rsidR="00FC5E1D">
        <w:t xml:space="preserve">) and </w:t>
      </w:r>
      <w:r w:rsidR="007A35C1">
        <w:t xml:space="preserve">we </w:t>
      </w:r>
      <w:r w:rsidR="007A35C1" w:rsidRPr="00D83BC6">
        <w:t>combine</w:t>
      </w:r>
      <w:r w:rsidR="000E3CB4">
        <w:t>d</w:t>
      </w:r>
      <w:r w:rsidR="007A35C1" w:rsidRPr="00D83BC6">
        <w:t xml:space="preserve"> it with the cross-covariance between observed and prediction points,</w:t>
      </w:r>
      <w:r w:rsidR="00FC5E1D">
        <w:t xml:space="preserve"> </w:t>
      </w:r>
      <w:r w:rsidR="00FC5E1D" w:rsidRPr="00FC5E1D">
        <w:rPr>
          <w:b/>
          <w:i/>
          <w:iCs/>
        </w:rPr>
        <w:t>K</w:t>
      </w:r>
      <w:r w:rsidR="00FC5E1D" w:rsidRPr="00FC5E1D">
        <w:rPr>
          <w:i/>
          <w:iCs/>
        </w:rPr>
        <w:t>(X,Q)</w:t>
      </w:r>
      <w:r w:rsidR="007A35C1" w:rsidRPr="00D83BC6">
        <w:t xml:space="preserve">, to yield the </w:t>
      </w:r>
      <w:r>
        <w:t>predictions (Z) at each</w:t>
      </w:r>
      <w:r w:rsidR="00FC5E1D">
        <w:t xml:space="preserve"> </w:t>
      </w:r>
      <w:r w:rsidR="00E93A41">
        <w:t xml:space="preserve">spatial </w:t>
      </w:r>
      <w:r w:rsidR="00FC5E1D">
        <w:t>point (</w:t>
      </w:r>
      <w:r w:rsidR="00FC5E1D" w:rsidRPr="00FC5E1D">
        <w:rPr>
          <w:i/>
          <w:iCs/>
        </w:rPr>
        <w:t>Q</w:t>
      </w:r>
      <w:r w:rsidR="00FC5E1D">
        <w:t>)</w:t>
      </w:r>
      <w:r w:rsidR="007A35C1" w:rsidRPr="00D83BC6">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rsidRPr="00AF0FEF">
        <w:rPr>
          <w:rFonts w:ascii="Times New Roman" w:eastAsia="Times New Roman" w:hAnsi="Times New Roman" w:cs="Times New Roman"/>
        </w:rPr>
        <w:t>The resulting predicted field (Z) served as the “true” spatial field against which all subsequent reduced-effort predictions were compared (Figure 2A)</w:t>
      </w:r>
      <w:r>
        <w:rPr>
          <w:rFonts w:ascii="Times New Roman" w:eastAsia="Times New Roman" w:hAnsi="Times New Roman" w:cs="Times New Roman"/>
        </w:rPr>
        <w:t>.</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t xml:space="preserve">Step 2: </w:t>
      </w:r>
      <w:r w:rsidR="002A2A47">
        <w:t>Estimating</w:t>
      </w:r>
      <w:r>
        <w:t xml:space="preserve"> </w:t>
      </w:r>
      <w:r w:rsidR="002A2A47">
        <w:t xml:space="preserve">prediction error </w:t>
      </w:r>
      <w:r>
        <w:t>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sidR="00E33848">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6609BF6F" w:rsidR="005E3F20" w:rsidRDefault="005E3F20" w:rsidP="000545D1">
      <w:pPr>
        <w:pStyle w:val="p1"/>
        <w:spacing w:before="0" w:beforeAutospacing="0" w:after="0" w:afterAutospacing="0" w:line="480" w:lineRule="auto"/>
        <w:ind w:firstLine="720"/>
      </w:pPr>
      <w:r>
        <w:rPr>
          <w:rStyle w:val="s2"/>
        </w:rPr>
        <w:lastRenderedPageBreak/>
        <w:t xml:space="preserve">where </w:t>
      </w:r>
      <w:r>
        <w:rPr>
          <w:rStyle w:val="s2"/>
          <w:i/>
          <w:iCs/>
        </w:rPr>
        <w:t>A</w:t>
      </w:r>
      <w:r>
        <w:rPr>
          <w:rStyle w:val="s2"/>
        </w:rPr>
        <w:t xml:space="preserve"> is the spatial area of the study domain (</w:t>
      </w:r>
      <w:r w:rsidR="002A2A47">
        <w:rPr>
          <w:rStyle w:val="s2"/>
        </w:rPr>
        <w:t xml:space="preserve">~ </w:t>
      </w:r>
      <w:r>
        <w:rPr>
          <w:rStyle w:val="s2"/>
        </w:rPr>
        <w:t>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t>For each model prediction, we calculate</w:t>
      </w:r>
      <w:r w:rsidR="004834A6">
        <w:t>d</w:t>
      </w:r>
      <w:r>
        <w:t xml:space="preserve"> the prediction error (</w:t>
      </w:r>
      <w:r w:rsidR="00D42BF7">
        <w:rPr>
          <w:i/>
        </w:rPr>
        <w:t>ε</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E33848">
        <w:rPr>
          <w:rStyle w:val="s2"/>
        </w:rPr>
        <w:t>Figure 2</w:t>
      </w:r>
      <w:r w:rsidR="00254D82">
        <w:t>)</w:t>
      </w:r>
      <w:r>
        <w:t>:</w:t>
      </w:r>
    </w:p>
    <w:p w14:paraId="0C28F593" w14:textId="5A836460" w:rsidR="008C05CD" w:rsidRPr="001F75CE" w:rsidRDefault="00000000" w:rsidP="00DE2E40">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DE2E40">
      <w:pPr>
        <w:pStyle w:val="BodyText"/>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Here, </w:t>
      </w:r>
      <w:r>
        <w:rPr>
          <w:i/>
        </w:rPr>
        <w:t>ε</w:t>
      </w:r>
      <w:r>
        <w:rPr>
          <w:vertAlign w:val="subscript"/>
        </w:rPr>
        <w:t>sim</w:t>
      </w:r>
      <w:r>
        <w:t xml:space="preserve"> | </w:t>
      </w:r>
      <w:r>
        <w:rPr>
          <w:i/>
        </w:rPr>
        <w:t>E</w:t>
      </w:r>
      <w:r>
        <w:t xml:space="preserve"> denotes the prediction error of the simulated fields at sampling density </w:t>
      </w:r>
      <w:r>
        <w:rPr>
          <w:i/>
        </w:rPr>
        <w:t>E</w:t>
      </w:r>
      <w:r>
        <w:t xml:space="preserve">, and </w:t>
      </w:r>
      <w:r>
        <w:rPr>
          <w:i/>
        </w:rPr>
        <w:t>ε</w:t>
      </w:r>
      <w:r>
        <w:rPr>
          <w:vertAlign w:val="subscript"/>
        </w:rPr>
        <w:t>obs</w:t>
      </w:r>
      <w:r>
        <w:t xml:space="preserve"> | </w:t>
      </w:r>
      <w:r>
        <w:rPr>
          <w:i/>
        </w:rPr>
        <w:t>E</w:t>
      </w:r>
      <w:r>
        <w:t xml:space="preserve"> the prediction error of the observed data at sampling density </w:t>
      </w:r>
      <w:r>
        <w:rPr>
          <w:i/>
        </w:rPr>
        <w:t>E</w:t>
      </w:r>
      <w:r>
        <w:t xml:space="preserve">; hereafter we write </w:t>
      </w:r>
      <w:r>
        <w:rPr>
          <w:i/>
        </w:rPr>
        <w:t>ε</w:t>
      </w:r>
      <w:r>
        <w:rPr>
          <w:vertAlign w:val="subscript"/>
        </w:rPr>
        <w:t>sim</w:t>
      </w:r>
      <w:r>
        <w:t xml:space="preserve"> and </w:t>
      </w:r>
      <w:r>
        <w:rPr>
          <w:i/>
        </w:rPr>
        <w:t>ε</w:t>
      </w:r>
      <w:r>
        <w:rPr>
          <w:vertAlign w:val="subscript"/>
        </w:rPr>
        <w:t>obs</w:t>
      </w:r>
      <w:r>
        <w:t>.</w:t>
      </w:r>
    </w:p>
    <w:p w14:paraId="3EFB1FFC" w14:textId="77777777" w:rsidR="006270E0" w:rsidRDefault="006270E0" w:rsidP="00DE2E40">
      <w:pPr>
        <w:pStyle w:val="BodyText"/>
      </w:pPr>
    </w:p>
    <w:p w14:paraId="3CC2BDB0" w14:textId="4B99CDE7" w:rsidR="00DF1848" w:rsidRDefault="00DF1848" w:rsidP="00DE2E40">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DE2E40">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t xml:space="preserve">Step </w:t>
      </w:r>
      <w:r w:rsidR="00DF1848">
        <w:t>3</w:t>
      </w:r>
      <w:r>
        <w:t xml:space="preserve">: </w:t>
      </w:r>
      <w:r w:rsidR="009E38DC">
        <w:t>Linking prediction error to sampling effort and spatial autocorrelation</w:t>
      </w:r>
      <w:r>
        <w:t xml:space="preserve"> </w:t>
      </w:r>
    </w:p>
    <w:p w14:paraId="7AEB3502" w14:textId="04E5AA93" w:rsidR="00F65D5F" w:rsidRDefault="00C0694F" w:rsidP="00DE2E40">
      <w:pPr>
        <w:pStyle w:val="BodyText"/>
      </w:pPr>
      <w:r w:rsidRPr="00C0694F">
        <w:t xml:space="preserve">To examine how sampling effort and spatial autocorrelation jointly shape prediction error, we fit a log-linear model to </w:t>
      </w:r>
      <w:r w:rsidR="00E33848">
        <w:t>the simulated prediction errors (ε)</w:t>
      </w:r>
      <w:r w:rsidRPr="00C0694F">
        <w:t>, isolating each factor's contribution.</w:t>
      </w:r>
    </w:p>
    <w:p w14:paraId="2C5D7D99" w14:textId="77777777" w:rsidR="007D39EF" w:rsidRPr="007D39EF" w:rsidRDefault="007D39EF" w:rsidP="00DE2E40">
      <w:pPr>
        <w:pStyle w:val="FirstParagraph"/>
      </w:pPr>
      <w:bookmarkStart w:id="7"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DE2E40">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DE2E40">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506A4F7D" w14:textId="47221097" w:rsidR="009E38DC" w:rsidRDefault="009E38DC" w:rsidP="00DE2E40">
      <w:pPr>
        <w:pStyle w:val="BodyText"/>
      </w:pPr>
    </w:p>
    <w:p w14:paraId="5FB06672" w14:textId="4F6AD496" w:rsidR="00082BC7" w:rsidRPr="009E38DC" w:rsidRDefault="009E38DC" w:rsidP="00D328B7">
      <w:pPr>
        <w:pStyle w:val="Heading2"/>
      </w:pPr>
      <w:r w:rsidRPr="009E38DC">
        <w:t>Solving for the sampling density</w:t>
      </w:r>
    </w:p>
    <w:p w14:paraId="0D570EF1" w14:textId="6A7FEB69" w:rsidR="00BD1D03" w:rsidRPr="00DD566F" w:rsidRDefault="00000000" w:rsidP="00DE2E40">
      <w:pPr>
        <w:pStyle w:val="BodyText"/>
      </w:pPr>
      <w:r>
        <w:t xml:space="preserve">For a given </w:t>
      </w:r>
      <w:r>
        <w:rPr>
          <w:i/>
        </w:rPr>
        <w:t>ρ</w:t>
      </w:r>
      <w:r w:rsidR="006011D6" w:rsidRPr="00FA4C5C">
        <w:t xml:space="preserve"> and a stated tolerance for prediction error (ε*, the level of error the manager is willing to accept)</w:t>
      </w:r>
      <w:r>
        <w:t xml:space="preserve">, Eq. 6 reduces to a power law in </w:t>
      </w:r>
      <w:r>
        <w:rPr>
          <w:i/>
        </w:rPr>
        <w:t>E</w:t>
      </w:r>
      <w:r>
        <w:t xml:space="preserve"> that can be inverted to return the minimum sampling density (</w:t>
      </w:r>
      <w:r>
        <w:rPr>
          <w:i/>
        </w:rPr>
        <w:t>E</w:t>
      </w:r>
      <w:r>
        <w:rPr>
          <w:vertAlign w:val="superscript"/>
        </w:rPr>
        <w:t>*</w:t>
      </w:r>
      <w:r>
        <w:t xml:space="preserve">) </w:t>
      </w:r>
      <w:r w:rsidR="006011D6">
        <w:t>required to achieve that target error:</w:t>
      </w:r>
    </w:p>
    <w:p w14:paraId="5FE4D9C3" w14:textId="77777777" w:rsidR="00BD1D03" w:rsidRDefault="00000000" w:rsidP="00DE2E40">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4E5B1DB0" w:rsidR="00BD1D03" w:rsidRDefault="006011D6" w:rsidP="00DE2E40">
      <w:pPr>
        <w:pStyle w:val="BodyText"/>
      </w:pPr>
      <w:r>
        <w:t>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w:t>
      </w:r>
      <w:r w:rsidR="00DF1848">
        <w:t xml:space="preserve"> However, here we focus only on a single value, which is based on the mean.</w:t>
      </w:r>
      <w:r>
        <w:t xml:space="preserve"> The same relationship can </w:t>
      </w:r>
      <w:r w:rsidR="00DF1848">
        <w:t xml:space="preserve">also </w:t>
      </w:r>
      <w:r>
        <w:t>be run in reverse</w:t>
      </w:r>
      <w:r w:rsidR="00DF1848">
        <w:t>, so that a</w:t>
      </w:r>
      <w:r>
        <w:t xml:space="preserve"> fixed budget of </w:t>
      </w:r>
      <w:r>
        <w:rPr>
          <w:i/>
        </w:rPr>
        <w:t>N</w:t>
      </w:r>
      <w:r w:rsidR="00DF1848">
        <w:rPr>
          <w:vertAlign w:val="subscript"/>
        </w:rPr>
        <w:t>H</w:t>
      </w:r>
      <w:r>
        <w:t xml:space="preserve"> samples per stratum supports a survey area of 10,000 </w:t>
      </w:r>
      <w:r>
        <w:rPr>
          <w:i/>
        </w:rPr>
        <w:t>N</w:t>
      </w:r>
      <w:r w:rsidR="00DF1848">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p w14:paraId="10C9B71F" w14:textId="77777777" w:rsidR="00D30B74" w:rsidRDefault="00D30B74" w:rsidP="00DE2E40">
      <w:pPr>
        <w:pStyle w:val="BodyText"/>
      </w:pPr>
    </w:p>
    <w:p w14:paraId="7A53D419" w14:textId="6677071C" w:rsidR="007C0AAD" w:rsidRDefault="00F869DE" w:rsidP="00DE2E40">
      <w:pPr>
        <w:pStyle w:val="BodyText"/>
      </w:pPr>
      <w:bookmarkStart w:id="8" w:name="OLE_LINK7"/>
      <w:bookmarkEnd w:id="7"/>
      <w:bookmarkEnd w:id="8"/>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rsidR="00C732FD">
          <w:rPr>
            <w:noProof/>
          </w:rPr>
          <w:t>10/2/26 9:14:00 PM</w:t>
        </w:r>
      </w:fldSimple>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600981F" w14:textId="77777777" w:rsidR="00D42BF7" w:rsidRDefault="00D42BF7" w:rsidP="00DE2E40">
      <w:pPr>
        <w:pStyle w:val="BodyText"/>
      </w:pPr>
    </w:p>
    <w:p w14:paraId="0C678238" w14:textId="77777777" w:rsidR="000533E5" w:rsidRDefault="00000000" w:rsidP="000545D1">
      <w:pPr>
        <w:pStyle w:val="Heading1"/>
        <w:spacing w:before="0" w:after="0" w:line="480" w:lineRule="auto"/>
      </w:pPr>
      <w:r>
        <w:t>Method performance: simulation results</w:t>
      </w:r>
    </w:p>
    <w:p w14:paraId="79FB5962" w14:textId="77777777" w:rsidR="000533E5" w:rsidRDefault="00000000" w:rsidP="00DE2E40">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DE2E40">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DE2E40">
      <w:pPr>
        <w:pStyle w:val="BodyText"/>
      </w:pPr>
      <w:r>
        <w:t>Prediction error in simulation data (</w:t>
      </w:r>
      <w:r>
        <w:rPr>
          <w:i/>
          <w:iCs/>
          <w:lang w:val="el-GR"/>
        </w:rPr>
        <w:t>ε</w:t>
      </w:r>
      <w:r>
        <w:rPr>
          <w:i/>
          <w:iCs/>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DE2E40">
      <w:pPr>
        <w:pStyle w:val="BodyText"/>
      </w:pPr>
    </w:p>
    <w:p w14:paraId="2536690E" w14:textId="77777777" w:rsidR="007B0B48" w:rsidRPr="00450784" w:rsidRDefault="007B0B48" w:rsidP="000545D1">
      <w:pPr>
        <w:pStyle w:val="Heading2"/>
        <w:spacing w:before="0" w:after="0" w:line="480" w:lineRule="auto"/>
      </w:pPr>
      <w:r>
        <w:t>GP parameter recovery</w:t>
      </w:r>
    </w:p>
    <w:p w14:paraId="3368FB4E" w14:textId="77777777" w:rsidR="003F2203" w:rsidRDefault="00D366A8" w:rsidP="00DE2E40">
      <w:pPr>
        <w:pStyle w:val="BodyText"/>
      </w:pPr>
      <w:r>
        <w:t>Sampling effort and spatial autocorrelation strongly influenced the ability of the GP model to recover the parameters used to generate the simulated spatial fields (Figure 4).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CEB8260" w14:textId="77777777" w:rsidR="00A84641" w:rsidRDefault="00A84641" w:rsidP="00DE2E40">
      <w:pPr>
        <w:pStyle w:val="BodyText"/>
      </w:pPr>
    </w:p>
    <w:p w14:paraId="5D7DA22C" w14:textId="77777777" w:rsidR="00EF7D10" w:rsidRDefault="00F70DB9" w:rsidP="00DE2E40">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t>Implementation: the eDNA Survey Planner</w:t>
      </w:r>
    </w:p>
    <w:p w14:paraId="694C9DB4" w14:textId="77777777" w:rsidR="00D42BF7" w:rsidRDefault="00D42BF7" w:rsidP="00DE2E40">
      <w:pPr>
        <w:pStyle w:val="BodyText"/>
      </w:pPr>
      <w:r>
        <w:t>To make Eq. 6–7 usable without statistical software, we implemented them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69B4B25F" w14:textId="77777777" w:rsidR="001331B5" w:rsidRDefault="001331B5" w:rsidP="00DE2E40">
      <w:pPr>
        <w:pStyle w:val="BodyText"/>
      </w:pPr>
    </w:p>
    <w:p w14:paraId="3B4AEB84" w14:textId="77777777" w:rsidR="00D42BF7" w:rsidRDefault="00D42BF7" w:rsidP="00DE2E40">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D8AD109" w14:textId="77777777" w:rsidR="001331B5" w:rsidRDefault="001331B5" w:rsidP="00DE2E40">
      <w:pPr>
        <w:pStyle w:val="BodyText"/>
      </w:pPr>
    </w:p>
    <w:p w14:paraId="4439FAB9" w14:textId="77777777" w:rsidR="00D42BF7" w:rsidRDefault="00D42BF7" w:rsidP="00DE2E40">
      <w:pPr>
        <w:pStyle w:val="BodyText"/>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w:t>
      </w:r>
      <w:r>
        <w:lastRenderedPageBreak/>
        <w:t xml:space="preserve">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t>Case study: a multispecies eDNA survey of the California Current</w:t>
      </w:r>
    </w:p>
    <w:p w14:paraId="04E62F49" w14:textId="5BF80EB7" w:rsidR="00BD1D03" w:rsidRDefault="00000000" w:rsidP="00DE2E40">
      <w:pPr>
        <w:pStyle w:val="BodyText"/>
      </w:pPr>
      <w:r>
        <w:t xml:space="preserve">The case study serves three purposes: it tests whether the simulation-based error model holds in real eDNA fields, where the true field is unknown; it provides reference length-scales for 12 fish taxa that planners can use as priors; and it shows how the planner can be used to judge whether an existing survey was </w:t>
      </w:r>
      <w:r w:rsidR="0006456E">
        <w:t xml:space="preserve">sufficient </w:t>
      </w:r>
      <w:r>
        <w:t>enough.</w:t>
      </w:r>
    </w:p>
    <w:p w14:paraId="7271F7E7" w14:textId="77777777" w:rsidR="0006456E" w:rsidRDefault="0006456E" w:rsidP="00DE2E40">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DE2E40">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lastRenderedPageBreak/>
        <w:t>Thaleichthys pacificus</w:t>
      </w:r>
      <w:r>
        <w:t xml:space="preserve"> and </w:t>
      </w:r>
      <w:r>
        <w:rPr>
          <w:i/>
        </w:rPr>
        <w:t>Trachurus symmetricus</w:t>
      </w:r>
      <w:r>
        <w:t>. Sampling, laboratory and bioinformatic details are given in Appendix S1: Section S1.</w:t>
      </w:r>
      <w:bookmarkStart w:id="12" w:name="fig:epsilon"/>
    </w:p>
    <w:p w14:paraId="3F00D293" w14:textId="77777777" w:rsidR="008E7E08" w:rsidRDefault="008E7E08" w:rsidP="00DE2E40">
      <w:pPr>
        <w:pStyle w:val="BodyText"/>
      </w:pPr>
    </w:p>
    <w:p w14:paraId="2D18E634" w14:textId="4BD81B8B" w:rsidR="00E33848" w:rsidRDefault="00823035" w:rsidP="000545D1">
      <w:pPr>
        <w:pStyle w:val="Heading2"/>
        <w:spacing w:before="0" w:after="0" w:line="480" w:lineRule="auto"/>
      </w:pPr>
      <w:r>
        <w:t xml:space="preserve">Spatial structure of the </w:t>
      </w:r>
      <w:r w:rsidR="007F3764">
        <w:t>studied</w:t>
      </w:r>
      <w:r>
        <w:t xml:space="preserve"> species (Step 1)</w:t>
      </w:r>
    </w:p>
    <w:p w14:paraId="1A2CA10D" w14:textId="3D8E4BD2" w:rsidR="00823035" w:rsidRDefault="00E33848" w:rsidP="00DE2E40">
      <w:pPr>
        <w:pStyle w:val="BodyText"/>
      </w:pPr>
      <w:r w:rsidRPr="0038715A">
        <w:t>As in Step 1 of the simulations, we fitted the GP model (Eq. 1–2) to the log eDNA concentrations of each of the 12 species (N = 358 site–depth samples) and used Eq. 3 to predict eDNA concentrations across the prediction grid (Q) defined in Step 0.</w:t>
      </w:r>
    </w:p>
    <w:p w14:paraId="75FE6258" w14:textId="77777777" w:rsidR="00F84974" w:rsidRPr="0038715A" w:rsidRDefault="00F84974" w:rsidP="00DE2E40">
      <w:pPr>
        <w:pStyle w:val="BodyText"/>
      </w:pPr>
    </w:p>
    <w:p w14:paraId="137AA330" w14:textId="593A80E5" w:rsidR="007174DD" w:rsidRDefault="000443C6" w:rsidP="00DE2E40">
      <w:pPr>
        <w:pStyle w:val="BodyText"/>
      </w:pPr>
      <w:r w:rsidRPr="0038715A">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w:t>
      </w:r>
      <w:r>
        <w:t xml:space="preserve">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 strata, although this pattern was not universal. </w:t>
      </w:r>
      <w:r>
        <w:rPr>
          <w:i/>
          <w:iCs/>
        </w:rPr>
        <w:t>Tactostoma macropus</w:t>
      </w:r>
      <w:r>
        <w:t>, for instance, showed a comparatively short length-scale despite its deep-water affinity. Estimated length-scales ranged from 22 to 1283 km across the 12 species (Table 1).</w:t>
      </w:r>
    </w:p>
    <w:p w14:paraId="377654E4" w14:textId="77777777" w:rsidR="008E7E08" w:rsidRDefault="008E7E08" w:rsidP="00DE2E40">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w:t>
      </w:r>
      <w:r w:rsidR="00A34072">
        <w:t xml:space="preserve"> (Step 2)</w:t>
      </w:r>
    </w:p>
    <w:p w14:paraId="3EA9A265" w14:textId="6CF0704E" w:rsidR="00A34072" w:rsidRDefault="00E33848" w:rsidP="00DE2E40">
      <w:pPr>
        <w:pStyle w:val="BodyText"/>
      </w:pPr>
      <w:r>
        <w:t xml:space="preserve">As in Step 2, we </w:t>
      </w:r>
      <w:r w:rsidRPr="0038715A">
        <w:t>randomly thinned the 358 observations to N = 330, 300, 260, 220 and 150 (Figure 2B), refit the GP model to each reduced dataset and calculated the prediction error (</w:t>
      </w:r>
      <w:r w:rsidRPr="00066A29">
        <w:rPr>
          <w:i/>
          <w:iCs/>
        </w:rPr>
        <w:t>ε</w:t>
      </w:r>
      <w:r w:rsidRPr="00066A29">
        <w:rPr>
          <w:i/>
          <w:iCs/>
          <w:vertAlign w:val="subscript"/>
        </w:rPr>
        <w:t>obs</w:t>
      </w:r>
      <w:r w:rsidRPr="0038715A">
        <w:t xml:space="preserve">) against </w:t>
      </w:r>
      <w:r w:rsidRPr="0038715A">
        <w:lastRenderedPageBreak/>
        <w:t>the field predicted from the full dataset as in Eq. 5, repeating the procedure across 20 random realizations for each thinning intensity.</w:t>
      </w:r>
    </w:p>
    <w:p w14:paraId="6E6CBE7F" w14:textId="77777777" w:rsidR="00F84974" w:rsidRPr="0038715A" w:rsidRDefault="00F84974" w:rsidP="00DE2E40">
      <w:pPr>
        <w:pStyle w:val="BodyText"/>
      </w:pPr>
    </w:p>
    <w:p w14:paraId="5558D7AE" w14:textId="67661EFB" w:rsidR="0038715A" w:rsidRDefault="0037779D" w:rsidP="00DE2E40">
      <w:pPr>
        <w:pStyle w:val="BodyText"/>
      </w:pPr>
      <w:r w:rsidRPr="0038715A">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sidRPr="00066A29">
        <w:rPr>
          <w:i/>
          <w:iCs/>
        </w:rPr>
        <w:t>ρ</w:t>
      </w:r>
      <w:r w:rsidRPr="0038715A">
        <w:t xml:space="preserve"> values) consistently exhibited higher prediction error (</w:t>
      </w:r>
      <w:r w:rsidRPr="008C0368">
        <w:rPr>
          <w:i/>
          <w:iCs/>
        </w:rPr>
        <w:t>ε</w:t>
      </w:r>
      <w:r w:rsidRPr="008C0368">
        <w:rPr>
          <w:i/>
          <w:iCs/>
          <w:vertAlign w:val="subscript"/>
        </w:rPr>
        <w:t>obs</w:t>
      </w:r>
      <w:r w:rsidRPr="0038715A">
        <w:t>) across all sampling densities, whereas species with wider spatial autocorrelation structures (e.g., ρ &gt; 500 km) showed substantially lower</w:t>
      </w:r>
      <w:r>
        <w:t xml:space="preserve"> prediction errors (</w:t>
      </w:r>
      <w:r w:rsidRPr="008C0368">
        <w:rPr>
          <w:i/>
          <w:iCs/>
          <w:lang w:val="el-GR"/>
        </w:rPr>
        <w:t>ε</w:t>
      </w:r>
      <w:r w:rsidRPr="008C0368">
        <w:rPr>
          <w:i/>
          <w:iCs/>
          <w:vertAlign w:val="subscript"/>
        </w:rPr>
        <w:t>obs</w:t>
      </w:r>
      <w:r>
        <w:t>) even under comparatively sparse sampling regimes.</w:t>
      </w:r>
    </w:p>
    <w:p w14:paraId="4DA5241F" w14:textId="77777777" w:rsidR="008E7E08" w:rsidRDefault="008E7E08" w:rsidP="00DE2E40">
      <w:pPr>
        <w:pStyle w:val="BodyText"/>
      </w:pPr>
    </w:p>
    <w:p w14:paraId="181F23AF" w14:textId="337DBF22" w:rsidR="009E38DC" w:rsidRDefault="009E38DC" w:rsidP="000545D1">
      <w:pPr>
        <w:pStyle w:val="Heading2"/>
        <w:spacing w:before="0" w:after="0" w:line="480" w:lineRule="auto"/>
        <w:rPr>
          <w:rFonts w:cs="Times New Roman"/>
        </w:rPr>
      </w:pPr>
      <w:r w:rsidRPr="003109F0">
        <w:rPr>
          <w:rFonts w:cs="Times New Roman"/>
        </w:rPr>
        <w:t>Linking prediction</w:t>
      </w:r>
      <w:r w:rsidR="00A62458">
        <w:t xml:space="preserve"> error </w:t>
      </w:r>
      <w:r w:rsidRPr="009E38DC">
        <w:rPr>
          <w:rFonts w:cs="Times New Roman"/>
        </w:rPr>
        <w:t>to sampling effort and spatial autocorrelation (Step 3)</w:t>
      </w:r>
    </w:p>
    <w:p w14:paraId="6FCDA0E1" w14:textId="6313E355" w:rsidR="00D328B7" w:rsidRDefault="009E38DC" w:rsidP="00DE2E40">
      <w:pPr>
        <w:pStyle w:val="BodyText"/>
      </w:pPr>
      <w:r w:rsidRPr="00D328B7">
        <w:t>As in Step 3 of the simulations, we fitted Eq. 6 to the observed prediction errors (ε</w:t>
      </w:r>
      <w:r w:rsidRPr="00D328B7">
        <w:rPr>
          <w:vertAlign w:val="subscript"/>
        </w:rPr>
        <w:t>obs</w:t>
      </w:r>
      <w:r w:rsidRPr="00D328B7">
        <w:t xml:space="preserve">), using the length-scale estimated for each species in Step 1 (ρ) and the sampling density of each thinned dataset (E), to describe how prediction error in real eDNA fields depends jointly on sampling effort and spatial autocorrelation. </w:t>
      </w:r>
    </w:p>
    <w:p w14:paraId="062E59BE" w14:textId="405EC2FC" w:rsidR="006751C4" w:rsidRDefault="006751C4" w:rsidP="00DE2E40">
      <w:pPr>
        <w:pStyle w:val="BodyText"/>
      </w:pPr>
    </w:p>
    <w:p w14:paraId="35B70E95" w14:textId="24E8A71A" w:rsidR="00A62458" w:rsidRPr="00D328B7" w:rsidRDefault="00F81DE5" w:rsidP="00DE2E40">
      <w:pPr>
        <w:pStyle w:val="BodyText"/>
        <w:rPr>
          <w:rFonts w:cs="Times New Roman"/>
          <w:color w:val="000000"/>
        </w:rPr>
      </w:pPr>
      <w:commentRangeStart w:id="13"/>
      <w:commentRangeStart w:id="14"/>
      <w:r>
        <w:t>The observed and simulated prediction errors cannot be compared directly because they are measured against reference fields of different quality: ε</w:t>
      </w:r>
      <w:r w:rsidRPr="00F81DE5">
        <w:rPr>
          <w:vertAlign w:val="subscript"/>
        </w:rPr>
        <w:t>obs</w:t>
      </w:r>
      <w:r>
        <w:t xml:space="preserve"> is measured against the field predicted from the 358 observed samples, whereas ε</w:t>
      </w:r>
      <w:r w:rsidRPr="00F81DE5">
        <w:rPr>
          <w:vertAlign w:val="subscript"/>
        </w:rPr>
        <w:t>sim</w:t>
      </w:r>
      <w:r>
        <w:t xml:space="preserve"> is measured against the field predicted from 4,000 samples (Figure 2).</w:t>
      </w:r>
      <w:r w:rsidR="00E33848" w:rsidRPr="00CB78E2">
        <w:t xml:space="preserve"> </w:t>
      </w:r>
      <w:r>
        <w:t xml:space="preserve">To put the simulations on the same footing as the observed data, we drew 358 samples from each simulated field, used the field predicted from these 358 samples as the reference, thinned them to the same sample sizes as the observed data (N = 330, 300, 260, 220 and </w:t>
      </w:r>
      <w:r>
        <w:lastRenderedPageBreak/>
        <w:t>150) and calculated the resulting prediction error (ε</w:t>
      </w:r>
      <w:r w:rsidRPr="00F81DE5">
        <w:rPr>
          <w:vertAlign w:val="subscript"/>
        </w:rPr>
        <w:t>sim,358</w:t>
      </w:r>
      <w:r>
        <w:t>) as in Eq. 5. We then fitted Eq. 6 to ε</w:t>
      </w:r>
      <w:r w:rsidRPr="00F81DE5">
        <w:rPr>
          <w:vertAlign w:val="subscript"/>
        </w:rPr>
        <w:t>sim,358</w:t>
      </w:r>
      <w:r>
        <w:t xml:space="preserve"> and compared its coefficients with those fitted to ε</w:t>
      </w:r>
      <w:r w:rsidRPr="00F81DE5">
        <w:rPr>
          <w:vertAlign w:val="subscript"/>
        </w:rPr>
        <w:t>obs</w:t>
      </w:r>
      <w:r w:rsidR="005114CF">
        <w:t>, as close agreement would indicate</w:t>
      </w:r>
      <w:r>
        <w:t xml:space="preserve"> that the simulations reproduce the error structure of real eDNA fields (Appendix S1: Section S2).</w:t>
      </w:r>
    </w:p>
    <w:p w14:paraId="16AB0ABF" w14:textId="77777777" w:rsidR="00D328B7" w:rsidRDefault="00D328B7" w:rsidP="00DE2E40">
      <w:pPr>
        <w:pStyle w:val="BodyText"/>
      </w:pPr>
    </w:p>
    <w:p w14:paraId="4AB72DF1" w14:textId="7FD2DDB3" w:rsidR="00D974B6" w:rsidRPr="006751C4" w:rsidRDefault="00D328B7" w:rsidP="00DE2E40">
      <w:pPr>
        <w:pStyle w:val="BodyText"/>
      </w:pPr>
      <w:r w:rsidRPr="006751C4">
        <w:t>The fitted coefficients showed the same directional effects as in the simulations</w:t>
      </w:r>
      <w:r w:rsidR="005114CF">
        <w:t>, with prediction error decreasing</w:t>
      </w:r>
      <w:r w:rsidRPr="006751C4">
        <w:t xml:space="preserve"> with increasing sampling density (β) and with increasing spatial autocorrelation (θ)</w:t>
      </w:r>
      <w:r w:rsidR="005114CF">
        <w:t>, and a negative</w:t>
      </w:r>
      <w:r w:rsidRPr="006751C4">
        <w:t xml:space="preserve"> interaction between the two (γ).</w:t>
      </w:r>
      <w:r w:rsidR="006751C4">
        <w:t xml:space="preserve"> </w:t>
      </w:r>
      <w:r w:rsidR="00330519" w:rsidRPr="00330519">
        <w:t>T</w:t>
      </w:r>
      <w:r w:rsidR="00E1401A" w:rsidRPr="00101BFB">
        <w:t>he estimated intercept (</w:t>
      </w:r>
      <w:r w:rsidR="00E1401A" w:rsidRPr="008F4FF2">
        <w:rPr>
          <w:i/>
          <w:iCs/>
        </w:rPr>
        <w:t>ω</w:t>
      </w:r>
      <w:r w:rsidR="00E1401A" w:rsidRPr="00101BFB">
        <w:t xml:space="preserve">) and all </w:t>
      </w:r>
      <w:r w:rsidR="00330519" w:rsidRPr="00330519">
        <w:t>three coefficients also</w:t>
      </w:r>
      <w:r w:rsidR="00E1401A" w:rsidRPr="00101BFB">
        <w:t xml:space="preserve">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commentRangeEnd w:id="13"/>
      <w:r w:rsidR="00131911" w:rsidRPr="006751C4">
        <w:rPr>
          <w:rStyle w:val="CommentReference"/>
          <w:sz w:val="24"/>
          <w:szCs w:val="24"/>
        </w:rPr>
        <w:commentReference w:id="13"/>
      </w:r>
      <w:commentRangeEnd w:id="14"/>
      <w:r w:rsidR="005114CF" w:rsidRPr="006751C4">
        <w:rPr>
          <w:rStyle w:val="CommentReference"/>
          <w:sz w:val="24"/>
          <w:szCs w:val="24"/>
        </w:rPr>
        <w:commentReference w:id="14"/>
      </w:r>
    </w:p>
    <w:p w14:paraId="15ACFE1F" w14:textId="77777777" w:rsidR="00CB78E2" w:rsidRPr="00101BFB" w:rsidRDefault="00CB78E2" w:rsidP="00DE2E40">
      <w:pPr>
        <w:pStyle w:val="BodyText"/>
      </w:pPr>
    </w:p>
    <w:p w14:paraId="706A472C" w14:textId="5D50B215" w:rsidR="00BD1D03" w:rsidRDefault="00000000" w:rsidP="000545D1">
      <w:pPr>
        <w:pStyle w:val="Heading2"/>
        <w:spacing w:before="0" w:after="0" w:line="480" w:lineRule="auto"/>
      </w:pPr>
      <w:r>
        <w:t>Applying the planner</w:t>
      </w:r>
    </w:p>
    <w:p w14:paraId="38394DE8" w14:textId="03B36009" w:rsidR="00BD1D03" w:rsidRDefault="00000000" w:rsidP="00DE2E40">
      <w:pPr>
        <w:pStyle w:val="BodyText"/>
      </w:pPr>
      <w:r w:rsidRPr="008B0EB9">
        <w:t>To show how the planner is used, we asked whether the 358 site–depth samples collected in 2019 (E = 3.6 samples per 10,000 km2 per depth layer) were enough to reach a target prediction error of ε* = 0.5</w:t>
      </w:r>
      <w:r w:rsidR="009E38DC">
        <w:t xml:space="preserve"> (an arbitrary value chosen for illustration)</w:t>
      </w:r>
      <w:r w:rsidRPr="008B0EB9">
        <w:t>, corresponding to predictions within a typical factor of about 1.65 of the reference field. For each species we entered its estimated length-scale (Step 1 applied to the observed data), the survey area (</w:t>
      </w:r>
      <w:r w:rsidR="00634B41">
        <w:t xml:space="preserve">~ </w:t>
      </w:r>
      <w:r w:rsidRPr="008B0EB9">
        <w:t xml:space="preserve">200,000 km2 per layer) and the five depth layers into Eq. 7, which returns the required sampling density (E*) and the corresponding total number of samples (Table 1). The samples collected were sufficient for the two species with the longest length-scales, </w:t>
      </w:r>
      <w:r w:rsidRPr="00D21AF2">
        <w:rPr>
          <w:i/>
          <w:iCs/>
        </w:rPr>
        <w:t>Leuroglossus stilbius</w:t>
      </w:r>
      <w:r w:rsidRPr="008B0EB9">
        <w:t xml:space="preserve"> and </w:t>
      </w:r>
      <w:r w:rsidRPr="00D21AF2">
        <w:rPr>
          <w:i/>
          <w:iCs/>
        </w:rPr>
        <w:t>Microstomus pacificus</w:t>
      </w:r>
      <w:r w:rsidRPr="008B0EB9">
        <w:t xml:space="preserve">, for which the planner required 291–295 samples, about 17–19% fewer than were collected, and were close to the requirement for </w:t>
      </w:r>
      <w:r w:rsidRPr="00EA676F">
        <w:rPr>
          <w:i/>
          <w:iCs/>
        </w:rPr>
        <w:t>Sebastes entomelas</w:t>
      </w:r>
      <w:r w:rsidRPr="008B0EB9">
        <w:t xml:space="preserve"> (373 samples; ρ = 763 km). For the remaining 9 species the planner required 2.2 to 19.8 times as many samples as were collected, and the requirement rose steeply as the length-scale decreased (for example 1,011 samples for </w:t>
      </w:r>
      <w:r w:rsidRPr="00EA676F">
        <w:rPr>
          <w:i/>
          <w:iCs/>
        </w:rPr>
        <w:t>Clupea pallasii</w:t>
      </w:r>
      <w:r w:rsidRPr="008B0EB9">
        <w:t xml:space="preserve">, ρ = 150 km, </w:t>
      </w:r>
      <w:r w:rsidRPr="008B0EB9">
        <w:lastRenderedPageBreak/>
        <w:t xml:space="preserve">and 7,078 for </w:t>
      </w:r>
      <w:r w:rsidRPr="00EA676F">
        <w:rPr>
          <w:i/>
          <w:iCs/>
        </w:rPr>
        <w:t>Tarletonbeania crenularis</w:t>
      </w:r>
      <w:r w:rsidRPr="008B0EB9">
        <w:t>, ρ = 22 km). Because 5 species have length-scales outside the calibrated range (ρ = 25–1000 km) and 4 require more than the calibrated maximum of 20 samples per 10,000 km2 per layer (Table 1), the largest requirements are extrapolations and are best read as showing that the target was not attainable with the 2019 effort for those species, not as precise sample sizes.</w:t>
      </w:r>
    </w:p>
    <w:p w14:paraId="7ECE1F92" w14:textId="77777777" w:rsidR="008B0EB9" w:rsidRPr="008B0EB9" w:rsidRDefault="008B0EB9" w:rsidP="00DE2E40">
      <w:pPr>
        <w:pStyle w:val="BodyText"/>
      </w:pPr>
    </w:p>
    <w:p w14:paraId="306866FC" w14:textId="77777777" w:rsidR="00F52C0A" w:rsidRPr="009A0DF6" w:rsidRDefault="00000000" w:rsidP="00DE2E40">
      <w:pPr>
        <w:pStyle w:val="BodyText"/>
      </w:pPr>
      <w:r w:rsidRPr="009A0DF6">
        <w:rPr>
          <w:b/>
        </w:rPr>
        <w:t>Table 1.</w:t>
      </w:r>
      <w:r w:rsidRPr="009A0DF6">
        <w:t xml:space="preserve"> Reference spatial autocorrelation length-scales (ρ) for 12 fish species in the California Current, and the sampling required to reach a target prediction error of ε</w:t>
      </w:r>
      <w:r w:rsidRPr="009A0DF6">
        <w:rPr>
          <w:vertAlign w:val="superscript"/>
        </w:rPr>
        <w:t>*</w:t>
      </w:r>
      <w:r w:rsidRPr="009A0DF6">
        <w:t xml:space="preserve"> = 0.5 (Eq. 7; 200,000 km</w:t>
      </w:r>
      <w:r w:rsidRPr="009A0DF6">
        <w:rPr>
          <w:vertAlign w:val="superscript"/>
        </w:rPr>
        <w:t>2</w:t>
      </w:r>
      <w:r w:rsidRPr="009A0DF6">
        <w:t xml:space="preserve"> per layer, five depth layers). E</w:t>
      </w:r>
      <w:r w:rsidRPr="009A0DF6">
        <w:rPr>
          <w:vertAlign w:val="superscript"/>
        </w:rPr>
        <w:t>*</w:t>
      </w:r>
      <w:r w:rsidRPr="009A0DF6">
        <w:t xml:space="preserve"> is the required sampling density (samples per 10,000 km</w:t>
      </w:r>
      <w:r w:rsidRPr="009A0DF6">
        <w:rPr>
          <w:vertAlign w:val="superscript"/>
        </w:rPr>
        <w:t>2</w:t>
      </w:r>
      <w:r w:rsidRPr="009A0DF6">
        <w:t xml:space="preserve"> per depth layer), N</w:t>
      </w:r>
      <w:r w:rsidRPr="009A0DF6">
        <w:rPr>
          <w:vertAlign w:val="superscript"/>
        </w:rPr>
        <w:t>*</w:t>
      </w:r>
      <w:r w:rsidRPr="009A0DF6">
        <w:t xml:space="preserve"> the total number of site–depth samples required (E</w:t>
      </w:r>
      <w:r w:rsidRPr="009A0DF6">
        <w:rPr>
          <w:vertAlign w:val="superscript"/>
        </w:rPr>
        <w:t>*</w:t>
      </w:r>
      <w:r w:rsidRPr="009A0DF6">
        <w:t xml:space="preserve"> × 100), and the last column compares N</w:t>
      </w:r>
      <w:r w:rsidRPr="009A0DF6">
        <w:rPr>
          <w:vertAlign w:val="superscript"/>
        </w:rPr>
        <w:t>*</w:t>
      </w:r>
      <w:r w:rsidRPr="009A0DF6">
        <w:t xml:space="preserve"> with the 358 samples collected (values below 1 indicate that the collected samples exceeded the requirement). † Outside the calibrated range of the error–effort model (ρ = 25–1000 km or E = 1.5–20 samples per 10,000 km</w:t>
      </w:r>
      <w:r w:rsidRPr="009A0DF6">
        <w:rPr>
          <w:vertAlign w:val="superscript"/>
        </w:rPr>
        <w:t>2</w:t>
      </w:r>
      <w:r w:rsidRPr="009A0DF6">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DE2E40">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DE2E40">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DE2E40">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DE2E40">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DE2E40">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DE2E40">
            <w:pPr>
              <w:pStyle w:val="BodyText"/>
            </w:pPr>
            <w:r>
              <w:t>Leuroglossus stilbius†</w:t>
            </w:r>
          </w:p>
        </w:tc>
        <w:tc>
          <w:tcPr>
            <w:tcW w:w="1418" w:type="dxa"/>
            <w:vAlign w:val="center"/>
          </w:tcPr>
          <w:p w14:paraId="7CE7C8CA" w14:textId="77777777" w:rsidR="00CB78E2" w:rsidRDefault="00CB78E2" w:rsidP="00DE2E40">
            <w:pPr>
              <w:pStyle w:val="BodyText"/>
            </w:pPr>
            <w:r>
              <w:t>1283</w:t>
            </w:r>
          </w:p>
        </w:tc>
        <w:tc>
          <w:tcPr>
            <w:tcW w:w="1275" w:type="dxa"/>
            <w:vAlign w:val="center"/>
          </w:tcPr>
          <w:p w14:paraId="630ED874" w14:textId="77777777" w:rsidR="00CB78E2" w:rsidRDefault="00CB78E2" w:rsidP="00DE2E40">
            <w:pPr>
              <w:pStyle w:val="BodyText"/>
            </w:pPr>
            <w:r>
              <w:t>2.9</w:t>
            </w:r>
          </w:p>
        </w:tc>
        <w:tc>
          <w:tcPr>
            <w:tcW w:w="1276" w:type="dxa"/>
            <w:vAlign w:val="center"/>
          </w:tcPr>
          <w:p w14:paraId="4B92C9B5" w14:textId="77777777" w:rsidR="00CB78E2" w:rsidRDefault="00CB78E2" w:rsidP="00DE2E40">
            <w:pPr>
              <w:pStyle w:val="BodyText"/>
            </w:pPr>
            <w:r>
              <w:t>291</w:t>
            </w:r>
          </w:p>
        </w:tc>
        <w:tc>
          <w:tcPr>
            <w:tcW w:w="1418" w:type="dxa"/>
            <w:vAlign w:val="center"/>
          </w:tcPr>
          <w:p w14:paraId="5951105A" w14:textId="77777777" w:rsidR="00CB78E2" w:rsidRDefault="00CB78E2" w:rsidP="00DE2E40">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DE2E40">
            <w:pPr>
              <w:pStyle w:val="BodyText"/>
            </w:pPr>
            <w:r>
              <w:t>Microstomus pacificus†</w:t>
            </w:r>
          </w:p>
        </w:tc>
        <w:tc>
          <w:tcPr>
            <w:tcW w:w="1418" w:type="dxa"/>
            <w:vAlign w:val="center"/>
          </w:tcPr>
          <w:p w14:paraId="23CAB33F" w14:textId="77777777" w:rsidR="00CB78E2" w:rsidRDefault="00CB78E2" w:rsidP="00DE2E40">
            <w:pPr>
              <w:pStyle w:val="BodyText"/>
            </w:pPr>
            <w:r>
              <w:t>1243</w:t>
            </w:r>
          </w:p>
        </w:tc>
        <w:tc>
          <w:tcPr>
            <w:tcW w:w="1275" w:type="dxa"/>
            <w:vAlign w:val="center"/>
          </w:tcPr>
          <w:p w14:paraId="324B388D" w14:textId="77777777" w:rsidR="00CB78E2" w:rsidRDefault="00CB78E2" w:rsidP="00DE2E40">
            <w:pPr>
              <w:pStyle w:val="BodyText"/>
            </w:pPr>
            <w:r>
              <w:t>3.0</w:t>
            </w:r>
          </w:p>
        </w:tc>
        <w:tc>
          <w:tcPr>
            <w:tcW w:w="1276" w:type="dxa"/>
            <w:vAlign w:val="center"/>
          </w:tcPr>
          <w:p w14:paraId="0AC549B3" w14:textId="77777777" w:rsidR="00CB78E2" w:rsidRDefault="00CB78E2" w:rsidP="00DE2E40">
            <w:pPr>
              <w:pStyle w:val="BodyText"/>
            </w:pPr>
            <w:r>
              <w:t>295</w:t>
            </w:r>
          </w:p>
        </w:tc>
        <w:tc>
          <w:tcPr>
            <w:tcW w:w="1418" w:type="dxa"/>
            <w:vAlign w:val="center"/>
          </w:tcPr>
          <w:p w14:paraId="4DA90EA6" w14:textId="77777777" w:rsidR="00CB78E2" w:rsidRDefault="00CB78E2" w:rsidP="00DE2E40">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DE2E40">
            <w:pPr>
              <w:pStyle w:val="BodyText"/>
            </w:pPr>
            <w:r>
              <w:t>Sebastes entomelas</w:t>
            </w:r>
          </w:p>
        </w:tc>
        <w:tc>
          <w:tcPr>
            <w:tcW w:w="1418" w:type="dxa"/>
            <w:vAlign w:val="center"/>
          </w:tcPr>
          <w:p w14:paraId="69FAEF83" w14:textId="77777777" w:rsidR="00CB78E2" w:rsidRDefault="00CB78E2" w:rsidP="00DE2E40">
            <w:pPr>
              <w:pStyle w:val="BodyText"/>
            </w:pPr>
            <w:r>
              <w:t>763</w:t>
            </w:r>
          </w:p>
        </w:tc>
        <w:tc>
          <w:tcPr>
            <w:tcW w:w="1275" w:type="dxa"/>
            <w:vAlign w:val="center"/>
          </w:tcPr>
          <w:p w14:paraId="5AC35193" w14:textId="77777777" w:rsidR="00CB78E2" w:rsidRDefault="00CB78E2" w:rsidP="00DE2E40">
            <w:pPr>
              <w:pStyle w:val="BodyText"/>
            </w:pPr>
            <w:r>
              <w:t>3.7</w:t>
            </w:r>
          </w:p>
        </w:tc>
        <w:tc>
          <w:tcPr>
            <w:tcW w:w="1276" w:type="dxa"/>
            <w:vAlign w:val="center"/>
          </w:tcPr>
          <w:p w14:paraId="121D5E34" w14:textId="77777777" w:rsidR="00CB78E2" w:rsidRDefault="00CB78E2" w:rsidP="00DE2E40">
            <w:pPr>
              <w:pStyle w:val="BodyText"/>
            </w:pPr>
            <w:r>
              <w:t>373</w:t>
            </w:r>
          </w:p>
        </w:tc>
        <w:tc>
          <w:tcPr>
            <w:tcW w:w="1418" w:type="dxa"/>
            <w:vAlign w:val="center"/>
          </w:tcPr>
          <w:p w14:paraId="0BB3B6A7" w14:textId="77777777" w:rsidR="00CB78E2" w:rsidRDefault="00CB78E2" w:rsidP="00DE2E40">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DE2E40">
            <w:pPr>
              <w:pStyle w:val="BodyText"/>
            </w:pPr>
            <w:r>
              <w:t>Engraulis mordax</w:t>
            </w:r>
          </w:p>
        </w:tc>
        <w:tc>
          <w:tcPr>
            <w:tcW w:w="1418" w:type="dxa"/>
            <w:vAlign w:val="center"/>
          </w:tcPr>
          <w:p w14:paraId="512C9779" w14:textId="77777777" w:rsidR="00CB78E2" w:rsidRDefault="00CB78E2" w:rsidP="00DE2E40">
            <w:pPr>
              <w:pStyle w:val="BodyText"/>
            </w:pPr>
            <w:r>
              <w:t>207</w:t>
            </w:r>
          </w:p>
        </w:tc>
        <w:tc>
          <w:tcPr>
            <w:tcW w:w="1275" w:type="dxa"/>
            <w:vAlign w:val="center"/>
          </w:tcPr>
          <w:p w14:paraId="36BBED47" w14:textId="77777777" w:rsidR="00CB78E2" w:rsidRDefault="00CB78E2" w:rsidP="00DE2E40">
            <w:pPr>
              <w:pStyle w:val="BodyText"/>
            </w:pPr>
            <w:r>
              <w:t>8.0</w:t>
            </w:r>
          </w:p>
        </w:tc>
        <w:tc>
          <w:tcPr>
            <w:tcW w:w="1276" w:type="dxa"/>
            <w:vAlign w:val="center"/>
          </w:tcPr>
          <w:p w14:paraId="628A7AFB" w14:textId="77777777" w:rsidR="00CB78E2" w:rsidRDefault="00CB78E2" w:rsidP="00DE2E40">
            <w:pPr>
              <w:pStyle w:val="BodyText"/>
            </w:pPr>
            <w:r>
              <w:t>804</w:t>
            </w:r>
          </w:p>
        </w:tc>
        <w:tc>
          <w:tcPr>
            <w:tcW w:w="1418" w:type="dxa"/>
            <w:vAlign w:val="center"/>
          </w:tcPr>
          <w:p w14:paraId="759CE63E" w14:textId="77777777" w:rsidR="00CB78E2" w:rsidRDefault="00CB78E2" w:rsidP="00DE2E40">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DE2E40">
            <w:pPr>
              <w:pStyle w:val="BodyText"/>
            </w:pPr>
            <w:r>
              <w:t>Sardinops sagax</w:t>
            </w:r>
          </w:p>
        </w:tc>
        <w:tc>
          <w:tcPr>
            <w:tcW w:w="1418" w:type="dxa"/>
            <w:vAlign w:val="center"/>
          </w:tcPr>
          <w:p w14:paraId="06FDF082" w14:textId="77777777" w:rsidR="00CB78E2" w:rsidRDefault="00CB78E2" w:rsidP="00DE2E40">
            <w:pPr>
              <w:pStyle w:val="BodyText"/>
            </w:pPr>
            <w:r>
              <w:t>181</w:t>
            </w:r>
          </w:p>
        </w:tc>
        <w:tc>
          <w:tcPr>
            <w:tcW w:w="1275" w:type="dxa"/>
            <w:vAlign w:val="center"/>
          </w:tcPr>
          <w:p w14:paraId="57006512" w14:textId="77777777" w:rsidR="00CB78E2" w:rsidRDefault="00CB78E2" w:rsidP="00DE2E40">
            <w:pPr>
              <w:pStyle w:val="BodyText"/>
            </w:pPr>
            <w:r>
              <w:t>8.8</w:t>
            </w:r>
          </w:p>
        </w:tc>
        <w:tc>
          <w:tcPr>
            <w:tcW w:w="1276" w:type="dxa"/>
            <w:vAlign w:val="center"/>
          </w:tcPr>
          <w:p w14:paraId="45324612" w14:textId="77777777" w:rsidR="00CB78E2" w:rsidRDefault="00CB78E2" w:rsidP="00DE2E40">
            <w:pPr>
              <w:pStyle w:val="BodyText"/>
            </w:pPr>
            <w:r>
              <w:t>882</w:t>
            </w:r>
          </w:p>
        </w:tc>
        <w:tc>
          <w:tcPr>
            <w:tcW w:w="1418" w:type="dxa"/>
            <w:vAlign w:val="center"/>
          </w:tcPr>
          <w:p w14:paraId="34B6F4E9" w14:textId="77777777" w:rsidR="00CB78E2" w:rsidRDefault="00CB78E2" w:rsidP="00DE2E40">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DE2E40">
            <w:pPr>
              <w:pStyle w:val="BodyText"/>
            </w:pPr>
            <w:r>
              <w:t>Clupea pallasii</w:t>
            </w:r>
          </w:p>
        </w:tc>
        <w:tc>
          <w:tcPr>
            <w:tcW w:w="1418" w:type="dxa"/>
            <w:vAlign w:val="center"/>
          </w:tcPr>
          <w:p w14:paraId="793654F3" w14:textId="77777777" w:rsidR="00CB78E2" w:rsidRDefault="00CB78E2" w:rsidP="00DE2E40">
            <w:pPr>
              <w:pStyle w:val="BodyText"/>
            </w:pPr>
            <w:r>
              <w:t>150</w:t>
            </w:r>
          </w:p>
        </w:tc>
        <w:tc>
          <w:tcPr>
            <w:tcW w:w="1275" w:type="dxa"/>
            <w:vAlign w:val="center"/>
          </w:tcPr>
          <w:p w14:paraId="3465E8A3" w14:textId="77777777" w:rsidR="00CB78E2" w:rsidRDefault="00CB78E2" w:rsidP="00DE2E40">
            <w:pPr>
              <w:pStyle w:val="BodyText"/>
            </w:pPr>
            <w:r>
              <w:t>10.1</w:t>
            </w:r>
          </w:p>
        </w:tc>
        <w:tc>
          <w:tcPr>
            <w:tcW w:w="1276" w:type="dxa"/>
            <w:vAlign w:val="center"/>
          </w:tcPr>
          <w:p w14:paraId="449A8085" w14:textId="77777777" w:rsidR="00CB78E2" w:rsidRDefault="00CB78E2" w:rsidP="00DE2E40">
            <w:pPr>
              <w:pStyle w:val="BodyText"/>
            </w:pPr>
            <w:r>
              <w:t>1,011</w:t>
            </w:r>
          </w:p>
        </w:tc>
        <w:tc>
          <w:tcPr>
            <w:tcW w:w="1418" w:type="dxa"/>
            <w:vAlign w:val="center"/>
          </w:tcPr>
          <w:p w14:paraId="764136D8" w14:textId="77777777" w:rsidR="00CB78E2" w:rsidRDefault="00CB78E2" w:rsidP="00DE2E40">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DE2E40">
            <w:pPr>
              <w:pStyle w:val="BodyText"/>
            </w:pPr>
            <w:r>
              <w:t>Scomber japonicus</w:t>
            </w:r>
          </w:p>
        </w:tc>
        <w:tc>
          <w:tcPr>
            <w:tcW w:w="1418" w:type="dxa"/>
            <w:vAlign w:val="center"/>
          </w:tcPr>
          <w:p w14:paraId="3BCC6302" w14:textId="77777777" w:rsidR="00CB78E2" w:rsidRDefault="00CB78E2" w:rsidP="00DE2E40">
            <w:pPr>
              <w:pStyle w:val="BodyText"/>
            </w:pPr>
            <w:r>
              <w:t>89</w:t>
            </w:r>
          </w:p>
        </w:tc>
        <w:tc>
          <w:tcPr>
            <w:tcW w:w="1275" w:type="dxa"/>
            <w:vAlign w:val="center"/>
          </w:tcPr>
          <w:p w14:paraId="2AFF12DA" w14:textId="77777777" w:rsidR="00CB78E2" w:rsidRDefault="00CB78E2" w:rsidP="00DE2E40">
            <w:pPr>
              <w:pStyle w:val="BodyText"/>
            </w:pPr>
            <w:r>
              <w:t>15.4</w:t>
            </w:r>
          </w:p>
        </w:tc>
        <w:tc>
          <w:tcPr>
            <w:tcW w:w="1276" w:type="dxa"/>
            <w:vAlign w:val="center"/>
          </w:tcPr>
          <w:p w14:paraId="168307D8" w14:textId="77777777" w:rsidR="00CB78E2" w:rsidRDefault="00CB78E2" w:rsidP="00DE2E40">
            <w:pPr>
              <w:pStyle w:val="BodyText"/>
            </w:pPr>
            <w:r>
              <w:t>1,540</w:t>
            </w:r>
          </w:p>
        </w:tc>
        <w:tc>
          <w:tcPr>
            <w:tcW w:w="1418" w:type="dxa"/>
            <w:vAlign w:val="center"/>
          </w:tcPr>
          <w:p w14:paraId="3BD0AA5B" w14:textId="77777777" w:rsidR="00CB78E2" w:rsidRDefault="00CB78E2" w:rsidP="00DE2E40">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DE2E40">
            <w:pPr>
              <w:pStyle w:val="BodyText"/>
            </w:pPr>
            <w:r>
              <w:t>Tactostoma macropus</w:t>
            </w:r>
          </w:p>
        </w:tc>
        <w:tc>
          <w:tcPr>
            <w:tcW w:w="1418" w:type="dxa"/>
            <w:vAlign w:val="center"/>
          </w:tcPr>
          <w:p w14:paraId="4E806551" w14:textId="77777777" w:rsidR="00CB78E2" w:rsidRDefault="00CB78E2" w:rsidP="00DE2E40">
            <w:pPr>
              <w:pStyle w:val="BodyText"/>
            </w:pPr>
            <w:r>
              <w:t>79</w:t>
            </w:r>
          </w:p>
        </w:tc>
        <w:tc>
          <w:tcPr>
            <w:tcW w:w="1275" w:type="dxa"/>
            <w:vAlign w:val="center"/>
          </w:tcPr>
          <w:p w14:paraId="2EBBC14C" w14:textId="77777777" w:rsidR="00CB78E2" w:rsidRDefault="00CB78E2" w:rsidP="00DE2E40">
            <w:pPr>
              <w:pStyle w:val="BodyText"/>
            </w:pPr>
            <w:r>
              <w:t>17.0</w:t>
            </w:r>
          </w:p>
        </w:tc>
        <w:tc>
          <w:tcPr>
            <w:tcW w:w="1276" w:type="dxa"/>
            <w:vAlign w:val="center"/>
          </w:tcPr>
          <w:p w14:paraId="73F35786" w14:textId="77777777" w:rsidR="00CB78E2" w:rsidRDefault="00CB78E2" w:rsidP="00DE2E40">
            <w:pPr>
              <w:pStyle w:val="BodyText"/>
            </w:pPr>
            <w:r>
              <w:t>1,702</w:t>
            </w:r>
          </w:p>
        </w:tc>
        <w:tc>
          <w:tcPr>
            <w:tcW w:w="1418" w:type="dxa"/>
            <w:vAlign w:val="center"/>
          </w:tcPr>
          <w:p w14:paraId="5971A47E" w14:textId="77777777" w:rsidR="00CB78E2" w:rsidRDefault="00CB78E2" w:rsidP="00DE2E40">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DE2E40">
            <w:pPr>
              <w:pStyle w:val="BodyText"/>
            </w:pPr>
            <w:r>
              <w:t>Stenobrachius leucopsarus†</w:t>
            </w:r>
          </w:p>
        </w:tc>
        <w:tc>
          <w:tcPr>
            <w:tcW w:w="1418" w:type="dxa"/>
            <w:vAlign w:val="center"/>
          </w:tcPr>
          <w:p w14:paraId="14F54453" w14:textId="77777777" w:rsidR="00CB78E2" w:rsidRDefault="00CB78E2" w:rsidP="00DE2E40">
            <w:pPr>
              <w:pStyle w:val="BodyText"/>
            </w:pPr>
            <w:r>
              <w:t>41</w:t>
            </w:r>
          </w:p>
        </w:tc>
        <w:tc>
          <w:tcPr>
            <w:tcW w:w="1275" w:type="dxa"/>
            <w:vAlign w:val="center"/>
          </w:tcPr>
          <w:p w14:paraId="204ADED3" w14:textId="77777777" w:rsidR="00CB78E2" w:rsidRDefault="00CB78E2" w:rsidP="00DE2E40">
            <w:pPr>
              <w:pStyle w:val="BodyText"/>
            </w:pPr>
            <w:r>
              <w:t>32.8</w:t>
            </w:r>
          </w:p>
        </w:tc>
        <w:tc>
          <w:tcPr>
            <w:tcW w:w="1276" w:type="dxa"/>
            <w:vAlign w:val="center"/>
          </w:tcPr>
          <w:p w14:paraId="735300BE" w14:textId="77777777" w:rsidR="00CB78E2" w:rsidRDefault="00CB78E2" w:rsidP="00DE2E40">
            <w:pPr>
              <w:pStyle w:val="BodyText"/>
            </w:pPr>
            <w:r>
              <w:t>3,283</w:t>
            </w:r>
          </w:p>
        </w:tc>
        <w:tc>
          <w:tcPr>
            <w:tcW w:w="1418" w:type="dxa"/>
            <w:vAlign w:val="center"/>
          </w:tcPr>
          <w:p w14:paraId="52506CC9" w14:textId="77777777" w:rsidR="00CB78E2" w:rsidRDefault="00CB78E2" w:rsidP="00DE2E40">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DE2E40">
            <w:pPr>
              <w:pStyle w:val="BodyText"/>
            </w:pPr>
            <w:r>
              <w:lastRenderedPageBreak/>
              <w:t>Trachurus symmetricus†</w:t>
            </w:r>
          </w:p>
        </w:tc>
        <w:tc>
          <w:tcPr>
            <w:tcW w:w="1418" w:type="dxa"/>
            <w:vAlign w:val="center"/>
          </w:tcPr>
          <w:p w14:paraId="200E4613" w14:textId="77777777" w:rsidR="00CB78E2" w:rsidRDefault="00CB78E2" w:rsidP="00DE2E40">
            <w:pPr>
              <w:pStyle w:val="BodyText"/>
            </w:pPr>
            <w:r>
              <w:t>24</w:t>
            </w:r>
          </w:p>
        </w:tc>
        <w:tc>
          <w:tcPr>
            <w:tcW w:w="1275" w:type="dxa"/>
            <w:vAlign w:val="center"/>
          </w:tcPr>
          <w:p w14:paraId="5EA31C78" w14:textId="77777777" w:rsidR="00CB78E2" w:rsidRDefault="00CB78E2" w:rsidP="00DE2E40">
            <w:pPr>
              <w:pStyle w:val="BodyText"/>
            </w:pPr>
            <w:r>
              <w:t>60.8</w:t>
            </w:r>
          </w:p>
        </w:tc>
        <w:tc>
          <w:tcPr>
            <w:tcW w:w="1276" w:type="dxa"/>
            <w:vAlign w:val="center"/>
          </w:tcPr>
          <w:p w14:paraId="32881211" w14:textId="77777777" w:rsidR="00CB78E2" w:rsidRDefault="00CB78E2" w:rsidP="00DE2E40">
            <w:pPr>
              <w:pStyle w:val="BodyText"/>
            </w:pPr>
            <w:r>
              <w:t>6,076</w:t>
            </w:r>
          </w:p>
        </w:tc>
        <w:tc>
          <w:tcPr>
            <w:tcW w:w="1418" w:type="dxa"/>
            <w:vAlign w:val="center"/>
          </w:tcPr>
          <w:p w14:paraId="2929F44A" w14:textId="77777777" w:rsidR="00CB78E2" w:rsidRDefault="00CB78E2" w:rsidP="00DE2E40">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DE2E40">
            <w:pPr>
              <w:pStyle w:val="BodyText"/>
            </w:pPr>
            <w:r>
              <w:t>Thaleichthys pacificus†</w:t>
            </w:r>
          </w:p>
        </w:tc>
        <w:tc>
          <w:tcPr>
            <w:tcW w:w="1418" w:type="dxa"/>
            <w:vAlign w:val="center"/>
          </w:tcPr>
          <w:p w14:paraId="7772D1FE" w14:textId="77777777" w:rsidR="00CB78E2" w:rsidRDefault="00CB78E2" w:rsidP="00DE2E40">
            <w:pPr>
              <w:pStyle w:val="BodyText"/>
            </w:pPr>
            <w:r>
              <w:t>23</w:t>
            </w:r>
          </w:p>
        </w:tc>
        <w:tc>
          <w:tcPr>
            <w:tcW w:w="1275" w:type="dxa"/>
            <w:vAlign w:val="center"/>
          </w:tcPr>
          <w:p w14:paraId="0AEEFE61" w14:textId="77777777" w:rsidR="00CB78E2" w:rsidRDefault="00CB78E2" w:rsidP="00DE2E40">
            <w:pPr>
              <w:pStyle w:val="BodyText"/>
            </w:pPr>
            <w:r>
              <w:t>65.3</w:t>
            </w:r>
          </w:p>
        </w:tc>
        <w:tc>
          <w:tcPr>
            <w:tcW w:w="1276" w:type="dxa"/>
            <w:vAlign w:val="center"/>
          </w:tcPr>
          <w:p w14:paraId="0DA18185" w14:textId="77777777" w:rsidR="00CB78E2" w:rsidRDefault="00CB78E2" w:rsidP="00DE2E40">
            <w:pPr>
              <w:pStyle w:val="BodyText"/>
            </w:pPr>
            <w:r>
              <w:t>6,532</w:t>
            </w:r>
          </w:p>
        </w:tc>
        <w:tc>
          <w:tcPr>
            <w:tcW w:w="1418" w:type="dxa"/>
            <w:vAlign w:val="center"/>
          </w:tcPr>
          <w:p w14:paraId="07F27A3A" w14:textId="77777777" w:rsidR="00CB78E2" w:rsidRDefault="00CB78E2" w:rsidP="00DE2E40">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DE2E40">
            <w:pPr>
              <w:pStyle w:val="BodyText"/>
            </w:pPr>
            <w:r>
              <w:t>Tarletonbeania crenularis†</w:t>
            </w:r>
          </w:p>
        </w:tc>
        <w:tc>
          <w:tcPr>
            <w:tcW w:w="1418" w:type="dxa"/>
            <w:tcBorders>
              <w:bottom w:val="single" w:sz="8" w:space="0" w:color="000000"/>
            </w:tcBorders>
            <w:vAlign w:val="center"/>
          </w:tcPr>
          <w:p w14:paraId="60DE2DEB" w14:textId="77777777" w:rsidR="00CB78E2" w:rsidRDefault="00CB78E2" w:rsidP="00DE2E40">
            <w:pPr>
              <w:pStyle w:val="BodyText"/>
            </w:pPr>
            <w:r>
              <w:t>22</w:t>
            </w:r>
          </w:p>
        </w:tc>
        <w:tc>
          <w:tcPr>
            <w:tcW w:w="1275" w:type="dxa"/>
            <w:tcBorders>
              <w:bottom w:val="single" w:sz="8" w:space="0" w:color="000000"/>
            </w:tcBorders>
            <w:vAlign w:val="center"/>
          </w:tcPr>
          <w:p w14:paraId="469479A5" w14:textId="77777777" w:rsidR="00CB78E2" w:rsidRDefault="00CB78E2" w:rsidP="00DE2E40">
            <w:pPr>
              <w:pStyle w:val="BodyText"/>
            </w:pPr>
            <w:r>
              <w:t>70.8</w:t>
            </w:r>
          </w:p>
        </w:tc>
        <w:tc>
          <w:tcPr>
            <w:tcW w:w="1276" w:type="dxa"/>
            <w:tcBorders>
              <w:bottom w:val="single" w:sz="8" w:space="0" w:color="000000"/>
            </w:tcBorders>
            <w:vAlign w:val="center"/>
          </w:tcPr>
          <w:p w14:paraId="490B90A6" w14:textId="77777777" w:rsidR="00CB78E2" w:rsidRDefault="00CB78E2" w:rsidP="00DE2E40">
            <w:pPr>
              <w:pStyle w:val="BodyText"/>
            </w:pPr>
            <w:r>
              <w:t>7,078</w:t>
            </w:r>
          </w:p>
        </w:tc>
        <w:tc>
          <w:tcPr>
            <w:tcW w:w="1418" w:type="dxa"/>
            <w:tcBorders>
              <w:bottom w:val="single" w:sz="8" w:space="0" w:color="000000"/>
            </w:tcBorders>
            <w:vAlign w:val="center"/>
          </w:tcPr>
          <w:p w14:paraId="5BB904BF" w14:textId="77777777" w:rsidR="00CB78E2" w:rsidRDefault="00CB78E2" w:rsidP="00DE2E40">
            <w:pPr>
              <w:pStyle w:val="BodyText"/>
            </w:pPr>
            <w:r>
              <w:t>19.8</w:t>
            </w:r>
          </w:p>
        </w:tc>
      </w:tr>
    </w:tbl>
    <w:p w14:paraId="3D680CCC" w14:textId="77777777" w:rsidR="00F52C0A" w:rsidRDefault="00F52C0A" w:rsidP="00DE2E40">
      <w:pPr>
        <w:pStyle w:val="BodyText"/>
      </w:pPr>
    </w:p>
    <w:p w14:paraId="096E9EEB" w14:textId="77777777" w:rsidR="0032076E" w:rsidRDefault="00D04708" w:rsidP="000545D1">
      <w:pPr>
        <w:pStyle w:val="Heading1"/>
        <w:spacing w:before="0" w:after="0" w:line="480" w:lineRule="auto"/>
      </w:pPr>
      <w:bookmarkStart w:id="15" w:name="fig:epsilon_sp"/>
      <w:bookmarkStart w:id="16" w:name="discussion"/>
      <w:bookmarkEnd w:id="11"/>
      <w:bookmarkEnd w:id="15"/>
      <w:r>
        <w:t>Discussion</w:t>
      </w:r>
    </w:p>
    <w:p w14:paraId="36549347" w14:textId="6798D62A" w:rsidR="00D00D31" w:rsidRDefault="00000000">
      <w:pPr>
        <w:pStyle w:val="BodyText"/>
      </w:pPr>
      <w:bookmarkStart w:id="17"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eDNA fields (Appendix S1: Figure S1). Optimal sampling effort is therefore not universal but depends on the spatial autocorrelation of the target species and on the precision a survey requires.</w:t>
      </w:r>
    </w:p>
    <w:p w14:paraId="505A8390" w14:textId="77777777" w:rsidR="00F87A78" w:rsidRDefault="00D328B7" w:rsidP="005A7757">
      <w:pPr>
        <w:pStyle w:val="Heading2"/>
        <w:spacing w:line="480" w:lineRule="auto"/>
      </w:pPr>
      <w:bookmarkStart w:id="18" w:name="OLE_LINK2"/>
      <w:r>
        <w:t>Sampling effort, spatial autocorrelation and</w:t>
      </w:r>
      <w:r w:rsidR="005A387E">
        <w:t xml:space="preserve"> prediction accuracy</w:t>
      </w:r>
    </w:p>
    <w:p w14:paraId="65A2E022" w14:textId="44D54CC9" w:rsidR="00D00D31" w:rsidRDefault="00000000">
      <w:pPr>
        <w:pStyle w:val="BodyText"/>
      </w:pPr>
      <w:r>
        <w:t xml:space="preserve">The value of additional sampling effort depends on the spatial structure of the target species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 xml:space="preserve">. Prediction error decreased non-linearly with sampling effort and with increasing spatial autocorrelation, confirming that homogeneously distributed species are inherently easier to reconstruct than patchier ones at equivalent effort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t xml:space="preserve">. The same increase in effort can therefore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t>, which gives a quantitative way to judge when additional effort is informative and when it yields diminishing returns.</w:t>
      </w:r>
    </w:p>
    <w:p w14:paraId="6FD6EA5B" w14:textId="77777777" w:rsidR="00634B41" w:rsidRDefault="00634B41" w:rsidP="00DE2E40">
      <w:pPr>
        <w:pStyle w:val="BodyText"/>
      </w:pPr>
    </w:p>
    <w:p w14:paraId="347D7449" w14:textId="183A754F" w:rsidR="00D00D31" w:rsidRDefault="00000000">
      <w:pPr>
        <w:pStyle w:val="BodyText"/>
      </w:pPr>
      <w:r>
        <w:t xml:space="preserve">Acceptable error is context dependent. Studies requiring high-resolution quantitative estimates may justify stricter precision, whereas broad-scale biodiversity screenings may tolerate looser precision and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64556D">
        <w:rPr>
          <w:noProof/>
        </w:rPr>
        <w:t>(Perkins et al., 2021; Radinger et al., 2019)</w:t>
      </w:r>
      <w:r w:rsidR="00BC31E5">
        <w:fldChar w:fldCharType="end"/>
      </w:r>
      <w:r>
        <w:t xml:space="preserve">. Once the required </w:t>
      </w:r>
      <w:r>
        <w:lastRenderedPageBreak/>
        <w:t xml:space="preserve">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708AC5B8" w14:textId="77777777" w:rsidR="00F87A78" w:rsidRDefault="00F87A78" w:rsidP="00DE2E40">
      <w:pPr>
        <w:pStyle w:val="BodyText"/>
      </w:pPr>
    </w:p>
    <w:p w14:paraId="4BE2D8A1" w14:textId="0BFDE2AE" w:rsidR="00D00D31" w:rsidRDefault="00000000">
      <w:pPr>
        <w:pStyle w:val="BodyText"/>
      </w:pPr>
      <w:r>
        <w:t>Although effort is reported per 10,000 km</w:t>
      </w:r>
      <w:r>
        <w:rPr>
          <w:vertAlign w:val="superscript"/>
        </w:rPr>
        <w:t>2</w:t>
      </w:r>
      <w:r>
        <w:t xml:space="preserve">, what matters most is how far apart samples are relative to the autocorrelation of a species. A sampling effort </w:t>
      </w:r>
      <w:r>
        <w:rPr>
          <w:i/>
        </w:rPr>
        <w:t>E</w:t>
      </w:r>
      <w:r>
        <w:t xml:space="preserve"> places samples roughly </w:t>
      </w:r>
      <w:r>
        <w:sym w:font="Symbol" w:char="F0D6"/>
      </w:r>
      <w:r>
        <w:t>(10,000/</w:t>
      </w:r>
      <w:r>
        <w:rPr>
          <w:i/>
        </w:rPr>
        <w:t>E</w:t>
      </w:r>
      <w:r>
        <w:t>) km apart, so the effort needed for a given target error can equivalently be expressed as the ratio of sample spacing to length-scale (</w:t>
      </w:r>
      <w:r>
        <w:rPr>
          <w:i/>
        </w:rPr>
        <w:t>d</w:t>
      </w:r>
      <w:r>
        <w:t>/</w:t>
      </w:r>
      <w:r>
        <w:rPr>
          <w:i/>
        </w:rPr>
        <w:t>ρ</w:t>
      </w:r>
      <w:r>
        <w:t>). In the 2019 survey (</w:t>
      </w:r>
      <w:r>
        <w:rPr>
          <w:i/>
        </w:rPr>
        <w:t>E</w:t>
      </w:r>
      <w:r>
        <w:t xml:space="preserve"> = 3.6), spacing was about 53 km, giving a </w:t>
      </w:r>
      <w:r>
        <w:rPr>
          <w:i/>
        </w:rPr>
        <w:t>d</w:t>
      </w:r>
      <w:r>
        <w:t>/</w:t>
      </w:r>
      <w:r>
        <w:rPr>
          <w:i/>
        </w:rPr>
        <w:t>ρ</w:t>
      </w:r>
      <w:r>
        <w:t xml:space="preserve"> of roughly 2.4 for the patchiest taxon (</w:t>
      </w:r>
      <w:r>
        <w:rPr>
          <w:i/>
        </w:rPr>
        <w:t>ρ</w:t>
      </w:r>
      <w:r>
        <w:t xml:space="preserve"> = 22 km) and 0.04 for the smoothest (</w:t>
      </w:r>
      <w:r>
        <w:rPr>
          <w:i/>
        </w:rPr>
        <w:t>ρ</w:t>
      </w:r>
      <w:r>
        <w:t xml:space="preserve"> = 1283 km; Table 1). In the first case neighbouring samples are separated by more than two length-scales and share little information, whereas in the second many samples fall within a single length-scale and carry overlapping information, which is why the same effort can be too sparse for one taxon and sufficient for another. Expressing effort relative to length-scale also makes the result easier to carry to domains of different size or to surveys with different numbers of depth strata, although the ratio is not a single fixed threshold because error depends on </w:t>
      </w:r>
      <w:r>
        <w:rPr>
          <w:i/>
        </w:rPr>
        <w:t>E</w:t>
      </w:r>
      <w:r>
        <w:t xml:space="preserve"> and </w:t>
      </w:r>
      <w:r>
        <w:rPr>
          <w:i/>
        </w:rPr>
        <w:t>ρ</w:t>
      </w:r>
      <w:r>
        <w:t xml:space="preserve"> jointly (Eq. 6), and its transferability beyond the domain and length-scales studied here remains to be tested.</w:t>
      </w:r>
    </w:p>
    <w:p w14:paraId="5A632DC5" w14:textId="77777777" w:rsidR="000533E5" w:rsidRDefault="00000000" w:rsidP="00EF778F">
      <w:pPr>
        <w:pStyle w:val="Heading2"/>
      </w:pPr>
      <w:r>
        <w:t>Case study: agreement with observed data and implications</w:t>
      </w:r>
    </w:p>
    <w:p w14:paraId="589D7699" w14:textId="45F45C3C" w:rsidR="00D00D31" w:rsidRDefault="00000000">
      <w:pPr>
        <w:pStyle w:val="BodyText"/>
      </w:pPr>
      <w:r>
        <w:t>In the case study, the error model estimated from the simulations reproduced the structure of the model estimated from the observed data, with the intercept (</w:t>
      </w:r>
      <w:r>
        <w:rPr>
          <w:i/>
        </w:rPr>
        <w:t>ω</w:t>
      </w:r>
      <w:r>
        <w:t>), the effect of sampling density (</w:t>
      </w:r>
      <w:r>
        <w:rPr>
          <w:i/>
        </w:rPr>
        <w:t>β</w:t>
      </w:r>
      <w:r>
        <w:t>), the effect of spatial autocorrelation (</w:t>
      </w:r>
      <w:r>
        <w:rPr>
          <w:i/>
        </w:rPr>
        <w:t>θ</w:t>
      </w:r>
      <w:r>
        <w:t>) and their interaction (</w:t>
      </w:r>
      <w:r>
        <w:rPr>
          <w:i/>
        </w:rPr>
        <w:t>γ</w:t>
      </w:r>
      <w:r>
        <w:t xml:space="preserve">) showing consistent directional effects and aligning closely with the 1:1 line (Appendix S1: Figure S1). This supports the use of the simulation-derived coefficients for taxa and domains similar to those studied here. Where the </w:t>
      </w:r>
      <w:r>
        <w:lastRenderedPageBreak/>
        <w:t>observed errors departed from the simulations, notably at intermediate autocorrelation levels, the likely cause is the departure of real eDNA fields from a single stationary length-scale (see Assumptions and limitations of the method). Used with the species-specific length-scales, the planner showed that the 358 samples collected in 2019 met a target error of 0.5 only for the smoothest taxa, with the shortfall growing as the length-scale decreased (Table 1).</w:t>
      </w:r>
    </w:p>
    <w:p w14:paraId="2BDBAAD1" w14:textId="4A833673" w:rsidR="00D00D31" w:rsidRDefault="00000000">
      <w:pPr>
        <w:pStyle w:val="BodyText"/>
      </w:pPr>
      <w:bookmarkStart w:id="19" w:name="OLE_LINK13"/>
      <w:r>
        <w:t>The case study is also the main limit on how far these conclusions can be generalized. It covers 12 fish species from a single region, season (summer 2019), survey and assay, within one domain of about 200,000 km</w:t>
      </w:r>
      <w:r>
        <w:rPr>
          <w:vertAlign w:val="superscript"/>
        </w:rPr>
        <w:t>2</w:t>
      </w:r>
      <w:r>
        <w:t>,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built to test this directly, because the same workflow can be applied to any dataset using the archived code, the observed and simulated coefficients can be compared as in Appendix S1: Figure S1, and recalibrated coefficients can be entered into the planner.</w:t>
      </w:r>
    </w:p>
    <w:p w14:paraId="749B53C1" w14:textId="77777777" w:rsidR="00BF0925" w:rsidRDefault="00BF0925" w:rsidP="00DE2E40">
      <w:pPr>
        <w:pStyle w:val="BodyText"/>
      </w:pPr>
    </w:p>
    <w:bookmarkEnd w:id="18"/>
    <w:bookmarkEnd w:id="19"/>
    <w:p w14:paraId="4C243B52" w14:textId="77777777" w:rsidR="00A318B1" w:rsidRPr="000D2BF7" w:rsidRDefault="000F7C17" w:rsidP="00EF778F">
      <w:pPr>
        <w:pStyle w:val="Heading2"/>
        <w:rPr>
          <w:i/>
          <w:iCs/>
        </w:rPr>
      </w:pPr>
      <w:r>
        <w:t>Assumptions and limitations of the method</w:t>
      </w:r>
    </w:p>
    <w:p w14:paraId="2534E899" w14:textId="77777777" w:rsidR="00D00D31" w:rsidRDefault="00000000">
      <w:pPr>
        <w:pStyle w:val="BodyText"/>
      </w:pPr>
      <w:r>
        <w:t xml:space="preserve">A first limitation concerns how well </w:t>
      </w:r>
      <w:r>
        <w:rPr>
          <w:i/>
        </w:rPr>
        <w:t>ρ</w:t>
      </w:r>
      <w:r>
        <w:t xml:space="preserve"> itself can be estimated at the sampling effort available in the case study. The 358 samples correspond to an average spacing of about 53 km (</w:t>
      </w:r>
      <w:r>
        <w:rPr>
          <w:i/>
        </w:rPr>
        <w:t>E</w:t>
      </w:r>
      <w:r>
        <w:t xml:space="preserve"> = 3.6 samples per 10,000 km</w:t>
      </w:r>
      <w:r>
        <w:rPr>
          <w:vertAlign w:val="superscript"/>
        </w:rPr>
        <w:t>2</w:t>
      </w:r>
      <w:r>
        <w:t xml:space="preserve"> per depth layer), below the density at which the recovery of </w:t>
      </w:r>
      <w:r>
        <w:rPr>
          <w:i/>
        </w:rPr>
        <w:t>ρ</w:t>
      </w:r>
      <w:r>
        <w:t xml:space="preserve"> stabilized in the simulations (Figure 4A). At this effort, length-scales may be over- or under-estimated at both ends of the range. For very patchy taxa (</w:t>
      </w:r>
      <w:r>
        <w:rPr>
          <w:i/>
        </w:rPr>
        <w:t>ρ</w:t>
      </w:r>
      <w:r>
        <w:t xml:space="preserve"> below roughly 50 to 100 km), spacing is comparable to or greater than the distance over which samples remain correlated, so few sample pairs resolve how </w:t>
      </w:r>
      <w:r>
        <w:lastRenderedPageBreak/>
        <w:t>quickly correlation decays. For very smooth taxa (</w:t>
      </w:r>
      <w:r>
        <w:rPr>
          <w:i/>
        </w:rPr>
        <w:t>ρ</w:t>
      </w:r>
      <w:r>
        <w:t xml:space="preserve"> above roughly 500 km, including the two taxa whose estimates exceed the 1000 km upper limit of the simulations), the length-scale approaches the extent of the domain and becomes difficult to separate from the depth-specific mean (Figure 4A, C). The shortest and longest length-scales in Table 1 should therefore be read as indicative rather than precise. Because </w:t>
      </w:r>
      <w:r>
        <w:rPr>
          <w:i/>
        </w:rPr>
        <w:t>ρ</w:t>
      </w:r>
      <w:r>
        <w:t xml:space="preserve"> is the main input to the planner, errors in its estimate carry through to the effort the planner returns, and users working with taxa at either extreme may wish to explore a range of plausible length-scales rather than a single value.</w:t>
      </w:r>
    </w:p>
    <w:p w14:paraId="79CBF2CC" w14:textId="5B1123B6" w:rsidR="00D00D31" w:rsidRDefault="00000000">
      <w:pPr>
        <w:pStyle w:val="BodyText"/>
      </w:pPr>
      <w:r>
        <w:t>Extrapolating directly from simulations to natural systems also requires</w:t>
      </w:r>
      <w:r w:rsidR="00BE0F5F">
        <w:t xml:space="preserve"> </w:t>
      </w:r>
      <w:r w:rsidR="0053049B">
        <w:t>caution</w:t>
      </w:r>
      <w:r w:rsidR="0053049B">
        <w:t xml:space="preserve"> </w:t>
      </w:r>
      <w:r>
        <w:t xml:space="preserve">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In addition, </w:t>
      </w:r>
      <w:r w:rsidR="00BE0F5F">
        <w:t>e</w:t>
      </w:r>
      <w:r>
        <w:t xml:space="preserve">cological processes such as migration, schooling, habitat discontinuities or patchy prey fields can also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xml:space="preserve">, and may help explain the elevated prediction error at intermediate autocorrelation levels in the empirical data, where such complexity is not represented in the simulations. </w:t>
      </w:r>
      <w:r w:rsidR="00BE0F5F">
        <w:t>Lastly, o</w:t>
      </w:r>
      <w:r>
        <w:t xml:space="preserve">bservation error in eDNA data is unlikely to be purely Gaussian, arising from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but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so they are unlikely to bias the results presented here.</w:t>
      </w:r>
    </w:p>
    <w:p w14:paraId="202E6550" w14:textId="0778A86A" w:rsidR="00D00D31" w:rsidRDefault="00000000">
      <w:pPr>
        <w:pStyle w:val="BodyText"/>
      </w:pPr>
      <w:r>
        <w:t xml:space="preserve">Furthermore, the simulation assumes a stationary GP with fixed amplitude and noise and a single length-scale across depths, whereas real eDNA fields may have variable variance structure, </w:t>
      </w:r>
      <w:r>
        <w:lastRenderedPageBreak/>
        <w:t xml:space="preserve">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r>
        <w:rPr>
          <w:i/>
        </w:rPr>
        <w:t>ε</w:t>
      </w:r>
      <w:r>
        <w:rPr>
          <w:vertAlign w:val="subscript"/>
        </w:rPr>
        <w:t>sim</w:t>
      </w:r>
      <w:r>
        <w:t>)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2AB9D3F6" w14:textId="77777777" w:rsidR="008540C6" w:rsidRDefault="008540C6" w:rsidP="00DE2E40">
      <w:pPr>
        <w:pStyle w:val="BodyText"/>
      </w:pPr>
    </w:p>
    <w:p w14:paraId="2EF16270" w14:textId="12BE57C9" w:rsidR="00D00D31" w:rsidRDefault="00000000">
      <w:pPr>
        <w:pStyle w:val="BodyText"/>
      </w:pPr>
      <w:r>
        <w:t xml:space="preserve">Intrinsically, eDNA integrates ecological information through space and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so even where organisms are locally patchy the observed eDNA field may be smoother than the organism field, depending on hydrodynamic conditions and degradation rates. Such integration is embedded within the inferred length-scale, so </w:t>
      </w:r>
      <w:r>
        <w:rPr>
          <w:i/>
          <w:iCs/>
          <w:lang w:val="el-GR"/>
        </w:rPr>
        <w:t>ρ</w:t>
      </w:r>
      <w:r>
        <w:t xml:space="preserve"> should be interpreted as an effective length-scale of the observed eDNA field rather than a purely ecological niche 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7D5A3B40" w14:textId="7D8A7EFC" w:rsidR="00D00D31" w:rsidRDefault="00000000">
      <w:pPr>
        <w:pStyle w:val="BodyText"/>
      </w:pPr>
      <w:bookmarkStart w:id="20" w:name="OLE_LINK3"/>
      <w:r>
        <w:t>Spatial scale also sets an important boundary on the applicability of these results. The relationships identified here should be interpreted relative to the extent and resolution of the study domain rather than as fixed thresholds transferable across all systems. In a small domain, the autocorrelation scale of the observed eDNA field may exceed the survey extent, making the field appear nearly uniform and the depth-specific mean (</w:t>
      </w:r>
      <w:r>
        <w:rPr>
          <w:i/>
        </w:rPr>
        <w:t>μ</w:t>
      </w:r>
      <w:r>
        <w:rPr>
          <w:i/>
          <w:vertAlign w:val="subscript"/>
        </w:rPr>
        <w:t>d</w:t>
      </w:r>
      <w:r>
        <w:t xml:space="preserve">) difficult to estimate independently of the spatial process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t>.</w:t>
      </w:r>
    </w:p>
    <w:p w14:paraId="4B0D4D11" w14:textId="77777777" w:rsidR="008540C6" w:rsidRDefault="008540C6" w:rsidP="00DE2E40">
      <w:pPr>
        <w:pStyle w:val="BodyText"/>
      </w:pPr>
    </w:p>
    <w:p w14:paraId="2CE730D7" w14:textId="77777777" w:rsidR="00BD1D03" w:rsidRDefault="00000000" w:rsidP="000545D1">
      <w:pPr>
        <w:pStyle w:val="Heading1"/>
        <w:spacing w:before="0" w:after="0" w:line="480" w:lineRule="auto"/>
      </w:pPr>
      <w:r>
        <w:lastRenderedPageBreak/>
        <w:t>Perspectives and applications</w:t>
      </w:r>
    </w:p>
    <w:p w14:paraId="099FFAEB" w14:textId="63D5453C" w:rsidR="00D00D31" w:rsidRDefault="00000000">
      <w:pPr>
        <w:pStyle w:val="BodyText"/>
      </w:pPr>
      <w:r>
        <w:t xml:space="preserve">The eDNA Survey Planner turns a single estimable quantity, the spatial autocorrelation of the target taxon, into a transparent calculation that can be run before a vessel leaves port. It needs only a prior estimate of </w:t>
      </w:r>
      <w:r>
        <w:rPr>
          <w:i/>
        </w:rPr>
        <w:t>ρ</w:t>
      </w:r>
      <w:r>
        <w:t xml:space="preserve"> and a target error, runs offline in a web browser and uploads no data, so it is accessible to the people who allocate ship time and not only to those who fit geostatistical models. It can be used in either direction, converting a target error into the sampling density a survey needs, or converting a fixed sample budget into the area that can be covered at that error. Because the same relationship can be applied to an existing design, the planner also supports retrospective use, as in the case study, where it showed how far a completed survey met a stated precision for each taxon.</w:t>
      </w:r>
    </w:p>
    <w:p w14:paraId="5969B5CD" w14:textId="71C9D3B4" w:rsidR="00D00D31" w:rsidRDefault="00000000">
      <w:pPr>
        <w:pStyle w:val="BodyText"/>
      </w:pPr>
      <w:r>
        <w:t xml:space="preserve">Three applications follow. For data collection, the planner lets survey teams state their assumptions about spatial structure and precision at the proposal stage and compare designs for taxa with different length-scales. For monitoring and management, it can be used to evaluate whether existing programs are matched to the objectives they are meant to serve, and to anticipate how effort may need to change if new target taxa are added. </w:t>
      </w:r>
      <w:r w:rsidR="0053049B" w:rsidRPr="0053049B">
        <w:t>For policy, it offers a transparent and reproducible way to justify the sampling effort written into monitoring plans, survey proposals and funding requests, because the length-scale, target error and calibration behind that effort can be stated openly and revisited as new data accumulate. Where eDNA is being considered for conservation or regulatory reporting, this documentation could help agencies and reviewers judge whether a survey was designed to resolve the taxa and the patchiness that matter for the decision.</w:t>
      </w:r>
    </w:p>
    <w:p w14:paraId="0919769D" w14:textId="77777777" w:rsidR="0053049B" w:rsidRDefault="0053049B">
      <w:pPr>
        <w:pStyle w:val="BodyText"/>
      </w:pPr>
    </w:p>
    <w:p w14:paraId="47706EA9" w14:textId="77777777" w:rsidR="00D00D31" w:rsidRDefault="00000000">
      <w:pPr>
        <w:pStyle w:val="BodyText"/>
      </w:pPr>
      <w:r>
        <w:t xml:space="preserve">The planner is designed to be adapted rather than applied as a fixed rule. Its coefficients can be edited, so that programs can substitute a calibration for their own region, taxa or assay by applying </w:t>
      </w:r>
      <w:r>
        <w:lastRenderedPageBreak/>
        <w:t>the workflow to their own data with the archived code, and the length-scales estimated here for 12 fish species can serve as starting priors until such calibrations exist. Reporting estimated length-scales alongside concentration results would allow these priors to accumulate across surveys and regions. Natural extensions include propagating uncertainty in the model coefficients, which the current version does not do, relaxing the stationary, isotropic kernel to allow non-stationary, anisotropic or covariate-dependent spatial structure, and linking length-scales to independent abundance data so that they can be interpreted ecologically as well as statistically. Because the code and the planner are openly available, such extensions and regional calibrations can be developed and shared by the wider eDNA community.</w:t>
      </w:r>
    </w:p>
    <w:p w14:paraId="2FD47381" w14:textId="77777777" w:rsidR="00480748" w:rsidRDefault="00480748" w:rsidP="00DE2E40">
      <w:pPr>
        <w:pStyle w:val="BodyText"/>
      </w:pPr>
    </w:p>
    <w:p w14:paraId="34732D63" w14:textId="77777777" w:rsidR="00AB53F8" w:rsidRDefault="00AB53F8" w:rsidP="00DE2E40">
      <w:pPr>
        <w:pStyle w:val="BodyText"/>
      </w:pPr>
      <w:bookmarkStart w:id="21" w:name="OLE_LINK1"/>
      <w:bookmarkEnd w:id="20"/>
      <w:bookmarkEnd w:id="21"/>
    </w:p>
    <w:p w14:paraId="0933AE07" w14:textId="77777777" w:rsidR="00BD1D03" w:rsidRDefault="00000000" w:rsidP="000545D1">
      <w:pPr>
        <w:pStyle w:val="Heading1"/>
        <w:spacing w:before="0" w:after="0" w:line="480" w:lineRule="auto"/>
      </w:pPr>
      <w:r>
        <w:t>Acknowledgments</w:t>
      </w:r>
    </w:p>
    <w:p w14:paraId="1EA7F92B" w14:textId="77777777" w:rsidR="00BD1D03" w:rsidRDefault="00000000" w:rsidP="00DE2E40">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DE2E40">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DE2E40">
      <w:pPr>
        <w:pStyle w:val="BodyText"/>
      </w:pPr>
      <w:r>
        <w:t xml:space="preserve">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w:t>
      </w:r>
      <w:r>
        <w:lastRenderedPageBreak/>
        <w:t>conceptualization, funding acquisition and discussion. All authors contributed critically to the drafts and gave final approval for publication.</w:t>
      </w:r>
    </w:p>
    <w:p w14:paraId="030188EE" w14:textId="77777777" w:rsidR="0005381B" w:rsidRDefault="0005381B" w:rsidP="00DE2E40">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DE2E40">
      <w:pPr>
        <w:pStyle w:val="BodyText"/>
      </w:pPr>
      <w:r>
        <w:t>The authors declare no conflicts of interest.</w:t>
      </w:r>
    </w:p>
    <w:p w14:paraId="5450AF37" w14:textId="77777777" w:rsidR="00DE3F70" w:rsidRDefault="00DE3F70" w:rsidP="00DE2E40">
      <w:pPr>
        <w:pStyle w:val="BodyText"/>
      </w:pPr>
    </w:p>
    <w:p w14:paraId="74B35DB3" w14:textId="77777777" w:rsidR="0032076E" w:rsidRPr="002877EE" w:rsidRDefault="00625110" w:rsidP="00411FC1">
      <w:pPr>
        <w:pStyle w:val="Heading1"/>
      </w:pPr>
      <w:bookmarkStart w:id="22" w:name="fig:mu_rho_N"/>
      <w:bookmarkStart w:id="23" w:name="appendix"/>
      <w:bookmarkEnd w:id="16"/>
      <w:bookmarkEnd w:id="17"/>
      <w:r w:rsidRPr="00625110">
        <w:t>Refere</w:t>
      </w:r>
      <w:r w:rsidR="00C10BA1">
        <w:t>n</w:t>
      </w:r>
      <w:r w:rsidRPr="00625110">
        <w:t>ces</w:t>
      </w:r>
    </w:p>
    <w:bookmarkEnd w:id="22"/>
    <w:bookmarkEnd w:id="23"/>
    <w:p w14:paraId="201EA539" w14:textId="77777777" w:rsidR="0092112F" w:rsidRPr="0092112F" w:rsidRDefault="00F553D1" w:rsidP="000545D1">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0545D1">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0545D1">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0545D1">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w:t>
      </w:r>
      <w:r w:rsidRPr="0092112F">
        <w:rPr>
          <w:rFonts w:cs="Times New Roman"/>
        </w:rPr>
        <w:lastRenderedPageBreak/>
        <w:t xml:space="preserve">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0545D1">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0545D1">
      <w:pPr>
        <w:pStyle w:val="Bibliography"/>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0545D1">
      <w:pPr>
        <w:pStyle w:val="Bibliography"/>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0545D1">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0545D1">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0545D1">
      <w:pPr>
        <w:pStyle w:val="Bibliography"/>
        <w:rPr>
          <w:rFonts w:cs="Times New Roman"/>
        </w:rPr>
      </w:pPr>
      <w:r w:rsidRPr="0092112F">
        <w:rPr>
          <w:rFonts w:cs="Times New Roman"/>
        </w:rPr>
        <w:lastRenderedPageBreak/>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0545D1">
      <w:pPr>
        <w:pStyle w:val="Bibliography"/>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0545D1">
      <w:pPr>
        <w:pStyle w:val="Bibliography"/>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0545D1">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0545D1">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0545D1">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0545D1">
      <w:pPr>
        <w:pStyle w:val="Bibliography"/>
        <w:rPr>
          <w:rFonts w:cs="Times New Roman"/>
        </w:rPr>
      </w:pPr>
      <w:r w:rsidRPr="0092112F">
        <w:rPr>
          <w:rFonts w:cs="Times New Roman"/>
        </w:rPr>
        <w:lastRenderedPageBreak/>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0545D1">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0545D1">
      <w:pPr>
        <w:pStyle w:val="Bibliography"/>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0545D1">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0545D1">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0545D1">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rsidP="000545D1">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w:t>
      </w:r>
      <w:r w:rsidRPr="0092112F">
        <w:rPr>
          <w:rFonts w:cs="Times New Roman"/>
        </w:rPr>
        <w:lastRenderedPageBreak/>
        <w:t xml:space="preserve">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0545D1">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0545D1">
      <w:pPr>
        <w:pStyle w:val="Bibliography"/>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0545D1">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0545D1">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0545D1">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0545D1">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w:t>
      </w:r>
      <w:r w:rsidRPr="0092112F">
        <w:rPr>
          <w:rFonts w:cs="Times New Roman"/>
        </w:rPr>
        <w:lastRenderedPageBreak/>
        <w:t xml:space="preserve">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0545D1">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sidRPr="0092112F">
        <w:rPr>
          <w:rFonts w:cs="Times New Roman"/>
        </w:rPr>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0545D1">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0545D1">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0545D1">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0545D1">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0545D1">
      <w:pPr>
        <w:pStyle w:val="Bibliography"/>
        <w:rPr>
          <w:rFonts w:cs="Times New Roman"/>
        </w:rPr>
      </w:pPr>
      <w:r w:rsidRPr="0092112F">
        <w:rPr>
          <w:rFonts w:cs="Times New Roman"/>
        </w:rPr>
        <w:lastRenderedPageBreak/>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0545D1">
      <w:pPr>
        <w:pStyle w:val="Bibliography"/>
      </w:pPr>
      <w:r w:rsidRPr="007A589B">
        <w:rPr>
          <w:rFonts w:cs="Times New Roman"/>
        </w:rPr>
        <w:fldChar w:fldCharType="end"/>
      </w:r>
      <w:r w:rsidR="000974AE">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DE2E40">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DE2E40">
      <w:pPr>
        <w:pStyle w:val="BodyText"/>
      </w:pPr>
      <w:r>
        <w:rPr>
          <w:b/>
        </w:rPr>
        <w:t>Figure 2.</w:t>
      </w:r>
      <w:r>
        <w:t xml:space="preserve"> </w:t>
      </w:r>
      <w:r w:rsidR="007C575B">
        <w:t xml:space="preserve">Workflow of the method for simulated (A, </w:t>
      </w:r>
      <w:r w:rsidR="007C575B" w:rsidRPr="006859D7">
        <w:rPr>
          <w:i/>
        </w:rPr>
        <w:t>in silico</w:t>
      </w:r>
      <w:r w:rsidR="007C575B">
        <w:t xml:space="preserve">, true spatial field known) and real-world (B, </w:t>
      </w:r>
      <w:r w:rsidR="007C575B" w:rsidRPr="006859D7">
        <w:rPr>
          <w:i/>
        </w:rPr>
        <w:t>in situ</w:t>
      </w:r>
      <w:r w:rsidR="007C575B">
        <w:t>, true spatial field unknown) eDNA data. In Step 0 a spatial field with known parameters is generated on a discrete grid (</w:t>
      </w:r>
      <w:r w:rsidR="007C575B" w:rsidRPr="006859D7">
        <w:rPr>
          <w:i/>
        </w:rPr>
        <w:t>Q</w:t>
      </w:r>
      <w:r w:rsidR="007C575B">
        <w:t>, simulations only), in Step 1 the field is sampled (</w:t>
      </w:r>
      <w:r w:rsidR="007C575B" w:rsidRPr="006859D7">
        <w:rPr>
          <w:i/>
        </w:rPr>
        <w:t>Y</w:t>
      </w:r>
      <w:r w:rsidR="007C575B">
        <w:t>) and a GP model is fitted to predict the reference field (</w:t>
      </w:r>
      <w:r w:rsidR="007C575B" w:rsidRPr="006859D7">
        <w:rPr>
          <w:i/>
        </w:rPr>
        <w:t>Z</w:t>
      </w:r>
      <w:r w:rsidR="007C575B">
        <w:t>), in Step 2 the samples are thinned to fewer samples (</w:t>
      </w:r>
      <w:r w:rsidR="007C575B" w:rsidRPr="006859D7">
        <w:rPr>
          <w:i/>
        </w:rPr>
        <w:t>Y</w:t>
      </w:r>
      <w:r w:rsidR="007C575B" w:rsidRPr="006859D7">
        <w:rPr>
          <w:vertAlign w:val="subscript"/>
        </w:rPr>
        <w:t>E</w:t>
      </w:r>
      <w:r w:rsidR="007C575B">
        <w:t>) and the GP model is refitted to predict the field again (</w:t>
      </w:r>
      <w:r w:rsidR="007C575B" w:rsidRPr="006859D7">
        <w:rPr>
          <w:i/>
        </w:rPr>
        <w:t>S</w:t>
      </w:r>
      <w:r w:rsidR="007C575B" w:rsidRPr="006859D7">
        <w:rPr>
          <w:vertAlign w:val="subscript"/>
        </w:rPr>
        <w:t>E</w:t>
      </w:r>
      <w:r w:rsidR="007C575B">
        <w:t>), and in Step 3 the resulting prediction errors are related to sampling effort and spatial autocorrelation. Three prediction errors are calculated, ε</w:t>
      </w:r>
      <w:r w:rsidR="007C575B" w:rsidRPr="006859D7">
        <w:rPr>
          <w:vertAlign w:val="subscript"/>
        </w:rPr>
        <w:t>sim</w:t>
      </w:r>
      <w:r w:rsidR="007C575B">
        <w:t xml:space="preserve"> and ε</w:t>
      </w:r>
      <w:r w:rsidR="007C575B" w:rsidRPr="006859D7">
        <w:rPr>
          <w:vertAlign w:val="subscript"/>
        </w:rPr>
        <w:t>sim,358</w:t>
      </w:r>
      <w:r w:rsidR="007C575B">
        <w:t xml:space="preserve"> for the simulated data (using </w:t>
      </w:r>
      <w:r w:rsidR="007C575B" w:rsidRPr="006859D7">
        <w:rPr>
          <w:i/>
        </w:rPr>
        <w:t>Z</w:t>
      </w:r>
      <w:r w:rsidR="007C575B">
        <w:t xml:space="preserve"> and the prediction from 358 samples as the reference, respectively) and ε</w:t>
      </w:r>
      <w:r w:rsidR="007C575B" w:rsidRPr="006859D7">
        <w:rPr>
          <w:vertAlign w:val="subscript"/>
        </w:rPr>
        <w:t>obs</w:t>
      </w:r>
      <w:r w:rsidR="007C575B">
        <w:t xml:space="preserve"> for the observed data, and each is fitted to a relationship with </w:t>
      </w:r>
      <w:r w:rsidR="007C575B" w:rsidRPr="006859D7">
        <w:rPr>
          <w:i/>
        </w:rPr>
        <w:t>ρ</w:t>
      </w:r>
      <w:r w:rsidR="007C575B">
        <w:t xml:space="preserve"> and </w:t>
      </w:r>
      <w:r w:rsidR="007C575B" w:rsidRPr="006859D7">
        <w:rPr>
          <w:i/>
        </w:rPr>
        <w:t>E</w:t>
      </w:r>
      <w:r w:rsidR="007C575B">
        <w:t xml:space="preserve"> (Eq. 6).</w:t>
      </w:r>
    </w:p>
    <w:p w14:paraId="481AA01C" w14:textId="173BA0B7" w:rsidR="00BD1D03" w:rsidRDefault="00000000" w:rsidP="00DE2E40">
      <w:pPr>
        <w:pStyle w:val="BodyText"/>
      </w:pPr>
      <w:r>
        <w:rPr>
          <w:b/>
        </w:rPr>
        <w:t>Figure 3.</w:t>
      </w:r>
      <w:r>
        <w:t xml:space="preserve"> Prediction error (</w:t>
      </w:r>
      <w:r>
        <w:rPr>
          <w:i/>
        </w:rPr>
        <w:t>ε</w:t>
      </w:r>
      <w:r>
        <w:rPr>
          <w:vertAlign w:val="subscript"/>
        </w:rPr>
        <w:t>sim</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DE2E40">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DE2E40">
      <w:pPr>
        <w:pStyle w:val="BodyText"/>
      </w:pPr>
      <w:r>
        <w:rPr>
          <w:b/>
        </w:rPr>
        <w:t>Figure 5.</w:t>
      </w:r>
      <w:r>
        <w:t xml:space="preserve"> Gaussian process parameter estimates for the 12 species. (A) Spatial autocorrelation 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DE2E40">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DE2E40">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DE2E40">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DE2E40">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DE2E40">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Gledis Guri" w:date="2026-10-03T23:14:00Z" w:initials="GG">
    <w:p w14:paraId="1F615265" w14:textId="77777777" w:rsidR="00131911" w:rsidRDefault="00131911" w:rsidP="00131911">
      <w:r>
        <w:rPr>
          <w:rStyle w:val="CommentReference"/>
        </w:rPr>
        <w:annotationRef/>
      </w:r>
      <w:r>
        <w:rPr>
          <w:sz w:val="20"/>
          <w:szCs w:val="20"/>
        </w:rPr>
        <w:t>Link these 2 paragraphs together. I think there's a discrepancy between the finishing of the first paragraph and the beginning of the second paragraph. Also I really dislike ":" so please remove them and use words instead of :</w:t>
      </w:r>
    </w:p>
  </w:comment>
  <w:comment w:id="14" w:author="Gledis Guri" w:date="2026-10-03T23:24:00Z" w:initials="GG">
    <w:p w14:paraId="4D52EFC3" w14:textId="5F8504AF" w:rsidR="005114CF" w:rsidRDefault="005114CF">
      <w:pPr>
        <w:pStyle w:val="CommentText"/>
      </w:pPr>
      <w:r>
        <w:rPr>
          <w:rStyle w:val="CommentReference"/>
        </w:rPr>
        <w:annotationRef/>
      </w:r>
      <w:r>
        <w:t>Merged the two paragraphs into one. The fitting of Eq. 6 to εobs now leads straight into why the observed and simulated errors must be made comparable, then how that was done. Removed the colons here and in the following paragraph, rephrasing them in words (the 1:1 line is kept).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615265" w15:done="1"/>
  <w15:commentEx w15:paraId="4D52EFC3" w15:paraIdParent="1F6152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E3175F" w16cex:dateUtc="2026-10-04T06:14:00Z"/>
  <w16cex:commentExtensible w16cex:durableId="18EEF0AB" w16cex:dateUtc="2026-10-04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615265" w16cid:durableId="04E3175F"/>
  <w16cid:commentId w16cid:paraId="4D52EFC3" w16cid:durableId="18EEF0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B7C057" w14:textId="77777777" w:rsidR="0082764B" w:rsidRDefault="0082764B" w:rsidP="009A2297">
      <w:pPr>
        <w:spacing w:after="0"/>
      </w:pPr>
      <w:r>
        <w:separator/>
      </w:r>
    </w:p>
  </w:endnote>
  <w:endnote w:type="continuationSeparator" w:id="0">
    <w:p w14:paraId="7F84CF57" w14:textId="77777777" w:rsidR="0082764B" w:rsidRDefault="0082764B"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01144D" w14:textId="77777777" w:rsidR="0082764B" w:rsidRDefault="0082764B" w:rsidP="009A2297">
      <w:pPr>
        <w:spacing w:after="0"/>
      </w:pPr>
      <w:r>
        <w:separator/>
      </w:r>
    </w:p>
  </w:footnote>
  <w:footnote w:type="continuationSeparator" w:id="0">
    <w:p w14:paraId="2E86AC7D" w14:textId="77777777" w:rsidR="0082764B" w:rsidRDefault="0082764B"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A7757"/>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4509"/>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DE2E40"/>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DE2E40"/>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532</TotalTime>
  <Pages>37</Pages>
  <Words>21064</Words>
  <Characters>120066</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140849</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97</cp:revision>
  <cp:lastPrinted>2026-10-03T04:14:00Z</cp:lastPrinted>
  <dcterms:created xsi:type="dcterms:W3CDTF">2026-08-24T03:29:00Z</dcterms:created>
  <dcterms:modified xsi:type="dcterms:W3CDTF">2026-10-05T19:05:00Z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