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Summary manuscript</w:t>
      </w:r>
    </w:p>
    <w:p>
      <w:pPr>
        <w:pStyle w:val="Subtitle"/>
      </w:pPr>
      <w:r>
        <w:t>Smart environmental DNA sampling strategies</w:t>
      </w:r>
    </w:p>
    <w:p>
      <w:r>
        <w:t>Spatial autocorrelation can guide efficient survey design. This summary explains the study’s evidence and implications, followed by a speaking script for a 15-minute presentation.</w:t>
      </w:r>
    </w:p>
    <w:p>
      <w:pPr>
        <w:pStyle w:val="Heading1"/>
      </w:pPr>
      <w:r>
        <w:t>Main conclusion</w:t>
      </w:r>
    </w:p>
    <w:p>
      <w:r>
        <w:t>Marine eDNA sampling effort should reflect the spatial patchiness of priority taxa and the survey’s inferential objective. Detailed distribution maps require more spatial information than depth-specific means used for abundance indices. Additional samples improve prediction, but their marginal value declines as density increases.</w:t>
      </w:r>
    </w:p>
    <w:p>
      <w:pPr>
        <w:pStyle w:val="Heading1"/>
      </w:pPr>
      <w:r>
        <w:t>Study design</w:t>
      </w:r>
    </w:p>
    <w:p>
      <w:r>
        <w:t>The study combines empirical eDNA observations for 12 fish species from the 2019 U.S. West Coast survey with 200 simulated spatial fields. The empirical analysis uses 358 observations distributed among five depth layers (0, 50, 150, 300 and 500 m). Bayesian Gaussian processes estimate depth-specific means, spatial length-scale, amplitude and non-spatial variance. Random thinning measures how reduced effort changes spatial predictions. Simulations span length-scales of 25–1000 km and extend sampling effort beyond the empirical dataset.</w:t>
      </w:r>
    </w:p>
    <w:p>
      <w:r>
        <w:br w:type="page"/>
      </w:r>
    </w:p>
    <w:p>
      <w:pPr>
        <w:pStyle w:val="Heading1"/>
      </w:pPr>
      <w:r>
        <w:t>Principal findings</w:t>
      </w:r>
    </w:p>
    <w:p>
      <w:r>
        <w:t>Species with shorter spatial length-scales retain higher prediction error at a given sampling density. Surface-associated taxa generally have shorter length-scales, with exceptions among deeper taxa.</w:t>
      </w:r>
    </w:p>
    <w:p>
      <w:r>
        <w:t>The manuscript reports diminishing gains at approximately 4–5 samples per 10,000 km² per depth layer for smooth fields (ρ &gt; 500 km), and 8–11 for very patchy fields (ρ &lt; 50 km). These scenario-specific ranges depend on the selected marginal-gain criterion.</w:t>
      </w:r>
    </w:p>
    <w:p>
      <w:r>
        <w:t>At a density of 6, reported log-scale prediction RMSE is about 1 for ρ = 50 km and below 0.4 for ρ &gt; 500 km. Multiplicative scales of about 2.7 and 1.5 illustrate these errors, but are not prediction intervals.</w:t>
      </w:r>
    </w:p>
    <w:p>
      <w:r>
        <w:t>Length-scale recovery stabilizes above roughly 6 samples per 10,000 km² per depth layer. Depth means often need less effort than maps, although mean-estimation error increases with effort in simulations with length-scales above 400 km.</w:t>
      </w:r>
    </w:p>
    <w:p>
      <w:pPr>
        <w:pStyle w:val="Heading1"/>
      </w:pPr>
      <w:r>
        <w:t>Implications and limits</w:t>
      </w:r>
    </w:p>
    <w:p>
      <w:r>
        <w:t>Survey planners should define the required product and precision, obtain a plausible length-scale, and assess both density and station geometry. Broad coverage supports mean estimation. Close and distant station pairs support length-scale estimation. Mapping patchy priority taxa may require roughly two to three times current regional densities of 3.4–3.6 samples per 10,000 km². The thresholds depend on domain scale and assumptions about spatial smoothness. The effective eDNA length-scale includes transport and decay. Prediction errors compare fitted reference fields rather than independent ground truth.</w:t>
      </w:r>
    </w:p>
    <w:p>
      <w:r>
        <w:t>Source: Smart environmental DNA sampling strategies: Spatial autocorrelation can guide efficient survey design. Manuscript/Submission/1_Manuscript.docx. Figures in the companion presentation reproduce the project’s original figures.</w:t>
      </w:r>
    </w:p>
    <w:p>
      <w:r>
        <w:br w:type="page"/>
      </w:r>
    </w:p>
    <w:p>
      <w:pPr>
        <w:pStyle w:val="Heading1"/>
      </w:pPr>
      <w:r>
        <w:t>Presentation script</w:t>
      </w:r>
    </w:p>
    <w:p>
      <w:r>
        <w:t>Total planned duration: 15 minutes. The timings allow deliberate delivery and time to explain the figures. The same script appears in the PowerPoint speaker notes.</w:t>
      </w:r>
    </w:p>
    <w:p>
      <w:pPr>
        <w:pStyle w:val="Heading2"/>
      </w:pPr>
      <w:r>
        <w:t>1  Smart environmental DNA sampling strategies</w:t>
      </w:r>
    </w:p>
    <w:p>
      <w:pPr>
        <w:keepNext/>
      </w:pPr>
      <w:r>
        <w:t>0:00 to 0:40  (40 seconds)</w:t>
      </w:r>
    </w:p>
    <w:p>
      <w:r>
        <w:t>How many environmental DNA samples should a marine survey collect? This study addresses that question by linking sampling effort to the spatial structure of the eDNA field. The central result is that the answer depends on the species and on what we want the survey to estimate. A design that supports an abundance index may still leave important gaps in a distribution map. I will explain the spatial idea, describe the empirical and simulation analyses, and finish with the implications for planning a survey.</w:t>
      </w:r>
    </w:p>
    <w:p>
      <w:pPr>
        <w:pStyle w:val="Heading2"/>
      </w:pPr>
      <w:r>
        <w:t>2  The survey design problem</w:t>
      </w:r>
    </w:p>
    <w:p>
      <w:pPr>
        <w:keepNext/>
      </w:pPr>
      <w:r>
        <w:t>0:40 to 1:40  (60 seconds)</w:t>
      </w:r>
    </w:p>
    <w:p>
      <w:r>
        <w:t>Marine biodiversity monitoring supports fisheries and conservation decisions, but survey budgets are limited. Environmental DNA can provide observations for many species from the same water samples. That efficiency does not remove the spatial design problem. If stations are too far apart, we can miss local variation between them. If they are already close enough for the target species, additional stations may contribute little information. The study therefore considers both prediction of spatial distributions and recovery of the parameters describing those distributions. These are distinct objectives. A regional or depth-specific average can be useful even when the detailed map remains uncertain. Keeping those objectives separate helps us interpret the sampling thresholds later in the talk.</w:t>
      </w:r>
    </w:p>
    <w:p>
      <w:pPr>
        <w:pStyle w:val="Heading2"/>
      </w:pPr>
      <w:r>
        <w:t>3  Spatial autocorrelation and patchiness</w:t>
      </w:r>
    </w:p>
    <w:p>
      <w:pPr>
        <w:keepNext/>
      </w:pPr>
      <w:r>
        <w:t>1:40 to 2:55  (75 seconds)</w:t>
      </w:r>
    </w:p>
    <w:p>
      <w:r>
        <w:t>The key concept is the autocorrelation length-scale, denoted rho and measured in kilometres. It describes the distance over which observations tend to remain similar. In the conceptual figure, the patchy field changes over shorter distances, so sparse observations miss some of its structure. A smoother field can be reconstructed with fewer observations because each observation informs a larger surrounding area. This gives the central hypothesis: the density needed for spatial prediction should increase as the length-scale becomes shorter. Rho here describes the observed eDNA field. It combines organism distributions with the effects of DNA transport and decay, so we should not interpret it as a direct measurement of fish movement or habitat size. The practical issue is sample spacing relative to the spatial variation we need to resolve.</w:t>
      </w:r>
    </w:p>
    <w:p>
      <w:pPr>
        <w:pStyle w:val="Heading2"/>
      </w:pPr>
      <w:r>
        <w:t>4  A West Coast dataset across five depths</w:t>
      </w:r>
    </w:p>
    <w:p>
      <w:pPr>
        <w:keepNext/>
      </w:pPr>
      <w:r>
        <w:t>2:55 to 4:00  (65 seconds)</w:t>
      </w:r>
    </w:p>
    <w:p>
      <w:r>
        <w:t>The empirical analysis uses samples from the 2019 Joint U.S.-Canada Integrated Ecosystem and Pacific Hake Acoustic-Trawl Survey aboard the Bell M. Shimada. The dataset spans central California to northern Washington and includes 358 observations distributed among five depth layers. Those depths are zero, fifty, one hundred fifty, three hundred and five hundred metres. The study estimates concentrations for twelve fish species spanning surface, midwater and deeper habitats. The molecular workflow combines metabarcoding with calibration for amplification bias and Pacific hake qPCR measurements. The spatial analysis uses log eDNA concentrations. This broad geographic and taxonomic coverage provides a real-world basis for estimating how spatial structure varies among species, while the limited number of empirical observations motivates the simulation component.</w:t>
      </w:r>
    </w:p>
    <w:p>
      <w:pPr>
        <w:pStyle w:val="Heading2"/>
      </w:pPr>
      <w:r>
        <w:t>5  The analysis combines field data and simulations</w:t>
      </w:r>
    </w:p>
    <w:p>
      <w:pPr>
        <w:keepNext/>
      </w:pPr>
      <w:r>
        <w:t>4:00 to 5:25  (85 seconds)</w:t>
      </w:r>
    </w:p>
    <w:p>
      <w:r>
        <w:t>Both components use a common Bayesian Gaussian process framework. The model estimates a depth-specific mean, a spatial length-scale, spatial amplitude and non-spatial variance. It then predicts concentrations across a grid of 18,916 locations. The empirical analysis repeatedly thins the dataset to smaller sample sizes and compares the resulting maps with predictions from the complete empirical dataset. The simulations extend the range of sampling effort. Ten length-scales, from twenty-five to one thousand kilometres, each have twenty replicate fields, giving two hundred simulations. A four-thousand-point subset provides each simulation's complete reference dataset. Smaller subsets are fitted again to quantify prediction and parameter error. Simulation amplitude and noise are fixed, and a single length-scale applies across depth layers. This controlled setup isolates the effects of effort and spatial autocorrelation.</w:t>
      </w:r>
    </w:p>
    <w:p>
      <w:pPr>
        <w:pStyle w:val="Heading2"/>
      </w:pPr>
      <w:r>
        <w:t>6  Species differ substantially in spatial structure</w:t>
      </w:r>
    </w:p>
    <w:p>
      <w:pPr>
        <w:keepNext/>
      </w:pPr>
      <w:r>
        <w:t>5:25 to 6:40  (75 seconds)</w:t>
      </w:r>
    </w:p>
    <w:p>
      <w:r>
        <w:t>The empirical results support the premise that species differ in spatial structure. Surface-associated taxa generally have shorter estimated length-scales and larger differences in mean concentration between shallow and deep samples. Deeper taxa broadly show longer length-scales and more similar mean concentrations across depths. These patterns are tendencies rather than rules. Tactostoma macropus, for example, has a relatively short length-scale despite its deep-water affinity. The credible intervals also remind us that spatial structure has uncertainty. For survey planning, depth association may offer a starting expectation, but a species-specific estimate from a pilot survey or an existing model is more informative. The results justify exploring a broad range of length-scales rather than selecting one representative value for the whole fish assemblage.</w:t>
      </w:r>
    </w:p>
    <w:p>
      <w:pPr>
        <w:pStyle w:val="Heading2"/>
      </w:pPr>
      <w:r>
        <w:t>7  More sampling improves maps, with diminishing returns</w:t>
      </w:r>
    </w:p>
    <w:p>
      <w:pPr>
        <w:keepNext/>
      </w:pPr>
      <w:r>
        <w:t>6:40 to 8:15  (95 seconds)</w:t>
      </w:r>
    </w:p>
    <w:p>
      <w:r>
        <w:t>This figure shows the main simulation result. On the left, prediction error declines as sampling density increases. The different colours represent different spatial length-scales. The short-length-scale fields remain harder to reconstruct at every comparable level of effort. The curves also flatten, showing that the benefit of adding samples becomes smaller as density increases. On the right, the marginal change in error approaches zero. The dashed line marks the study's chosen criterion for negligible improvement: a marginal error reduction of zero point zero five per additional unit of sampling density. That criterion is an operational choice, not a biological threshold. The empirical thinning analysis showed similar directional relationships. However, its reference is the complete empirical model, whereas the simulation reference uses four thousand observations. Agreement supports the general pattern, but the two error benchmarks are not interchangeable.</w:t>
      </w:r>
    </w:p>
    <w:p>
      <w:pPr>
        <w:pStyle w:val="Heading2"/>
      </w:pPr>
      <w:r>
        <w:t>8  Sampling targets depend on patchiness</w:t>
      </w:r>
    </w:p>
    <w:p>
      <w:pPr>
        <w:keepNext/>
      </w:pPr>
      <w:r>
        <w:t>8:15 to 9:30  (75 seconds)</w:t>
      </w:r>
    </w:p>
    <w:p>
      <w:r>
        <w:t>The manuscript gives useful planning ranges. For smoothly distributed fields with length-scales greater than five hundred kilometres, marginal gains become small at about four to five samples per ten thousand square kilometres per depth layer. For very patchy fields with length-scales below fifty kilometres, the reported range is about eight to eleven samples in the same area and depth unit. These figures indicate roughly twice the effort for patchy fields to reach the selected diminishing-return criterion. They should not be read as a promise of equal absolute map accuracy. The manuscript also summarizes the broader transition as four to nine, so these are approximate, scenario-dependent ranges. Most importantly, they are normalized by area and depth. They are not a total station count that can be transferred directly to any cruise.</w:t>
      </w:r>
    </w:p>
    <w:p>
      <w:pPr>
        <w:pStyle w:val="Heading2"/>
      </w:pPr>
      <w:r>
        <w:t>9  The same effort can produce very different precision</w:t>
      </w:r>
    </w:p>
    <w:p>
      <w:pPr>
        <w:keepNext/>
      </w:pPr>
      <w:r>
        <w:t>9:30 to 10:30  (60 seconds)</w:t>
      </w:r>
    </w:p>
    <w:p>
      <w:r>
        <w:t>A concrete comparison shows why spatial structure matters. At a density of six samples per ten thousand square kilometres per depth layer, the manuscript reports prediction error around one log unit for a fifty-kilometre length-scale. At the same effort, fields with length-scales above five hundred kilometres have errors below zero point four. Exponentiating those values gives multiplicative scales of about two point seven and one point five. This helps communicate the size of log-scale error, but these factors are not confidence limits or guaranteed prediction intervals. The comparison says that the same sampling budget yields substantially different precision for different spatial fields. It also shows why diminishing returns and acceptable absolute accuracy must be considered separately.</w:t>
      </w:r>
    </w:p>
    <w:p>
      <w:pPr>
        <w:pStyle w:val="Heading2"/>
      </w:pPr>
      <w:r>
        <w:t>10  Parameter recovery differs from map accuracy</w:t>
      </w:r>
    </w:p>
    <w:p>
      <w:pPr>
        <w:keepNext/>
      </w:pPr>
      <w:r>
        <w:t>10:30 to 11:45  (75 seconds)</w:t>
      </w:r>
    </w:p>
    <w:p>
      <w:r>
        <w:t>Parameter recovery tells a more nuanced story than simply saying that more samples always help. Estimates of the length-scale have substantial error at low effort and improve quickly, with recovery stabilizing above roughly six samples per ten thousand square kilometres per depth layer. The non-spatial variance also becomes well recovered. Depth-specific means often need less sampling than detailed spatial predictions. However, the results identify an important exception: mean-estimation error increases with effort in simulations with length-scales above four hundred kilometres. When spatial structure spans much of the domain, the global mean and the spatial process can be difficult to separate. We therefore should not claim that abundance indices are automatically reliable under every sparse design. Broad domain coverage, the scale of the field and the intended precision still matter.</w:t>
      </w:r>
    </w:p>
    <w:p>
      <w:pPr>
        <w:pStyle w:val="Heading2"/>
      </w:pPr>
      <w:r>
        <w:t>11  Survey planning follows the inferential objective</w:t>
      </w:r>
    </w:p>
    <w:p>
      <w:pPr>
        <w:keepNext/>
      </w:pPr>
      <w:r>
        <w:t>11:45 to 13:00  (75 seconds)</w:t>
      </w:r>
    </w:p>
    <w:p>
      <w:r>
        <w:t>These findings translate into a sequence of planning decisions. First define the product the survey must deliver and the precision needed for that product. For a depth-specific abundance index, broad coverage and avoiding excessive concentration of effort in one region are important. For a spatial map or hotspot analysis, observations need to be close enough to resolve local variation. Next obtain a plausible length-scale, ideally with uncertainty, from existing fits or a pilot survey. The fitted error relationship can then help identify a suitable density. Finally examine the actual station configuration. Estimating spatial correlation needs both close pairs that resolve rapid decorrelation and distant pairs that constrain broader structure. In a multispecies survey, the patchiest taxon that the programme must resolve may determine the spatial effort required.</w:t>
      </w:r>
    </w:p>
    <w:p>
      <w:pPr>
        <w:pStyle w:val="Heading2"/>
      </w:pPr>
      <w:r>
        <w:t>12  Transfer to other systems requires care</w:t>
      </w:r>
    </w:p>
    <w:p>
      <w:pPr>
        <w:keepNext/>
      </w:pPr>
      <w:r>
        <w:t>13:00 to 14:10  (70 seconds)</w:t>
      </w:r>
    </w:p>
    <w:p>
      <w:r>
        <w:t>Several limits matter when applying the results. The Gaussian process assumes a smooth, stationary and isotropic spatial field. Ocean fronts, directional transport and local habitat boundaries can violate those assumptions. Simulations also fix amplitude and noise, and use one length-scale across depth layers, while real systems can vary more strongly. Prediction errors measure differences from a fitted reference field, rather than error against an independently observed truth. Finally, length-scale must be interpreted relative to the survey domain. A field that is patchy over a continental survey may look nearly uniform in a small study area. Together these points mean that the reported densities are starting points for planning in comparable settings. Pilot data and checks against independent abundance information would strengthen their transfer to other systems.</w:t>
      </w:r>
    </w:p>
    <w:p>
      <w:pPr>
        <w:pStyle w:val="Heading2"/>
      </w:pPr>
      <w:r>
        <w:t>13  Effort should match the species and the decision</w:t>
      </w:r>
    </w:p>
    <w:p>
      <w:pPr>
        <w:keepNext/>
      </w:pPr>
      <w:r>
        <w:t>14:10 to 15:00  (50 seconds)</w:t>
      </w:r>
    </w:p>
    <w:p>
      <w:r>
        <w:t>The practical conclusion is that survey effort should match both the spatial structure of the target taxa and the decision the data must support. The manuscript compares current regional densities of about three point four to three point six samples per ten thousand square kilometres with its diminishing-return ranges. Those grids may be close to sufficient for smoother fields and abundance-index objectives. Mapping patchy taxa may require roughly two to three times the spatial density. More sequencing or filtering at existing stations cannot directly fill gaps between stations. The useful planning shift is to specify the required product and target spatial scale before the cruise, then choose a station design that can resolve them. Thank you.</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