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B19E2" w14:textId="22517B4E" w:rsidR="007574C0" w:rsidRPr="00C255AF" w:rsidRDefault="000D4185" w:rsidP="00C255AF">
      <w:pPr>
        <w:spacing w:after="0" w:line="276" w:lineRule="auto"/>
        <w:contextualSpacing/>
        <w:jc w:val="center"/>
        <w:rPr>
          <w:rFonts w:ascii="Times New Roman" w:hAnsi="Times New Roman" w:cs="Times New Roman"/>
          <w:b/>
          <w:bCs/>
          <w:sz w:val="32"/>
          <w:szCs w:val="32"/>
        </w:rPr>
      </w:pPr>
      <w:r w:rsidRPr="00C255AF">
        <w:rPr>
          <w:rFonts w:ascii="Times New Roman" w:hAnsi="Times New Roman" w:cs="Times New Roman"/>
          <w:b/>
          <w:bCs/>
          <w:sz w:val="32"/>
          <w:szCs w:val="32"/>
        </w:rPr>
        <w:t>Spatial sample thinning</w:t>
      </w:r>
    </w:p>
    <w:p w14:paraId="69EFA7AC" w14:textId="77777777" w:rsidR="006B6ECC" w:rsidRDefault="006B6ECC" w:rsidP="006B6ECC">
      <w:pPr>
        <w:spacing w:after="0" w:line="276" w:lineRule="auto"/>
        <w:contextualSpacing/>
        <w:jc w:val="both"/>
        <w:rPr>
          <w:rFonts w:ascii="Times New Roman" w:hAnsi="Times New Roman" w:cs="Times New Roman"/>
        </w:rPr>
      </w:pPr>
    </w:p>
    <w:p w14:paraId="2E7EC8B8" w14:textId="226F873A" w:rsidR="00045E03" w:rsidRDefault="00595A69" w:rsidP="006B6ECC">
      <w:pPr>
        <w:spacing w:after="0" w:line="276" w:lineRule="auto"/>
        <w:contextualSpacing/>
        <w:jc w:val="both"/>
        <w:rPr>
          <w:rFonts w:ascii="Times New Roman" w:hAnsi="Times New Roman" w:cs="Times New Roman"/>
        </w:rPr>
      </w:pPr>
      <w:r w:rsidRPr="00595A69">
        <w:rPr>
          <w:rFonts w:ascii="Times New Roman" w:hAnsi="Times New Roman" w:cs="Times New Roman"/>
        </w:rPr>
        <w:t xml:space="preserve">Marine sampling efficiency plays a critical role in </w:t>
      </w:r>
      <w:r w:rsidR="00CA2CBF" w:rsidRPr="00595A69">
        <w:rPr>
          <w:rFonts w:ascii="Times New Roman" w:hAnsi="Times New Roman" w:cs="Times New Roman"/>
        </w:rPr>
        <w:t>collecting sufficient and representative samples to accurately assess species distributions,</w:t>
      </w:r>
      <w:r w:rsidR="00CA2CBF">
        <w:rPr>
          <w:rFonts w:ascii="Times New Roman" w:hAnsi="Times New Roman" w:cs="Times New Roman"/>
        </w:rPr>
        <w:t xml:space="preserve"> </w:t>
      </w:r>
      <w:r w:rsidR="00A622D4" w:rsidRPr="00A622D4">
        <w:rPr>
          <w:rFonts w:ascii="Times New Roman" w:hAnsi="Times New Roman" w:cs="Times New Roman"/>
        </w:rPr>
        <w:t>forming the foundation for sound fisheries management and stock assessment protocols</w:t>
      </w:r>
      <w:r w:rsidR="00CA2CBF">
        <w:rPr>
          <w:rFonts w:ascii="Times New Roman" w:hAnsi="Times New Roman" w:cs="Times New Roman"/>
        </w:rPr>
        <w:t xml:space="preserve">. </w:t>
      </w:r>
      <w:r w:rsidR="00AF2647" w:rsidRPr="00AF2647">
        <w:rPr>
          <w:rFonts w:ascii="Times New Roman" w:hAnsi="Times New Roman" w:cs="Times New Roman"/>
        </w:rPr>
        <w:t>In stock assessment contexts, determining the appropriate sample size is vital for reliable estimation of population parameters including abundance, demographic structure, and spatial distribution patterns.</w:t>
      </w:r>
      <w:r w:rsidR="007B51CA" w:rsidRPr="007B51CA">
        <w:t xml:space="preserve"> </w:t>
      </w:r>
      <w:r w:rsidR="007B51CA" w:rsidRPr="007B51CA">
        <w:rPr>
          <w:rFonts w:ascii="Times New Roman" w:hAnsi="Times New Roman" w:cs="Times New Roman"/>
        </w:rPr>
        <w:t xml:space="preserve">This process must balance the need for sufficient data </w:t>
      </w:r>
      <w:r w:rsidR="005723F1">
        <w:rPr>
          <w:rFonts w:ascii="Times New Roman" w:hAnsi="Times New Roman" w:cs="Times New Roman"/>
        </w:rPr>
        <w:t xml:space="preserve">for </w:t>
      </w:r>
      <w:r w:rsidR="007B51CA" w:rsidRPr="007B51CA">
        <w:rPr>
          <w:rFonts w:ascii="Times New Roman" w:hAnsi="Times New Roman" w:cs="Times New Roman"/>
        </w:rPr>
        <w:t>detect</w:t>
      </w:r>
      <w:r w:rsidR="005723F1">
        <w:rPr>
          <w:rFonts w:ascii="Times New Roman" w:hAnsi="Times New Roman" w:cs="Times New Roman"/>
        </w:rPr>
        <w:t>ing</w:t>
      </w:r>
      <w:r w:rsidR="007B51CA" w:rsidRPr="007B51CA">
        <w:rPr>
          <w:rFonts w:ascii="Times New Roman" w:hAnsi="Times New Roman" w:cs="Times New Roman"/>
        </w:rPr>
        <w:t xml:space="preserve"> population trends and changes </w:t>
      </w:r>
      <w:r w:rsidR="00771019">
        <w:rPr>
          <w:rFonts w:ascii="Times New Roman" w:hAnsi="Times New Roman" w:cs="Times New Roman"/>
        </w:rPr>
        <w:t xml:space="preserve">while also ensuring that </w:t>
      </w:r>
      <w:r w:rsidR="00771019" w:rsidRPr="00771019">
        <w:rPr>
          <w:rFonts w:ascii="Times New Roman" w:hAnsi="Times New Roman" w:cs="Times New Roman"/>
        </w:rPr>
        <w:t>incurring unnecessary costs or effort</w:t>
      </w:r>
      <w:r w:rsidR="00771019">
        <w:rPr>
          <w:rFonts w:ascii="Times New Roman" w:hAnsi="Times New Roman" w:cs="Times New Roman"/>
        </w:rPr>
        <w:t xml:space="preserve"> are minimized. </w:t>
      </w:r>
      <w:r w:rsidR="00933A07" w:rsidRPr="00933A07">
        <w:rPr>
          <w:rFonts w:ascii="Times New Roman" w:hAnsi="Times New Roman" w:cs="Times New Roman"/>
        </w:rPr>
        <w:t>Therefore, efficient sampling strategies are designed to capture the spatial variability of marine communities, allowing researchers to infer important ecological traits such as habitat preferences and ecological niches.</w:t>
      </w:r>
    </w:p>
    <w:p w14:paraId="47DB5FBE" w14:textId="77777777" w:rsidR="00045E03" w:rsidRDefault="00045E03" w:rsidP="006B6ECC">
      <w:pPr>
        <w:spacing w:after="0" w:line="276" w:lineRule="auto"/>
        <w:contextualSpacing/>
        <w:jc w:val="both"/>
        <w:rPr>
          <w:rFonts w:ascii="Times New Roman" w:hAnsi="Times New Roman" w:cs="Times New Roman"/>
        </w:rPr>
      </w:pPr>
    </w:p>
    <w:p w14:paraId="3DE2AC3A" w14:textId="61460A92" w:rsidR="00C26268" w:rsidRDefault="00C26268" w:rsidP="00C26268">
      <w:pPr>
        <w:spacing w:after="0" w:line="276" w:lineRule="auto"/>
        <w:contextualSpacing/>
        <w:jc w:val="both"/>
        <w:rPr>
          <w:rFonts w:ascii="Times New Roman" w:hAnsi="Times New Roman" w:cs="Times New Roman"/>
        </w:rPr>
      </w:pPr>
      <w:r w:rsidRPr="00C26268">
        <w:rPr>
          <w:rFonts w:ascii="Times New Roman" w:hAnsi="Times New Roman" w:cs="Times New Roman"/>
        </w:rPr>
        <w:t xml:space="preserve">While increased sampling intensity generally reduces variance in population estimates and enhances the precision of spatial pattern detection, this improvement follows </w:t>
      </w:r>
      <w:r w:rsidR="00933A07">
        <w:rPr>
          <w:rFonts w:ascii="Times New Roman" w:hAnsi="Times New Roman" w:cs="Times New Roman"/>
        </w:rPr>
        <w:t xml:space="preserve">has </w:t>
      </w:r>
      <w:r w:rsidRPr="00C26268">
        <w:rPr>
          <w:rFonts w:ascii="Times New Roman" w:hAnsi="Times New Roman" w:cs="Times New Roman"/>
        </w:rPr>
        <w:t>diminishing returns</w:t>
      </w:r>
      <w:r w:rsidR="00933A07">
        <w:rPr>
          <w:rFonts w:ascii="Times New Roman" w:hAnsi="Times New Roman" w:cs="Times New Roman"/>
        </w:rPr>
        <w:t xml:space="preserve"> where b</w:t>
      </w:r>
      <w:r w:rsidRPr="00C26268">
        <w:rPr>
          <w:rFonts w:ascii="Times New Roman" w:hAnsi="Times New Roman" w:cs="Times New Roman"/>
        </w:rPr>
        <w:t>eyond a certain threshold, additional sampling effort produces marginal gains in statistical precision that may not justify the associated costs and logistical demands.</w:t>
      </w:r>
      <w:r w:rsidR="005705EA">
        <w:rPr>
          <w:rFonts w:ascii="Times New Roman" w:hAnsi="Times New Roman" w:cs="Times New Roman"/>
        </w:rPr>
        <w:t xml:space="preserve"> </w:t>
      </w:r>
      <w:r w:rsidRPr="00C26268">
        <w:rPr>
          <w:rFonts w:ascii="Times New Roman" w:hAnsi="Times New Roman" w:cs="Times New Roman"/>
        </w:rPr>
        <w:t>The optimal sampling intensity occurs at the point where incremental improvements in precision or information content become disproportionately small relative to the required investment of resources and effort. This principle guides the development of cost-effective sampling strategies that maximize analytical power while minimizing operational expenditure.</w:t>
      </w:r>
    </w:p>
    <w:p w14:paraId="6BEA9C89" w14:textId="77777777" w:rsidR="007154D9" w:rsidRPr="00C26268" w:rsidRDefault="007154D9" w:rsidP="00C26268">
      <w:pPr>
        <w:spacing w:after="0" w:line="276" w:lineRule="auto"/>
        <w:contextualSpacing/>
        <w:jc w:val="both"/>
        <w:rPr>
          <w:rFonts w:ascii="Times New Roman" w:hAnsi="Times New Roman" w:cs="Times New Roman"/>
        </w:rPr>
      </w:pPr>
    </w:p>
    <w:p w14:paraId="3C78EE0E" w14:textId="7A981D4C" w:rsidR="00C26268" w:rsidRDefault="00C26268" w:rsidP="00C26268">
      <w:pPr>
        <w:spacing w:after="0" w:line="276" w:lineRule="auto"/>
        <w:contextualSpacing/>
        <w:jc w:val="both"/>
        <w:rPr>
          <w:rFonts w:ascii="Times New Roman" w:hAnsi="Times New Roman" w:cs="Times New Roman"/>
        </w:rPr>
      </w:pPr>
      <w:r w:rsidRPr="00C26268">
        <w:rPr>
          <w:rFonts w:ascii="Times New Roman" w:hAnsi="Times New Roman" w:cs="Times New Roman"/>
        </w:rPr>
        <w:t>Statistical methodologies have been developed to identify these optimal sampling thresholds. Species accumulation curves (SAC) represent the cumulative number of species detected as a function of sampling effort, providing a quantitative framework for evaluating sampling adequacy and efficiency in biodiversity assessments</w:t>
      </w:r>
      <w:r w:rsidR="007154D9">
        <w:rPr>
          <w:rFonts w:ascii="Times New Roman" w:hAnsi="Times New Roman" w:cs="Times New Roman"/>
        </w:rPr>
        <w:t xml:space="preserve">. </w:t>
      </w:r>
      <w:r w:rsidRPr="00C26268">
        <w:rPr>
          <w:rFonts w:ascii="Times New Roman" w:hAnsi="Times New Roman" w:cs="Times New Roman"/>
        </w:rPr>
        <w:t>Jackknife resampling (JR) offers an alternative approach through systematic removal of individual observations from the dataset, followed by recalculation of the target statistic. This iterative process quantifies how individual data points influence the variance and bias of parameter estimates, thereby informing decisions about minimum sample requirements for robust analytical outcomes.</w:t>
      </w:r>
    </w:p>
    <w:p w14:paraId="644DDD17" w14:textId="77777777" w:rsidR="00771019" w:rsidRDefault="00771019" w:rsidP="006B6ECC">
      <w:pPr>
        <w:spacing w:after="0" w:line="276" w:lineRule="auto"/>
        <w:contextualSpacing/>
        <w:jc w:val="both"/>
        <w:rPr>
          <w:rFonts w:ascii="Times New Roman" w:hAnsi="Times New Roman" w:cs="Times New Roman"/>
        </w:rPr>
      </w:pPr>
    </w:p>
    <w:p w14:paraId="0D44CA87" w14:textId="77777777" w:rsidR="003337CB" w:rsidRDefault="003337CB" w:rsidP="006B6ECC">
      <w:pPr>
        <w:spacing w:after="0" w:line="276" w:lineRule="auto"/>
        <w:contextualSpacing/>
        <w:jc w:val="both"/>
        <w:rPr>
          <w:rFonts w:ascii="Times New Roman" w:hAnsi="Times New Roman" w:cs="Times New Roman"/>
        </w:rPr>
      </w:pPr>
    </w:p>
    <w:p w14:paraId="1F7F2EFF" w14:textId="40DB337C" w:rsidR="009D71B2" w:rsidRDefault="00595A69" w:rsidP="006B6ECC">
      <w:pPr>
        <w:spacing w:after="0" w:line="276" w:lineRule="auto"/>
        <w:contextualSpacing/>
        <w:jc w:val="both"/>
        <w:rPr>
          <w:rFonts w:ascii="Times New Roman" w:hAnsi="Times New Roman" w:cs="Times New Roman"/>
        </w:rPr>
      </w:pPr>
      <w:r w:rsidRPr="00595A69">
        <w:rPr>
          <w:rFonts w:ascii="Times New Roman" w:hAnsi="Times New Roman" w:cs="Times New Roman"/>
        </w:rPr>
        <w:t xml:space="preserve">Ultimately, these practices </w:t>
      </w:r>
      <w:r w:rsidR="009D71B2">
        <w:rPr>
          <w:rFonts w:ascii="Times New Roman" w:hAnsi="Times New Roman" w:cs="Times New Roman"/>
        </w:rPr>
        <w:t xml:space="preserve">are simply </w:t>
      </w:r>
      <w:r w:rsidR="00C6482A">
        <w:rPr>
          <w:rFonts w:ascii="Times New Roman" w:hAnsi="Times New Roman" w:cs="Times New Roman"/>
        </w:rPr>
        <w:t xml:space="preserve">heavily tailored towards the </w:t>
      </w:r>
      <w:r w:rsidR="00C047F0">
        <w:rPr>
          <w:rFonts w:ascii="Times New Roman" w:hAnsi="Times New Roman" w:cs="Times New Roman"/>
        </w:rPr>
        <w:t xml:space="preserve">homogeneity of the community </w:t>
      </w:r>
      <w:r w:rsidR="00671D24">
        <w:rPr>
          <w:rFonts w:ascii="Times New Roman" w:hAnsi="Times New Roman" w:cs="Times New Roman"/>
        </w:rPr>
        <w:t xml:space="preserve">composition </w:t>
      </w:r>
      <w:r w:rsidR="00C6482A">
        <w:rPr>
          <w:rFonts w:ascii="Times New Roman" w:hAnsi="Times New Roman" w:cs="Times New Roman"/>
        </w:rPr>
        <w:t xml:space="preserve">and typically </w:t>
      </w:r>
      <w:r w:rsidR="00671D24">
        <w:rPr>
          <w:rFonts w:ascii="Times New Roman" w:hAnsi="Times New Roman" w:cs="Times New Roman"/>
        </w:rPr>
        <w:t xml:space="preserve">rely on non-quantitative data which for fisheries management is </w:t>
      </w:r>
      <w:r w:rsidR="00035AB1">
        <w:rPr>
          <w:rFonts w:ascii="Times New Roman" w:hAnsi="Times New Roman" w:cs="Times New Roman"/>
        </w:rPr>
        <w:t>not enough.</w:t>
      </w:r>
    </w:p>
    <w:p w14:paraId="76CE98DC" w14:textId="77777777" w:rsidR="008E5465" w:rsidRDefault="008E5465" w:rsidP="006B6ECC">
      <w:pPr>
        <w:spacing w:after="0" w:line="276" w:lineRule="auto"/>
        <w:contextualSpacing/>
        <w:jc w:val="both"/>
        <w:rPr>
          <w:rFonts w:ascii="Times New Roman" w:hAnsi="Times New Roman" w:cs="Times New Roman"/>
        </w:rPr>
      </w:pPr>
    </w:p>
    <w:p w14:paraId="79B58139" w14:textId="39DA116E" w:rsidR="005730D5" w:rsidRDefault="005730D5" w:rsidP="006B6ECC">
      <w:pPr>
        <w:spacing w:after="0" w:line="276" w:lineRule="auto"/>
        <w:contextualSpacing/>
        <w:jc w:val="both"/>
        <w:rPr>
          <w:rFonts w:ascii="Times New Roman" w:hAnsi="Times New Roman" w:cs="Times New Roman"/>
        </w:rPr>
      </w:pPr>
      <w:r>
        <w:rPr>
          <w:rFonts w:ascii="Times New Roman" w:hAnsi="Times New Roman" w:cs="Times New Roman"/>
        </w:rPr>
        <w:t xml:space="preserve">Typical studies conduct species acc curves </w:t>
      </w:r>
      <w:r w:rsidRPr="005730D5">
        <w:rPr>
          <w:rFonts w:ascii="Times New Roman" w:hAnsi="Times New Roman" w:cs="Times New Roman"/>
        </w:rPr>
        <w:t>\cite{courtaillac2024}</w:t>
      </w:r>
    </w:p>
    <w:p w14:paraId="741FE830" w14:textId="57596F7E" w:rsidR="00035AB1" w:rsidRDefault="00DC0EA2" w:rsidP="006B6ECC">
      <w:pPr>
        <w:spacing w:after="0" w:line="276" w:lineRule="auto"/>
        <w:contextualSpacing/>
        <w:jc w:val="both"/>
        <w:rPr>
          <w:rFonts w:ascii="Times New Roman" w:hAnsi="Times New Roman" w:cs="Times New Roman"/>
        </w:rPr>
      </w:pPr>
      <w:r>
        <w:rPr>
          <w:rFonts w:ascii="Times New Roman" w:hAnsi="Times New Roman" w:cs="Times New Roman"/>
        </w:rPr>
        <w:t xml:space="preserve">Species accumulation curves are tailored to information on multi-species and communities and </w:t>
      </w:r>
      <w:r w:rsidR="006305C7">
        <w:rPr>
          <w:rFonts w:ascii="Times New Roman" w:hAnsi="Times New Roman" w:cs="Times New Roman"/>
        </w:rPr>
        <w:t xml:space="preserve">in the form of </w:t>
      </w:r>
      <w:r w:rsidR="006305C7" w:rsidRPr="006305C7">
        <w:rPr>
          <w:rFonts w:ascii="Times New Roman" w:hAnsi="Times New Roman" w:cs="Times New Roman"/>
        </w:rPr>
        <w:t>species richness</w:t>
      </w:r>
      <w:r w:rsidR="006305C7">
        <w:rPr>
          <w:rFonts w:ascii="Times New Roman" w:hAnsi="Times New Roman" w:cs="Times New Roman"/>
        </w:rPr>
        <w:t xml:space="preserve"> and </w:t>
      </w:r>
      <w:r>
        <w:rPr>
          <w:rFonts w:ascii="Times New Roman" w:hAnsi="Times New Roman" w:cs="Times New Roman"/>
        </w:rPr>
        <w:t xml:space="preserve">can’t be disentangled for inference of the individual species contribution to the added information </w:t>
      </w:r>
      <w:r w:rsidR="00EB6C47">
        <w:rPr>
          <w:rFonts w:ascii="Times New Roman" w:hAnsi="Times New Roman" w:cs="Times New Roman"/>
        </w:rPr>
        <w:t>on the efficiency.</w:t>
      </w:r>
    </w:p>
    <w:p w14:paraId="2FB15D66" w14:textId="77777777" w:rsidR="00DC0EA2" w:rsidRDefault="00DC0EA2" w:rsidP="006B6ECC">
      <w:pPr>
        <w:spacing w:after="0" w:line="276" w:lineRule="auto"/>
        <w:contextualSpacing/>
        <w:jc w:val="both"/>
        <w:rPr>
          <w:rFonts w:ascii="Times New Roman" w:hAnsi="Times New Roman" w:cs="Times New Roman"/>
        </w:rPr>
      </w:pPr>
    </w:p>
    <w:p w14:paraId="3EE9C036" w14:textId="1243576A" w:rsidR="00ED0747" w:rsidRDefault="00ED0747" w:rsidP="006B6ECC">
      <w:pPr>
        <w:spacing w:after="0" w:line="276" w:lineRule="auto"/>
        <w:contextualSpacing/>
        <w:jc w:val="both"/>
        <w:rPr>
          <w:rFonts w:ascii="Times New Roman" w:hAnsi="Times New Roman" w:cs="Times New Roman"/>
        </w:rPr>
      </w:pPr>
      <w:r w:rsidRPr="00ED0747">
        <w:rPr>
          <w:rFonts w:ascii="Times New Roman" w:hAnsi="Times New Roman" w:cs="Times New Roman"/>
        </w:rPr>
        <w:lastRenderedPageBreak/>
        <w:t>The prediction of species distributions is a cornerstone of ecology and conservation biology, underpinning effective management and protection of fish populations and their habitats. Statistical models have become indispensable tools in this endeavor, offering a means to prioritize surveys and monitoring programs, especially when resource limitations make exhaustive sampling impractical and yet extensive data are needed to accurately characterize fish communities (Jackson &amp; Harvey, 1997). Predictive models serve a wide array of applications, from forecasting the impacts of habitat alteration, commercial harvesting of fisheries, identifying suitable sites for species reintroduction, predicting the spread of invasive species, and revealing biodiversity hotspots or unexpected gaps in species' ranges (</w:t>
      </w:r>
      <w:proofErr w:type="spellStart"/>
      <w:r w:rsidRPr="00ED0747">
        <w:rPr>
          <w:rFonts w:ascii="Times New Roman" w:hAnsi="Times New Roman" w:cs="Times New Roman"/>
        </w:rPr>
        <w:t>Oberdorff</w:t>
      </w:r>
      <w:proofErr w:type="spellEnd"/>
      <w:r w:rsidRPr="00ED0747">
        <w:rPr>
          <w:rFonts w:ascii="Times New Roman" w:hAnsi="Times New Roman" w:cs="Times New Roman"/>
        </w:rPr>
        <w:t xml:space="preserve"> et al., 2001; Evans &amp; Oliver, 1995; Peterson &amp; </w:t>
      </w:r>
      <w:proofErr w:type="spellStart"/>
      <w:r w:rsidRPr="00ED0747">
        <w:rPr>
          <w:rFonts w:ascii="Times New Roman" w:hAnsi="Times New Roman" w:cs="Times New Roman"/>
        </w:rPr>
        <w:t>Vieglais</w:t>
      </w:r>
      <w:proofErr w:type="spellEnd"/>
      <w:r w:rsidRPr="00ED0747">
        <w:rPr>
          <w:rFonts w:ascii="Times New Roman" w:hAnsi="Times New Roman" w:cs="Times New Roman"/>
        </w:rPr>
        <w:t>, 2001; Williams &amp; Araujo, 2000). Reliable information on species distributions and habitat use is thus essential for integrating fish management, and predictive models can help focus field efforts on areas of highest likelihood for species aggregation, as well as anticipate the consequences of large-scale environmental change. In recent years, the proliferation of studies employing predictive distribution models reflects a growing recognition of their value for resource management and ecosystem protection (</w:t>
      </w:r>
      <w:proofErr w:type="spellStart"/>
      <w:r w:rsidRPr="00ED0747">
        <w:rPr>
          <w:rFonts w:ascii="Times New Roman" w:hAnsi="Times New Roman" w:cs="Times New Roman"/>
        </w:rPr>
        <w:t>Guisan</w:t>
      </w:r>
      <w:proofErr w:type="spellEnd"/>
      <w:r w:rsidRPr="00ED0747">
        <w:rPr>
          <w:rFonts w:ascii="Times New Roman" w:hAnsi="Times New Roman" w:cs="Times New Roman"/>
        </w:rPr>
        <w:t xml:space="preserve"> &amp; Zimmermann, 2000; </w:t>
      </w:r>
      <w:proofErr w:type="spellStart"/>
      <w:r w:rsidRPr="00ED0747">
        <w:rPr>
          <w:rFonts w:ascii="Times New Roman" w:hAnsi="Times New Roman" w:cs="Times New Roman"/>
        </w:rPr>
        <w:t>Thuiller</w:t>
      </w:r>
      <w:proofErr w:type="spellEnd"/>
      <w:r w:rsidRPr="00ED0747">
        <w:rPr>
          <w:rFonts w:ascii="Times New Roman" w:hAnsi="Times New Roman" w:cs="Times New Roman"/>
        </w:rPr>
        <w:t>, 2003). However, a persistent challenge in species distribution modeling is the pervasive spatial structure in ecological data: the occurrence of a species at one location is often correlated with its occurrence nearby, a phenomenon known as spatial autocorrelation (Latimer et al., 2006). Central to the success of these predictive approaches is marine sampling efficiency, which plays a critical role in collecting sufficient and representative samples to accurately assess species distributions, which is fundamental for effective fisheries management and stock assessment surveys. In stock assessment, establishing the optimal number of samples is essential for reliably estimating population size, structure, and distribution, while also ensuring that data collection efforts are adequate to detect trends and changes in fish stocks without incurring unnecessary costs or effort. Achieving this requires strategic planning regarding the number of samples as insufficient sampling may miss out on some information, whereas excessive sampling can lead to inefficient use of resources. Therefore, efficient sampling strategies are designed to capture the spatial variability of marine communities, allowing researchers to infer important ecological traits such as habitat preferences and ecological niches. To guide these efforts, statistical approaches—including species accumulation curves and power analyses—are frequently employed to estimate the minimum number of samples required for reliable results. Ultimately, these practices are simply heavily tailored towards the homogeneity of the community composition and typically rely on non-quantitative data which for fisheries management is not enough.</w:t>
      </w:r>
    </w:p>
    <w:p w14:paraId="6221C44B" w14:textId="77777777" w:rsidR="00ED0747" w:rsidRDefault="00ED0747" w:rsidP="006B6ECC">
      <w:pPr>
        <w:spacing w:after="0" w:line="276" w:lineRule="auto"/>
        <w:contextualSpacing/>
        <w:jc w:val="both"/>
        <w:rPr>
          <w:rFonts w:ascii="Times New Roman" w:hAnsi="Times New Roman" w:cs="Times New Roman"/>
        </w:rPr>
      </w:pPr>
    </w:p>
    <w:p w14:paraId="1F4BC3BD" w14:textId="41CDD62C" w:rsidR="00EC208A" w:rsidRDefault="00EC208A" w:rsidP="006B6ECC">
      <w:pPr>
        <w:spacing w:after="0" w:line="276" w:lineRule="auto"/>
        <w:contextualSpacing/>
        <w:jc w:val="both"/>
        <w:rPr>
          <w:rFonts w:ascii="Times New Roman" w:hAnsi="Times New Roman" w:cs="Times New Roman"/>
        </w:rPr>
      </w:pPr>
      <w:r>
        <w:rPr>
          <w:rFonts w:ascii="Times New Roman" w:hAnsi="Times New Roman" w:cs="Times New Roman"/>
        </w:rPr>
        <w:t>In many inferences of species distribution and habitat preference</w:t>
      </w:r>
      <w:r w:rsidR="007930BC">
        <w:rPr>
          <w:rFonts w:ascii="Times New Roman" w:hAnsi="Times New Roman" w:cs="Times New Roman"/>
        </w:rPr>
        <w:t xml:space="preserve">s, statistical models such as Gaussian Processes are typically used to explain and understand the predictive patters </w:t>
      </w:r>
      <w:r w:rsidR="00036173">
        <w:rPr>
          <w:rFonts w:ascii="Times New Roman" w:hAnsi="Times New Roman" w:cs="Times New Roman"/>
        </w:rPr>
        <w:t>of fish aggregations and dispersal across space.</w:t>
      </w:r>
      <w:r w:rsidR="00F93E32">
        <w:rPr>
          <w:rFonts w:ascii="Times New Roman" w:hAnsi="Times New Roman" w:cs="Times New Roman"/>
        </w:rPr>
        <w:t xml:space="preserve"> [examples]</w:t>
      </w:r>
    </w:p>
    <w:p w14:paraId="031746B9" w14:textId="77777777" w:rsidR="005A6ABF" w:rsidRDefault="005A6ABF" w:rsidP="006B6ECC">
      <w:pPr>
        <w:spacing w:after="0" w:line="276" w:lineRule="auto"/>
        <w:contextualSpacing/>
        <w:jc w:val="both"/>
        <w:rPr>
          <w:rFonts w:ascii="Times New Roman" w:hAnsi="Times New Roman" w:cs="Times New Roman"/>
        </w:rPr>
      </w:pPr>
    </w:p>
    <w:p w14:paraId="6825D697" w14:textId="031CCDFE" w:rsidR="005A6ABF" w:rsidRDefault="005A6ABF" w:rsidP="006B6ECC">
      <w:pPr>
        <w:spacing w:after="0" w:line="276" w:lineRule="auto"/>
        <w:contextualSpacing/>
        <w:jc w:val="both"/>
        <w:rPr>
          <w:rFonts w:ascii="Times New Roman" w:hAnsi="Times New Roman" w:cs="Times New Roman"/>
        </w:rPr>
      </w:pPr>
      <w:r w:rsidRPr="005A6ABF">
        <w:rPr>
          <w:rFonts w:ascii="Times New Roman" w:hAnsi="Times New Roman" w:cs="Times New Roman"/>
        </w:rPr>
        <w:t>rare or patchily</w:t>
      </w:r>
    </w:p>
    <w:p w14:paraId="1038A0EF" w14:textId="77777777" w:rsidR="00C047F0" w:rsidRDefault="00C047F0" w:rsidP="006B6ECC">
      <w:pPr>
        <w:spacing w:after="0" w:line="276" w:lineRule="auto"/>
        <w:contextualSpacing/>
        <w:jc w:val="both"/>
        <w:rPr>
          <w:rFonts w:ascii="Times New Roman" w:hAnsi="Times New Roman" w:cs="Times New Roman"/>
        </w:rPr>
      </w:pPr>
    </w:p>
    <w:p w14:paraId="72936F70" w14:textId="562EE662" w:rsidR="000D4185" w:rsidRPr="006B6ECC" w:rsidRDefault="006813F0" w:rsidP="006B6ECC">
      <w:pPr>
        <w:spacing w:after="0" w:line="276" w:lineRule="auto"/>
        <w:contextualSpacing/>
        <w:jc w:val="both"/>
        <w:rPr>
          <w:rFonts w:ascii="Times New Roman" w:hAnsi="Times New Roman" w:cs="Times New Roman"/>
        </w:rPr>
      </w:pPr>
      <w:r w:rsidRPr="006B6ECC">
        <w:rPr>
          <w:rFonts w:ascii="Times New Roman" w:hAnsi="Times New Roman" w:cs="Times New Roman"/>
        </w:rPr>
        <w:lastRenderedPageBreak/>
        <w:t>The foundation of this approach rests on the assumption that species distributions in nature follow patterns that can be effectively modeled using Gaussian Processes (GPs). This mathematical framework captures an essential ecological principle: species tend to form one or more areas of high concentration—"hotspots"—where individuals aggregate densely. As distance increases from these central areas, population density gradually declines in a smooth, continuous manner.</w:t>
      </w:r>
    </w:p>
    <w:p w14:paraId="4CC5E214" w14:textId="77742F27" w:rsidR="00C26287" w:rsidRPr="006B6ECC" w:rsidRDefault="000D4185" w:rsidP="006B6ECC">
      <w:pPr>
        <w:pStyle w:val="p1"/>
        <w:spacing w:after="0" w:afterAutospacing="0" w:line="276" w:lineRule="auto"/>
        <w:contextualSpacing/>
        <w:jc w:val="both"/>
      </w:pPr>
      <w:r w:rsidRPr="006B6ECC">
        <w:t xml:space="preserve">The idea behind my approach </w:t>
      </w:r>
      <w:proofErr w:type="gramStart"/>
      <w:r w:rsidRPr="006B6ECC">
        <w:t>is based on the assumption</w:t>
      </w:r>
      <w:proofErr w:type="gramEnd"/>
      <w:r w:rsidRPr="006B6ECC">
        <w:t xml:space="preserve"> that species distributions in nature follow a pattern </w:t>
      </w:r>
      <w:proofErr w:type="gramStart"/>
      <w:r w:rsidRPr="006B6ECC">
        <w:t>similar to</w:t>
      </w:r>
      <w:proofErr w:type="gramEnd"/>
      <w:r w:rsidRPr="006B6ECC">
        <w:t xml:space="preserve"> a Gaussian Process. In simple terms, it implies that each species tends to form one or more areas of high concentration—often referred to as “hotspots”—where individuals are densely aggregated. </w:t>
      </w:r>
      <w:r w:rsidR="00C26287" w:rsidRPr="006B6ECC">
        <w:t>As distance increases from these central areas, population density gradually declines in a smooth, continuous manner. The distribution of a species at various locations can be expressed as:</w:t>
      </w:r>
    </w:p>
    <w:p w14:paraId="153C6EBF" w14:textId="77777777" w:rsidR="00244275" w:rsidRPr="006B6ECC" w:rsidRDefault="00244275" w:rsidP="006B6ECC">
      <w:pPr>
        <w:pStyle w:val="p1"/>
        <w:spacing w:after="0" w:afterAutospacing="0" w:line="276" w:lineRule="auto"/>
        <w:contextualSpacing/>
        <w:jc w:val="both"/>
      </w:pPr>
    </w:p>
    <w:p w14:paraId="78106BED" w14:textId="7B25355C" w:rsidR="00244275" w:rsidRPr="006B6ECC" w:rsidRDefault="006F3D2B" w:rsidP="006B6ECC">
      <w:pPr>
        <w:pStyle w:val="p1"/>
        <w:spacing w:after="0" w:afterAutospacing="0" w:line="276" w:lineRule="auto"/>
        <w:contextualSpacing/>
        <w:jc w:val="both"/>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 </m:t>
          </m:r>
          <m:r>
            <w:rPr>
              <w:rFonts w:ascii="Cambria Math" w:hAnsi="Cambria Math"/>
            </w:rPr>
            <m:t>MVN</m:t>
          </m:r>
          <m:r>
            <w:rPr>
              <w:rFonts w:ascii="Cambria Math" w:hAnsi="Cambria Math"/>
            </w:rPr>
            <m:t>(</m:t>
          </m:r>
          <m:sSub>
            <m:sSubPr>
              <m:ctrlPr>
                <w:rPr>
                  <w:rFonts w:ascii="Cambria Math" w:hAnsi="Cambria Math"/>
                  <w:i/>
                  <w:lang w:val="el-GR"/>
                </w:rPr>
              </m:ctrlPr>
            </m:sSubPr>
            <m:e>
              <m:r>
                <w:rPr>
                  <w:rFonts w:ascii="Cambria Math" w:hAnsi="Cambria Math"/>
                  <w:lang w:val="el-GR"/>
                </w:rPr>
                <m:t>μ</m:t>
              </m:r>
            </m:e>
            <m:sub>
              <m:r>
                <w:rPr>
                  <w:rFonts w:ascii="Cambria Math" w:hAnsi="Cambria Math"/>
                  <w:lang w:val="el-GR"/>
                </w:rPr>
                <m:t>i</m:t>
              </m:r>
            </m:sub>
          </m:sSub>
          <m:r>
            <w:rPr>
              <w:rFonts w:ascii="Cambria Math" w:hAnsi="Cambria Math"/>
            </w:rPr>
            <m:t>,</m:t>
          </m:r>
          <m:r>
            <w:rPr>
              <w:rFonts w:ascii="Cambria Math" w:hAnsi="Cambria Math"/>
            </w:rPr>
            <m:t>k</m:t>
          </m:r>
          <m:r>
            <w:rPr>
              <w:rFonts w:ascii="Cambria Math" w:hAnsi="Cambria Math"/>
            </w:rPr>
            <m:t>(</m:t>
          </m:r>
          <m:r>
            <w:rPr>
              <w:rFonts w:ascii="Cambria Math" w:hAnsi="Cambria Math"/>
            </w:rPr>
            <m:t>x</m:t>
          </m:r>
          <m:r>
            <w:rPr>
              <w:rFonts w:ascii="Cambria Math" w:hAnsi="Cambria Math"/>
            </w:rPr>
            <m:t>,</m:t>
          </m:r>
          <m:r>
            <w:rPr>
              <w:rFonts w:ascii="Cambria Math" w:hAnsi="Cambria Math"/>
            </w:rPr>
            <m:t>x</m:t>
          </m:r>
          <m:r>
            <w:rPr>
              <w:rFonts w:ascii="Cambria Math" w:hAnsi="Cambria Math"/>
            </w:rPr>
            <m:t>'))</m:t>
          </m:r>
        </m:oMath>
      </m:oMathPara>
    </w:p>
    <w:p w14:paraId="0FC2ED06" w14:textId="70615EA2" w:rsidR="008F6936" w:rsidRPr="006B6ECC" w:rsidRDefault="00CB49F4" w:rsidP="006B6ECC">
      <w:pPr>
        <w:pStyle w:val="p1"/>
        <w:spacing w:after="0" w:afterAutospacing="0" w:line="276" w:lineRule="auto"/>
        <w:contextualSpacing/>
        <w:jc w:val="both"/>
        <w:rPr>
          <w:i/>
        </w:rPr>
      </w:pPr>
      <m:oMathPara>
        <m:oMath>
          <m:r>
            <w:rPr>
              <w:rFonts w:ascii="Cambria Math" w:hAnsi="Cambria Math"/>
            </w:rPr>
            <m:t>k(x,x')</m:t>
          </m:r>
          <m:r>
            <w:rPr>
              <w:rFonts w:ascii="Cambria Math" w:hAnsi="Cambria Math"/>
              <w:lang w:val="el-GR"/>
            </w:rPr>
            <m:t>=</m:t>
          </m:r>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p>
                    <m:sSupPr>
                      <m:ctrlPr>
                        <w:rPr>
                          <w:rFonts w:ascii="Cambria Math" w:hAnsi="Cambria Math"/>
                          <w:i/>
                          <w:lang w:val="el-GR"/>
                        </w:rPr>
                      </m:ctrlPr>
                    </m:sSupPr>
                    <m:e>
                      <m:r>
                        <w:rPr>
                          <w:rFonts w:ascii="Cambria Math" w:hAnsi="Cambria Math"/>
                          <w:lang w:val="el-GR"/>
                        </w:rPr>
                        <m:t>ρ</m:t>
                      </m:r>
                    </m:e>
                    <m:sup>
                      <m:r>
                        <w:rPr>
                          <w:rFonts w:ascii="Cambria Math" w:hAnsi="Cambria Math"/>
                          <w:lang w:val="el-GR"/>
                        </w:rPr>
                        <m:t>2</m:t>
                      </m:r>
                    </m:sup>
                  </m:sSup>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x-x'</m:t>
                      </m:r>
                    </m:e>
                  </m:d>
                </m:e>
                <m:sup>
                  <m:r>
                    <w:rPr>
                      <w:rFonts w:ascii="Cambria Math" w:hAnsi="Cambria Math"/>
                    </w:rPr>
                    <m:t>2</m:t>
                  </m:r>
                </m:sup>
              </m:sSup>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p w14:paraId="25EBD9A5" w14:textId="3074B82A" w:rsidR="000B235B" w:rsidRDefault="0063242F" w:rsidP="006B6ECC">
      <w:pPr>
        <w:pStyle w:val="p1"/>
        <w:spacing w:after="0" w:afterAutospacing="0" w:line="276" w:lineRule="auto"/>
        <w:contextualSpacing/>
        <w:jc w:val="both"/>
      </w:pPr>
      <w:r>
        <w:t>w</w:t>
      </w:r>
      <w:r w:rsidR="003062A5" w:rsidRPr="006B6ECC">
        <w:t xml:space="preserve">here Y is the observed abundance or density of the species at location </w:t>
      </w:r>
      <w:proofErr w:type="spellStart"/>
      <w:r w:rsidR="003062A5" w:rsidRPr="004E5063">
        <w:rPr>
          <w:i/>
          <w:iCs/>
        </w:rPr>
        <w:t>i</w:t>
      </w:r>
      <w:proofErr w:type="spellEnd"/>
      <w:r w:rsidR="003062A5" w:rsidRPr="006B6ECC">
        <w:t xml:space="preserve"> with a mean abundance </w:t>
      </w:r>
      <w:r w:rsidR="003062A5" w:rsidRPr="006B6ECC">
        <w:rPr>
          <w:lang w:val="el-GR"/>
        </w:rPr>
        <w:t>μ</w:t>
      </w:r>
      <w:r w:rsidR="003062A5" w:rsidRPr="006B6ECC">
        <w:t xml:space="preserve"> and covariate matrix </w:t>
      </w:r>
      <w:r w:rsidR="00CB49F4" w:rsidRPr="006B6ECC">
        <w:t>k</w:t>
      </w:r>
      <w:r w:rsidR="00405AA5" w:rsidRPr="006B6ECC">
        <w:t xml:space="preserve"> of coordinate x and x’</w:t>
      </w:r>
      <w:r w:rsidR="003062A5" w:rsidRPr="006B6ECC">
        <w:t xml:space="preserve">. The covariate matrix is the most important part of the Gaussian Process </w:t>
      </w:r>
      <w:r w:rsidR="00CB49F4" w:rsidRPr="006B6ECC">
        <w:t xml:space="preserve">(GP) </w:t>
      </w:r>
      <w:r w:rsidR="003062A5" w:rsidRPr="006B6ECC">
        <w:t>as it determines the spatial autocorrelation of the species distribution</w:t>
      </w:r>
      <w:r w:rsidR="003934DD" w:rsidRPr="006B6ECC">
        <w:t xml:space="preserve"> where </w:t>
      </w:r>
      <w:r w:rsidR="003934DD" w:rsidRPr="006B6ECC">
        <w:rPr>
          <w:lang w:val="el-GR"/>
        </w:rPr>
        <w:t>α</w:t>
      </w:r>
      <w:r w:rsidR="003934DD" w:rsidRPr="006B6ECC">
        <w:t xml:space="preserve"> is the amplitude of the x-x’ correlation, </w:t>
      </w:r>
      <w:r w:rsidR="003934DD" w:rsidRPr="006B6ECC">
        <w:rPr>
          <w:lang w:val="el-GR"/>
        </w:rPr>
        <w:t>ρ</w:t>
      </w:r>
      <w:r w:rsidR="003934DD" w:rsidRPr="006B6ECC">
        <w:t xml:space="preserve"> is the length-scale parameter meaning the correlation (in x-x’ units) where the signal fades out, and </w:t>
      </w:r>
      <w:r w:rsidR="003934DD" w:rsidRPr="006B6ECC">
        <w:rPr>
          <w:lang w:val="el-GR"/>
        </w:rPr>
        <w:t>σ</w:t>
      </w:r>
      <w:r w:rsidR="003934DD" w:rsidRPr="006B6ECC">
        <w:t xml:space="preserve"> is the noise in nature. In many GP models </w:t>
      </w:r>
      <w:r w:rsidR="003934DD" w:rsidRPr="006B6ECC">
        <w:rPr>
          <w:lang w:val="el-GR"/>
        </w:rPr>
        <w:t>μ</w:t>
      </w:r>
      <w:r w:rsidR="003934DD" w:rsidRPr="006B6ECC">
        <w:t xml:space="preserve"> is typically set to 0 hence </w:t>
      </w:r>
      <m:oMath>
        <m:sSup>
          <m:sSupPr>
            <m:ctrlPr>
              <w:rPr>
                <w:rFonts w:ascii="Cambria Math" w:hAnsi="Cambria Math"/>
                <w:i/>
                <w:lang w:val="el-GR"/>
              </w:rPr>
            </m:ctrlPr>
          </m:sSupPr>
          <m:e>
            <m:r>
              <w:rPr>
                <w:rFonts w:ascii="Cambria Math" w:hAnsi="Cambria Math"/>
                <w:lang w:val="el-GR"/>
              </w:rPr>
              <m:t>α</m:t>
            </m:r>
          </m:e>
          <m:sup>
            <m:r>
              <w:rPr>
                <w:rFonts w:ascii="Cambria Math" w:hAnsi="Cambria Math"/>
              </w:rPr>
              <m:t>2</m:t>
            </m:r>
          </m:sup>
        </m:sSup>
      </m:oMath>
      <w:r w:rsidR="003934DD" w:rsidRPr="006B6ECC">
        <w:t xml:space="preserve"> becomes the mean abundance. </w:t>
      </w:r>
    </w:p>
    <w:p w14:paraId="16CA527B" w14:textId="77777777" w:rsidR="00B76390" w:rsidRPr="006B6ECC" w:rsidRDefault="00B76390" w:rsidP="006B6ECC">
      <w:pPr>
        <w:pStyle w:val="p1"/>
        <w:spacing w:after="0" w:afterAutospacing="0" w:line="276" w:lineRule="auto"/>
        <w:contextualSpacing/>
        <w:jc w:val="both"/>
      </w:pPr>
    </w:p>
    <w:p w14:paraId="7A1E6AAF" w14:textId="34CD86C9" w:rsidR="00405AA5" w:rsidRPr="006B6ECC" w:rsidRDefault="000B235B" w:rsidP="006B6ECC">
      <w:pPr>
        <w:pStyle w:val="p1"/>
        <w:spacing w:after="0" w:afterAutospacing="0" w:line="276" w:lineRule="auto"/>
        <w:contextualSpacing/>
        <w:jc w:val="both"/>
      </w:pPr>
      <w:r w:rsidRPr="006B6ECC">
        <w:t>The covariance matrix for a GP with spatial coordinates as covariates generates a correlation structure where values along the diagonal represent the correlation coefficient between sampling points</w:t>
      </w:r>
      <w:r w:rsidR="00B76390">
        <w:t xml:space="preserve"> (Fig. 1A)</w:t>
      </w:r>
      <w:r w:rsidRPr="006B6ECC">
        <w:t>. This matrix is crucial as it quantifies how strongly the abundance at one location relates to abundance at another location</w:t>
      </w:r>
      <w:r w:rsidR="006A22FB" w:rsidRPr="006B6ECC">
        <w:t xml:space="preserve"> given any </w:t>
      </w:r>
      <w:r w:rsidR="0070136E" w:rsidRPr="006B6ECC">
        <w:t>coordinate x and x’</w:t>
      </w:r>
      <w:r w:rsidRPr="006B6ECC">
        <w:t>.</w:t>
      </w:r>
    </w:p>
    <w:p w14:paraId="35B47F13" w14:textId="1496FB52" w:rsidR="003062A5" w:rsidRPr="006B6ECC" w:rsidRDefault="003062A5" w:rsidP="006B6ECC">
      <w:pPr>
        <w:pStyle w:val="p1"/>
        <w:spacing w:after="0" w:afterAutospacing="0" w:line="276" w:lineRule="auto"/>
        <w:contextualSpacing/>
        <w:jc w:val="center"/>
      </w:pPr>
    </w:p>
    <w:p w14:paraId="73349C74" w14:textId="77777777" w:rsidR="006B6ECC" w:rsidRPr="006B6ECC" w:rsidRDefault="00644872" w:rsidP="006B6ECC">
      <w:pPr>
        <w:shd w:val="clear" w:color="auto" w:fill="FFFFFF"/>
        <w:spacing w:after="0" w:line="276" w:lineRule="auto"/>
        <w:contextualSpacing/>
        <w:jc w:val="both"/>
        <w:outlineLvl w:val="2"/>
        <w:rPr>
          <w:rFonts w:ascii="Times New Roman" w:eastAsia="Times New Roman" w:hAnsi="Times New Roman" w:cs="Times New Roman"/>
          <w:b/>
          <w:bCs/>
          <w:kern w:val="0"/>
          <w14:ligatures w14:val="none"/>
        </w:rPr>
      </w:pPr>
      <w:r w:rsidRPr="00644872">
        <w:rPr>
          <w:rFonts w:ascii="Times New Roman" w:eastAsia="Times New Roman" w:hAnsi="Times New Roman" w:cs="Times New Roman"/>
          <w:b/>
          <w:bCs/>
          <w:kern w:val="0"/>
          <w14:ligatures w14:val="none"/>
        </w:rPr>
        <w:t>Ecological Interpretation of the Covariance Structure</w:t>
      </w:r>
    </w:p>
    <w:p w14:paraId="73FCC080" w14:textId="57765D5F" w:rsidR="00644872" w:rsidRPr="005D58F6" w:rsidRDefault="006B6ECC" w:rsidP="005D58F6">
      <w:pPr>
        <w:shd w:val="clear" w:color="auto" w:fill="FFFFFF"/>
        <w:spacing w:after="0" w:line="276" w:lineRule="auto"/>
        <w:contextualSpacing/>
        <w:jc w:val="both"/>
        <w:outlineLvl w:val="2"/>
        <w:rPr>
          <w:rFonts w:ascii="Times New Roman" w:eastAsia="Times New Roman" w:hAnsi="Times New Roman" w:cs="Times New Roman"/>
          <w:color w:val="404040"/>
          <w:kern w:val="0"/>
          <w14:ligatures w14:val="none"/>
        </w:rPr>
      </w:pPr>
      <w:r w:rsidRPr="006B6ECC">
        <w:rPr>
          <w:rFonts w:ascii="Times New Roman" w:hAnsi="Times New Roman" w:cs="Times New Roman"/>
        </w:rPr>
        <w:t xml:space="preserve">The abundance correlation between any two given points decays with increasing distance according to the link function of the covariate matrix. </w:t>
      </w:r>
      <w:r w:rsidR="005D58F6" w:rsidRPr="00644872">
        <w:rPr>
          <w:rFonts w:ascii="Times New Roman" w:eastAsia="Times New Roman" w:hAnsi="Times New Roman" w:cs="Times New Roman"/>
          <w:color w:val="404040"/>
          <w:kern w:val="0"/>
          <w14:ligatures w14:val="none"/>
        </w:rPr>
        <w:t>The covariance kernel </w:t>
      </w:r>
      <w:r w:rsidR="005D58F6" w:rsidRPr="00644872">
        <w:rPr>
          <w:rFonts w:ascii="Times New Roman" w:eastAsia="Times New Roman" w:hAnsi="Times New Roman" w:cs="Times New Roman"/>
          <w:color w:val="404040"/>
          <w:kern w:val="0"/>
          <w:bdr w:val="none" w:sz="0" w:space="0" w:color="auto" w:frame="1"/>
          <w14:ligatures w14:val="none"/>
        </w:rPr>
        <w:t>k(</w:t>
      </w:r>
      <w:proofErr w:type="spellStart"/>
      <w:proofErr w:type="gramStart"/>
      <w:r w:rsidR="005D58F6" w:rsidRPr="00644872">
        <w:rPr>
          <w:rFonts w:ascii="Times New Roman" w:eastAsia="Times New Roman" w:hAnsi="Times New Roman" w:cs="Times New Roman"/>
          <w:color w:val="404040"/>
          <w:kern w:val="0"/>
          <w:bdr w:val="none" w:sz="0" w:space="0" w:color="auto" w:frame="1"/>
          <w14:ligatures w14:val="none"/>
        </w:rPr>
        <w:t>x,x</w:t>
      </w:r>
      <w:proofErr w:type="spellEnd"/>
      <w:proofErr w:type="gramEnd"/>
      <w:r w:rsidR="005D58F6" w:rsidRPr="00644872">
        <w:rPr>
          <w:rFonts w:ascii="Times New Roman" w:eastAsia="Times New Roman" w:hAnsi="Times New Roman" w:cs="Times New Roman"/>
          <w:color w:val="404040"/>
          <w:kern w:val="0"/>
          <w:bdr w:val="none" w:sz="0" w:space="0" w:color="auto" w:frame="1"/>
          <w14:ligatures w14:val="none"/>
        </w:rPr>
        <w:t>′)</w:t>
      </w:r>
      <w:r w:rsidR="005D58F6" w:rsidRPr="00644872">
        <w:rPr>
          <w:rFonts w:ascii="Times New Roman" w:eastAsia="Times New Roman" w:hAnsi="Times New Roman" w:cs="Times New Roman"/>
          <w:color w:val="404040"/>
          <w:kern w:val="0"/>
          <w14:ligatures w14:val="none"/>
        </w:rPr>
        <w:t> defines how species density diminishes with distance from a hotspot</w:t>
      </w:r>
      <w:r w:rsidR="005D58F6">
        <w:rPr>
          <w:rFonts w:ascii="Times New Roman" w:eastAsia="Times New Roman" w:hAnsi="Times New Roman" w:cs="Times New Roman"/>
          <w:color w:val="404040"/>
          <w:kern w:val="0"/>
          <w14:ligatures w14:val="none"/>
        </w:rPr>
        <w:t>.</w:t>
      </w:r>
      <w:r w:rsidR="005D58F6" w:rsidRPr="005D58F6">
        <w:rPr>
          <w:rFonts w:ascii="Times New Roman" w:eastAsia="Times New Roman" w:hAnsi="Times New Roman" w:cs="Times New Roman"/>
          <w:color w:val="404040"/>
          <w:kern w:val="0"/>
          <w14:ligatures w14:val="none"/>
        </w:rPr>
        <w:t xml:space="preserve"> </w:t>
      </w:r>
      <w:r w:rsidR="005D58F6" w:rsidRPr="00644872">
        <w:rPr>
          <w:rFonts w:ascii="Times New Roman" w:eastAsia="Times New Roman" w:hAnsi="Times New Roman" w:cs="Times New Roman"/>
          <w:color w:val="404040"/>
          <w:kern w:val="0"/>
          <w14:ligatures w14:val="none"/>
        </w:rPr>
        <w:t>Correlation between sampling points decays exponentially, governed by </w:t>
      </w:r>
      <w:r w:rsidR="005D58F6" w:rsidRPr="00644872">
        <w:rPr>
          <w:rFonts w:ascii="Times New Roman" w:eastAsia="Times New Roman" w:hAnsi="Times New Roman" w:cs="Times New Roman"/>
          <w:i/>
          <w:iCs/>
          <w:color w:val="404040"/>
          <w:kern w:val="0"/>
          <w14:ligatures w14:val="none"/>
        </w:rPr>
        <w:t>ρ</w:t>
      </w:r>
      <w:r w:rsidR="005D58F6" w:rsidRPr="00644872">
        <w:rPr>
          <w:rFonts w:ascii="Times New Roman" w:eastAsia="Times New Roman" w:hAnsi="Times New Roman" w:cs="Times New Roman"/>
          <w:color w:val="404040"/>
          <w:kern w:val="0"/>
          <w14:ligatures w14:val="none"/>
        </w:rPr>
        <w:t>: at distances greater than </w:t>
      </w:r>
      <w:r w:rsidR="005D58F6" w:rsidRPr="00644872">
        <w:rPr>
          <w:rFonts w:ascii="Times New Roman" w:eastAsia="Times New Roman" w:hAnsi="Times New Roman" w:cs="Times New Roman"/>
          <w:i/>
          <w:iCs/>
          <w:color w:val="404040"/>
          <w:kern w:val="0"/>
          <w14:ligatures w14:val="none"/>
        </w:rPr>
        <w:t>ρ</w:t>
      </w:r>
      <w:r w:rsidR="005D58F6" w:rsidRPr="00644872">
        <w:rPr>
          <w:rFonts w:ascii="Times New Roman" w:eastAsia="Times New Roman" w:hAnsi="Times New Roman" w:cs="Times New Roman"/>
          <w:color w:val="404040"/>
          <w:kern w:val="0"/>
          <w14:ligatures w14:val="none"/>
        </w:rPr>
        <w:t>, abundances become largely independent. The parameter </w:t>
      </w:r>
      <w:r w:rsidR="005D58F6" w:rsidRPr="00644872">
        <w:rPr>
          <w:rFonts w:ascii="Times New Roman" w:eastAsia="Times New Roman" w:hAnsi="Times New Roman" w:cs="Times New Roman"/>
          <w:color w:val="404040"/>
          <w:kern w:val="0"/>
          <w:bdr w:val="none" w:sz="0" w:space="0" w:color="auto" w:frame="1"/>
          <w14:ligatures w14:val="none"/>
        </w:rPr>
        <w:t>α</w:t>
      </w:r>
      <w:r w:rsidR="005D58F6" w:rsidRPr="00644872">
        <w:rPr>
          <w:rFonts w:ascii="Times New Roman" w:eastAsia="Times New Roman" w:hAnsi="Times New Roman" w:cs="Times New Roman"/>
          <w:color w:val="404040"/>
          <w:kern w:val="0"/>
          <w:bdr w:val="none" w:sz="0" w:space="0" w:color="auto" w:frame="1"/>
          <w:vertAlign w:val="superscript"/>
          <w14:ligatures w14:val="none"/>
        </w:rPr>
        <w:t>2</w:t>
      </w:r>
      <w:r w:rsidR="005D58F6" w:rsidRPr="006B6ECC">
        <w:rPr>
          <w:rFonts w:ascii="Times New Roman" w:eastAsia="Times New Roman" w:hAnsi="Times New Roman" w:cs="Times New Roman"/>
          <w:color w:val="404040"/>
          <w:kern w:val="0"/>
          <w:bdr w:val="none" w:sz="0" w:space="0" w:color="auto" w:frame="1"/>
          <w14:ligatures w14:val="none"/>
        </w:rPr>
        <w:t xml:space="preserve"> </w:t>
      </w:r>
      <w:r w:rsidR="005D58F6" w:rsidRPr="00644872">
        <w:rPr>
          <w:rFonts w:ascii="Times New Roman" w:eastAsia="Times New Roman" w:hAnsi="Times New Roman" w:cs="Times New Roman"/>
          <w:color w:val="404040"/>
          <w:kern w:val="0"/>
          <w14:ligatures w14:val="none"/>
        </w:rPr>
        <w:t>sets the baseline abundance level</w:t>
      </w:r>
      <w:r w:rsidR="00DE2A41">
        <w:rPr>
          <w:rFonts w:ascii="Times New Roman" w:eastAsia="Times New Roman" w:hAnsi="Times New Roman" w:cs="Times New Roman"/>
          <w:color w:val="404040"/>
          <w:kern w:val="0"/>
          <w14:ligatures w14:val="none"/>
        </w:rPr>
        <w:t xml:space="preserve"> on the y-axis</w:t>
      </w:r>
      <w:r w:rsidR="005D58F6" w:rsidRPr="00644872">
        <w:rPr>
          <w:rFonts w:ascii="Times New Roman" w:eastAsia="Times New Roman" w:hAnsi="Times New Roman" w:cs="Times New Roman"/>
          <w:color w:val="404040"/>
          <w:kern w:val="0"/>
          <w14:ligatures w14:val="none"/>
        </w:rPr>
        <w:t>, while </w:t>
      </w:r>
      <w:r w:rsidR="005D58F6" w:rsidRPr="00644872">
        <w:rPr>
          <w:rFonts w:ascii="Times New Roman" w:eastAsia="Times New Roman" w:hAnsi="Times New Roman" w:cs="Times New Roman"/>
          <w:i/>
          <w:iCs/>
          <w:color w:val="404040"/>
          <w:kern w:val="0"/>
          <w14:ligatures w14:val="none"/>
        </w:rPr>
        <w:t>σ</w:t>
      </w:r>
      <w:r w:rsidR="005D58F6" w:rsidRPr="00644872">
        <w:rPr>
          <w:rFonts w:ascii="Times New Roman" w:eastAsia="Times New Roman" w:hAnsi="Times New Roman" w:cs="Times New Roman"/>
          <w:color w:val="404040"/>
          <w:kern w:val="0"/>
          <w:vertAlign w:val="superscript"/>
          <w14:ligatures w14:val="none"/>
        </w:rPr>
        <w:t>2</w:t>
      </w:r>
      <w:r w:rsidR="005D58F6" w:rsidRPr="00644872">
        <w:rPr>
          <w:rFonts w:ascii="Times New Roman" w:eastAsia="Times New Roman" w:hAnsi="Times New Roman" w:cs="Times New Roman"/>
          <w:color w:val="404040"/>
          <w:kern w:val="0"/>
          <w14:ligatures w14:val="none"/>
        </w:rPr>
        <w:t> </w:t>
      </w:r>
      <w:r w:rsidR="005D58F6" w:rsidRPr="006B6ECC">
        <w:rPr>
          <w:rFonts w:ascii="Times New Roman" w:eastAsia="Times New Roman" w:hAnsi="Times New Roman" w:cs="Times New Roman"/>
          <w:color w:val="404040"/>
          <w:kern w:val="0"/>
          <w14:ligatures w14:val="none"/>
        </w:rPr>
        <w:t>is the uncertainty around the relationship line.</w:t>
      </w:r>
      <w:r w:rsidR="005D58F6">
        <w:rPr>
          <w:rFonts w:ascii="Times New Roman" w:eastAsia="Times New Roman" w:hAnsi="Times New Roman" w:cs="Times New Roman"/>
          <w:color w:val="404040"/>
          <w:kern w:val="0"/>
          <w14:ligatures w14:val="none"/>
        </w:rPr>
        <w:t xml:space="preserve"> </w:t>
      </w:r>
      <w:r w:rsidRPr="006B6ECC">
        <w:rPr>
          <w:rFonts w:ascii="Times New Roman" w:hAnsi="Times New Roman" w:cs="Times New Roman"/>
        </w:rPr>
        <w:t xml:space="preserve">This relationship can be visualized as a curve where the correlation coefficient gradually diminishes as sampling points become more distant from each other (Fig. </w:t>
      </w:r>
      <w:r w:rsidR="00B76390">
        <w:rPr>
          <w:rFonts w:ascii="Times New Roman" w:hAnsi="Times New Roman" w:cs="Times New Roman"/>
        </w:rPr>
        <w:t>1B</w:t>
      </w:r>
      <w:r w:rsidRPr="006B6ECC">
        <w:rPr>
          <w:rFonts w:ascii="Times New Roman" w:hAnsi="Times New Roman" w:cs="Times New Roman"/>
        </w:rPr>
        <w:t>)</w:t>
      </w:r>
    </w:p>
    <w:p w14:paraId="3292CFA7" w14:textId="09E230D0" w:rsidR="003934DD" w:rsidRPr="006B6ECC" w:rsidRDefault="00B76390" w:rsidP="006B6ECC">
      <w:pPr>
        <w:pStyle w:val="p1"/>
        <w:spacing w:after="0" w:afterAutospacing="0" w:line="276" w:lineRule="auto"/>
        <w:contextualSpacing/>
        <w:jc w:val="center"/>
      </w:pPr>
      <w:r w:rsidRPr="006B6ECC">
        <w:rPr>
          <w:noProof/>
        </w:rPr>
        <w:lastRenderedPageBreak/>
        <w:drawing>
          <wp:inline distT="0" distB="0" distL="0" distR="0" wp14:anchorId="7FFC1926" wp14:editId="23DBA492">
            <wp:extent cx="2378520" cy="2325447"/>
            <wp:effectExtent l="0" t="0" r="0" b="0"/>
            <wp:docPr id="810265456" name="Picture 1" descr="A yellow and white square with a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65456" name="Picture 1" descr="A yellow and white square with a white border&#10;&#10;AI-generated content may be incorrect."/>
                    <pic:cNvPicPr/>
                  </pic:nvPicPr>
                  <pic:blipFill rotWithShape="1">
                    <a:blip r:embed="rId4"/>
                    <a:srcRect l="23130" r="28903" b="10272"/>
                    <a:stretch>
                      <a:fillRect/>
                    </a:stretch>
                  </pic:blipFill>
                  <pic:spPr bwMode="auto">
                    <a:xfrm>
                      <a:off x="0" y="0"/>
                      <a:ext cx="2471949" cy="2416792"/>
                    </a:xfrm>
                    <a:prstGeom prst="rect">
                      <a:avLst/>
                    </a:prstGeom>
                    <a:ln>
                      <a:noFill/>
                    </a:ln>
                    <a:extLst>
                      <a:ext uri="{53640926-AAD7-44D8-BBD7-CCE9431645EC}">
                        <a14:shadowObscured xmlns:a14="http://schemas.microsoft.com/office/drawing/2010/main"/>
                      </a:ext>
                    </a:extLst>
                  </pic:spPr>
                </pic:pic>
              </a:graphicData>
            </a:graphic>
          </wp:inline>
        </w:drawing>
      </w:r>
      <w:r w:rsidR="006A5E32" w:rsidRPr="006A5E32">
        <w:rPr>
          <w:noProof/>
        </w:rPr>
        <w:t xml:space="preserve"> </w:t>
      </w:r>
      <w:r w:rsidR="003F524D" w:rsidRPr="003F524D">
        <w:rPr>
          <w:noProof/>
        </w:rPr>
        <w:drawing>
          <wp:inline distT="0" distB="0" distL="0" distR="0" wp14:anchorId="45774A05" wp14:editId="7FCF21EA">
            <wp:extent cx="3259475" cy="2318197"/>
            <wp:effectExtent l="0" t="0" r="4445" b="6350"/>
            <wp:docPr id="439499696"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99696" name="Picture 1" descr="A graph of a line&#10;&#10;AI-generated content may be incorrect."/>
                    <pic:cNvPicPr/>
                  </pic:nvPicPr>
                  <pic:blipFill>
                    <a:blip r:embed="rId5"/>
                    <a:stretch>
                      <a:fillRect/>
                    </a:stretch>
                  </pic:blipFill>
                  <pic:spPr>
                    <a:xfrm>
                      <a:off x="0" y="0"/>
                      <a:ext cx="3316374" cy="2358665"/>
                    </a:xfrm>
                    <a:prstGeom prst="rect">
                      <a:avLst/>
                    </a:prstGeom>
                  </pic:spPr>
                </pic:pic>
              </a:graphicData>
            </a:graphic>
          </wp:inline>
        </w:drawing>
      </w:r>
    </w:p>
    <w:p w14:paraId="5E692E7B" w14:textId="77777777" w:rsidR="009C50E9" w:rsidRPr="00DD778E" w:rsidRDefault="009C50E9" w:rsidP="006B6ECC">
      <w:pPr>
        <w:pStyle w:val="p1"/>
        <w:spacing w:after="0" w:afterAutospacing="0" w:line="276" w:lineRule="auto"/>
        <w:contextualSpacing/>
        <w:jc w:val="both"/>
      </w:pPr>
    </w:p>
    <w:p w14:paraId="7AF92329" w14:textId="77777777" w:rsidR="00C652A9" w:rsidRDefault="00C652A9" w:rsidP="00C652A9">
      <w:pPr>
        <w:pStyle w:val="p1"/>
        <w:spacing w:after="0" w:line="276" w:lineRule="auto"/>
        <w:contextualSpacing/>
        <w:jc w:val="both"/>
      </w:pPr>
      <w:r>
        <w:t>Species with small ρ values exhibit rapidly changing abundance patterns over space, indicating highly localized distributions with sharp boundaries between high and low-density areas. Conversely, species with large ρ values display smoothly varying abundances that remain spatially autocorrelated over greater distances, suggesting more gradual transitions and broader distribution patterns.</w:t>
      </w:r>
    </w:p>
    <w:p w14:paraId="4FCDC54E" w14:textId="77777777" w:rsidR="003127DC" w:rsidRDefault="003127DC" w:rsidP="00C652A9">
      <w:pPr>
        <w:pStyle w:val="p1"/>
        <w:spacing w:after="0" w:line="276" w:lineRule="auto"/>
        <w:contextualSpacing/>
        <w:jc w:val="both"/>
      </w:pPr>
    </w:p>
    <w:p w14:paraId="1089426F" w14:textId="42C6E29E" w:rsidR="00E646A6" w:rsidRDefault="00C652A9" w:rsidP="00C652A9">
      <w:pPr>
        <w:pStyle w:val="p1"/>
        <w:spacing w:after="0" w:afterAutospacing="0" w:line="276" w:lineRule="auto"/>
        <w:contextualSpacing/>
        <w:jc w:val="both"/>
      </w:pPr>
      <w:r>
        <w:t>The amplitude parameter α characterizes the magnitude of abundance variation across the entire spatial domain. Higher α values indicate greater contrast between abundance extremes—more pronounced differences between hotspots and low-density areas. Meanwhile, σ² represents the inherent variability or noise in the relationship, accounting for unexplained variation in abundance patterns.</w:t>
      </w:r>
    </w:p>
    <w:p w14:paraId="42E20031" w14:textId="77777777" w:rsidR="00C652A9" w:rsidRDefault="00C652A9" w:rsidP="006B6ECC">
      <w:pPr>
        <w:pStyle w:val="p1"/>
        <w:spacing w:after="0" w:afterAutospacing="0" w:line="276" w:lineRule="auto"/>
        <w:contextualSpacing/>
        <w:jc w:val="both"/>
      </w:pPr>
    </w:p>
    <w:p w14:paraId="1BDA5FF8" w14:textId="48CE1C52" w:rsidR="00D53DBD" w:rsidRDefault="002C64E1" w:rsidP="006B6ECC">
      <w:pPr>
        <w:pStyle w:val="p1"/>
        <w:spacing w:after="0" w:afterAutospacing="0" w:line="276" w:lineRule="auto"/>
        <w:contextualSpacing/>
        <w:jc w:val="both"/>
      </w:pPr>
      <w:r>
        <w:t>In general</w:t>
      </w:r>
      <w:r w:rsidR="00863AC1">
        <w:t>,</w:t>
      </w:r>
      <w:r>
        <w:t xml:space="preserve"> knowing the </w:t>
      </w:r>
      <w:r w:rsidR="00863AC1">
        <w:t>ρ values of the species distribution</w:t>
      </w:r>
      <w:r w:rsidR="00F21A23">
        <w:t xml:space="preserve"> can help determine </w:t>
      </w:r>
      <w:r w:rsidR="00E80C87">
        <w:t>the sampling resolution as it is the indicator at which distance the values would not be spatially autocorrelated.</w:t>
      </w:r>
    </w:p>
    <w:p w14:paraId="13F0CF03" w14:textId="77777777" w:rsidR="00B21094" w:rsidRDefault="003B1233" w:rsidP="00B21094">
      <w:pPr>
        <w:pStyle w:val="p1"/>
        <w:spacing w:after="0" w:afterAutospacing="0" w:line="276" w:lineRule="auto"/>
        <w:contextualSpacing/>
        <w:jc w:val="both"/>
      </w:pPr>
      <w:r>
        <w:t>Because we are using eDNA methods</w:t>
      </w:r>
      <w:r w:rsidR="00BB7BE0">
        <w:t xml:space="preserve">, the observation </w:t>
      </w:r>
      <w:r w:rsidR="00333E4D">
        <w:t>is</w:t>
      </w:r>
      <w:r w:rsidR="00BB7BE0">
        <w:t xml:space="preserve"> inheriting the added stochasticity of </w:t>
      </w:r>
      <w:r w:rsidR="00BC3579">
        <w:t xml:space="preserve">the abundance being present at point x and the signal being </w:t>
      </w:r>
      <w:r w:rsidR="00AB5808">
        <w:t xml:space="preserve">detected at another point </w:t>
      </w:r>
      <w:proofErr w:type="spellStart"/>
      <w:r w:rsidR="00AB5808">
        <w:t>x</w:t>
      </w:r>
      <w:r w:rsidR="0041556E">
        <w:t>+d</w:t>
      </w:r>
      <w:proofErr w:type="spellEnd"/>
      <w:r w:rsidR="0041556E">
        <w:t xml:space="preserve">, where d is the distance at which the source signal can still be detected, hence it is a function of DNA transport and decay. </w:t>
      </w:r>
      <w:r w:rsidR="00333E4D">
        <w:t xml:space="preserve">Given </w:t>
      </w:r>
      <w:r w:rsidR="00BA6750">
        <w:t>this</w:t>
      </w:r>
      <w:r w:rsidR="00333E4D">
        <w:t xml:space="preserve"> argument, when using GP on eDNA samples the </w:t>
      </w:r>
      <w:r w:rsidR="00333E4D">
        <w:rPr>
          <w:lang w:val="el-GR"/>
        </w:rPr>
        <w:t>ρ</w:t>
      </w:r>
      <w:r w:rsidR="00333E4D">
        <w:t xml:space="preserve"> parameter </w:t>
      </w:r>
      <w:r w:rsidR="00323EA1">
        <w:t xml:space="preserve">encapsulates both processes, the </w:t>
      </w:r>
      <w:r w:rsidR="00BA6750" w:rsidRPr="006B6ECC">
        <w:t>abundance correlation</w:t>
      </w:r>
      <w:r w:rsidR="00BA6750">
        <w:t xml:space="preserve"> </w:t>
      </w:r>
      <w:r w:rsidR="007E51AC">
        <w:t xml:space="preserve">and DNA transport in space between any two given points. Without additional </w:t>
      </w:r>
      <w:r w:rsidR="00F158DA">
        <w:t xml:space="preserve">independent </w:t>
      </w:r>
      <w:r w:rsidR="007E51AC">
        <w:t xml:space="preserve">data (such as trawl catches or </w:t>
      </w:r>
      <w:r w:rsidR="00F158DA">
        <w:t xml:space="preserve">acoustic survey) these two processes cannot be disentangled hence </w:t>
      </w:r>
      <w:r w:rsidR="00B21094">
        <w:t>are going to be represented by one parameter (</w:t>
      </w:r>
      <w:r w:rsidR="00B21094">
        <w:rPr>
          <w:lang w:val="el-GR"/>
        </w:rPr>
        <w:t>ρ</w:t>
      </w:r>
      <w:r w:rsidR="00B21094">
        <w:t xml:space="preserve">). </w:t>
      </w:r>
    </w:p>
    <w:p w14:paraId="46054F3E" w14:textId="77777777" w:rsidR="00B21094" w:rsidRDefault="00B21094" w:rsidP="00B21094">
      <w:pPr>
        <w:pStyle w:val="p1"/>
        <w:spacing w:after="0" w:afterAutospacing="0" w:line="276" w:lineRule="auto"/>
        <w:contextualSpacing/>
        <w:jc w:val="both"/>
      </w:pPr>
    </w:p>
    <w:p w14:paraId="11B11FD3" w14:textId="77777777" w:rsidR="00B21094" w:rsidRPr="00B21094" w:rsidRDefault="00B21094" w:rsidP="00B21094">
      <w:pPr>
        <w:pStyle w:val="p1"/>
        <w:spacing w:after="0" w:afterAutospacing="0" w:line="276" w:lineRule="auto"/>
        <w:contextualSpacing/>
        <w:jc w:val="both"/>
        <w:rPr>
          <w:b/>
          <w:bCs/>
        </w:rPr>
      </w:pPr>
      <w:r w:rsidRPr="00B21094">
        <w:rPr>
          <w:b/>
          <w:bCs/>
        </w:rPr>
        <w:t>Simulation</w:t>
      </w:r>
    </w:p>
    <w:p w14:paraId="67C8C759" w14:textId="43C646ED" w:rsidR="00262647" w:rsidRDefault="004067A8" w:rsidP="00B21094">
      <w:pPr>
        <w:pStyle w:val="p1"/>
        <w:spacing w:after="0" w:afterAutospacing="0" w:line="276" w:lineRule="auto"/>
        <w:contextualSpacing/>
        <w:jc w:val="both"/>
      </w:pPr>
      <w:r>
        <w:t xml:space="preserve">I set up a couple of simulations to explore and understand </w:t>
      </w:r>
      <w:r w:rsidR="00E62F4C">
        <w:t xml:space="preserve">the nature of GP and how </w:t>
      </w:r>
      <w:r w:rsidR="00B50DD5">
        <w:t>we</w:t>
      </w:r>
      <w:r w:rsidR="00E62F4C">
        <w:t xml:space="preserve"> </w:t>
      </w:r>
      <w:r w:rsidR="00B50DD5">
        <w:t>can</w:t>
      </w:r>
      <w:r w:rsidR="00E62F4C">
        <w:t xml:space="preserve"> extract information with respect to </w:t>
      </w:r>
      <w:r w:rsidR="00CC320C">
        <w:t xml:space="preserve">giving inference of sampling design. </w:t>
      </w:r>
      <w:r w:rsidR="00262647">
        <w:t xml:space="preserve">The typical </w:t>
      </w:r>
      <w:r w:rsidR="00D845BB">
        <w:t xml:space="preserve">way to conduct </w:t>
      </w:r>
      <w:r w:rsidR="00A139A4">
        <w:t xml:space="preserve">this type of analysis </w:t>
      </w:r>
      <w:r w:rsidR="00610BE9">
        <w:t>is by leave-one-out analysis. However</w:t>
      </w:r>
      <w:r w:rsidR="00B50DD5">
        <w:t>,</w:t>
      </w:r>
      <w:r w:rsidR="00610BE9">
        <w:t xml:space="preserve"> this type of analysis usually </w:t>
      </w:r>
      <w:r w:rsidR="00B50DD5">
        <w:t>yields</w:t>
      </w:r>
      <w:r w:rsidR="00610BE9">
        <w:t xml:space="preserve"> information how many samples </w:t>
      </w:r>
      <w:r w:rsidR="00B50DD5">
        <w:t>one</w:t>
      </w:r>
      <w:r w:rsidR="009909E1">
        <w:t xml:space="preserve"> can remove from the current </w:t>
      </w:r>
      <w:r w:rsidR="005C4417">
        <w:t>sampling design and often does not yield the information if you are already under</w:t>
      </w:r>
      <w:r w:rsidR="00D666C1">
        <w:t>-</w:t>
      </w:r>
      <w:r w:rsidR="005C4417">
        <w:t xml:space="preserve">sampling. </w:t>
      </w:r>
    </w:p>
    <w:p w14:paraId="158BB6D9" w14:textId="62FB023A" w:rsidR="00B06207" w:rsidRDefault="00DB59A3" w:rsidP="00B21094">
      <w:pPr>
        <w:pStyle w:val="p1"/>
        <w:spacing w:after="0" w:afterAutospacing="0" w:line="276" w:lineRule="auto"/>
        <w:contextualSpacing/>
        <w:jc w:val="both"/>
      </w:pPr>
      <w:r>
        <w:lastRenderedPageBreak/>
        <w:t>So,</w:t>
      </w:r>
      <w:r w:rsidR="00B06207">
        <w:t xml:space="preserve"> I wanted to explore two </w:t>
      </w:r>
      <w:r w:rsidR="00B64090">
        <w:t>questions:</w:t>
      </w:r>
    </w:p>
    <w:p w14:paraId="6BF4BE76" w14:textId="6DBAD01E" w:rsidR="00373C0C" w:rsidRDefault="00373C0C" w:rsidP="00B21094">
      <w:pPr>
        <w:pStyle w:val="p1"/>
        <w:spacing w:after="0" w:afterAutospacing="0" w:line="276" w:lineRule="auto"/>
        <w:contextualSpacing/>
        <w:jc w:val="both"/>
      </w:pPr>
      <w:r>
        <w:t xml:space="preserve">How can we know that we are not under-sampling initially, hence everything we derive </w:t>
      </w:r>
      <w:r w:rsidR="0057135E">
        <w:t xml:space="preserve">is already a </w:t>
      </w:r>
      <w:r w:rsidR="00BB5A3D">
        <w:t>sampling thinned scenario; and is there a quantitative absolute threshold of error</w:t>
      </w:r>
      <w:r w:rsidR="00710315">
        <w:t xml:space="preserve"> (with ecological interpretation)</w:t>
      </w:r>
      <w:r w:rsidR="00BB5A3D">
        <w:t xml:space="preserve"> that should not be surpassed.</w:t>
      </w:r>
    </w:p>
    <w:p w14:paraId="762ADA01" w14:textId="77777777" w:rsidR="0057135E" w:rsidRDefault="0057135E" w:rsidP="00B21094">
      <w:pPr>
        <w:pStyle w:val="p1"/>
        <w:spacing w:after="0" w:afterAutospacing="0" w:line="276" w:lineRule="auto"/>
        <w:contextualSpacing/>
        <w:jc w:val="both"/>
      </w:pPr>
    </w:p>
    <w:p w14:paraId="565DA7EB" w14:textId="0BFA34E4" w:rsidR="00B64090" w:rsidRPr="00710315" w:rsidRDefault="00B64090" w:rsidP="00B21094">
      <w:pPr>
        <w:pStyle w:val="p1"/>
        <w:spacing w:after="0" w:afterAutospacing="0" w:line="276" w:lineRule="auto"/>
        <w:contextualSpacing/>
        <w:jc w:val="both"/>
        <w:rPr>
          <w:i/>
          <w:iCs/>
        </w:rPr>
      </w:pPr>
      <w:r w:rsidRPr="00710315">
        <w:rPr>
          <w:i/>
          <w:iCs/>
        </w:rPr>
        <w:t xml:space="preserve">Does the initial sampling density </w:t>
      </w:r>
      <w:r w:rsidR="007158CB" w:rsidRPr="00710315">
        <w:rPr>
          <w:i/>
          <w:iCs/>
        </w:rPr>
        <w:t xml:space="preserve">influence the </w:t>
      </w:r>
      <w:r w:rsidR="001E63BB" w:rsidRPr="00710315">
        <w:rPr>
          <w:i/>
          <w:iCs/>
        </w:rPr>
        <w:t>outcome of leave-one-out analysis</w:t>
      </w:r>
      <w:r w:rsidR="00592287" w:rsidRPr="00710315">
        <w:rPr>
          <w:i/>
          <w:iCs/>
        </w:rPr>
        <w:t xml:space="preserve"> and how can we </w:t>
      </w:r>
      <w:r w:rsidR="00D666C1" w:rsidRPr="00710315">
        <w:rPr>
          <w:i/>
          <w:iCs/>
        </w:rPr>
        <w:t>know if the initial sampling was over-sampling or under-sampling.</w:t>
      </w:r>
      <w:r w:rsidR="00C90444" w:rsidRPr="00710315">
        <w:rPr>
          <w:i/>
          <w:iCs/>
        </w:rPr>
        <w:t xml:space="preserve"> </w:t>
      </w:r>
    </w:p>
    <w:p w14:paraId="0EC75816" w14:textId="77777777" w:rsidR="00B21094" w:rsidRDefault="00B21094" w:rsidP="006B6ECC">
      <w:pPr>
        <w:pStyle w:val="p1"/>
        <w:spacing w:after="0" w:afterAutospacing="0" w:line="276" w:lineRule="auto"/>
        <w:contextualSpacing/>
        <w:jc w:val="both"/>
      </w:pPr>
    </w:p>
    <w:p w14:paraId="30512DA2" w14:textId="77777777" w:rsidR="00AD22A2" w:rsidRDefault="00AD22A2" w:rsidP="006B6ECC">
      <w:pPr>
        <w:pStyle w:val="p1"/>
        <w:spacing w:after="0" w:afterAutospacing="0" w:line="276" w:lineRule="auto"/>
        <w:contextualSpacing/>
        <w:jc w:val="both"/>
      </w:pPr>
    </w:p>
    <w:p w14:paraId="4DB7D80E" w14:textId="04F482C0" w:rsidR="00AD22A2" w:rsidRDefault="008E1806" w:rsidP="006B6ECC">
      <w:pPr>
        <w:pStyle w:val="p1"/>
        <w:spacing w:after="0" w:afterAutospacing="0" w:line="276" w:lineRule="auto"/>
        <w:contextualSpacing/>
        <w:jc w:val="both"/>
      </w:pPr>
      <w:r>
        <w:t xml:space="preserve">Theoretically if we were to imagine </w:t>
      </w:r>
      <w:r w:rsidR="000342B9">
        <w:t xml:space="preserve">that 1 is </w:t>
      </w:r>
      <w:proofErr w:type="spellStart"/>
      <w:r w:rsidR="000342B9">
        <w:t>undersampling</w:t>
      </w:r>
      <w:proofErr w:type="spellEnd"/>
      <w:r w:rsidR="000342B9">
        <w:t xml:space="preserve">, 4 is just the right amount of sampling, and 9 is oversampling, then we can use this function to understand if we are already </w:t>
      </w:r>
      <w:proofErr w:type="spellStart"/>
      <w:r w:rsidR="000342B9">
        <w:t>undersampling</w:t>
      </w:r>
      <w:proofErr w:type="spellEnd"/>
      <w:r w:rsidR="000342B9">
        <w:t xml:space="preserve"> </w:t>
      </w:r>
      <w:r w:rsidR="00AD22A2">
        <w:t>or oversampling, by doing the spatial thinning of the samples and knowing in which area we are</w:t>
      </w:r>
      <w:r w:rsidR="00D0779F">
        <w:t xml:space="preserve"> (left, middle, right).</w:t>
      </w:r>
    </w:p>
    <w:p w14:paraId="635526C3" w14:textId="0D1E0D14" w:rsidR="008E1806" w:rsidRDefault="008E1806" w:rsidP="006B6ECC">
      <w:pPr>
        <w:pStyle w:val="p1"/>
        <w:spacing w:after="0" w:afterAutospacing="0" w:line="276" w:lineRule="auto"/>
        <w:contextualSpacing/>
        <w:jc w:val="both"/>
      </w:pPr>
      <w:r w:rsidRPr="008E1806">
        <w:rPr>
          <w:noProof/>
        </w:rPr>
        <w:drawing>
          <wp:inline distT="0" distB="0" distL="0" distR="0" wp14:anchorId="54E87E3F" wp14:editId="70CB53F3">
            <wp:extent cx="5943600" cy="3611880"/>
            <wp:effectExtent l="0" t="0" r="0" b="0"/>
            <wp:docPr id="168099276"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9276" name="Picture 1" descr="A graph of different colored lines&#10;&#10;AI-generated content may be incorrect."/>
                    <pic:cNvPicPr/>
                  </pic:nvPicPr>
                  <pic:blipFill>
                    <a:blip r:embed="rId6"/>
                    <a:stretch>
                      <a:fillRect/>
                    </a:stretch>
                  </pic:blipFill>
                  <pic:spPr>
                    <a:xfrm>
                      <a:off x="0" y="0"/>
                      <a:ext cx="5943600" cy="3611880"/>
                    </a:xfrm>
                    <a:prstGeom prst="rect">
                      <a:avLst/>
                    </a:prstGeom>
                  </pic:spPr>
                </pic:pic>
              </a:graphicData>
            </a:graphic>
          </wp:inline>
        </w:drawing>
      </w:r>
    </w:p>
    <w:p w14:paraId="3B99979C" w14:textId="383C8479" w:rsidR="00084CAC" w:rsidRDefault="00084CAC" w:rsidP="006B6ECC">
      <w:pPr>
        <w:pStyle w:val="p1"/>
        <w:spacing w:after="0" w:afterAutospacing="0" w:line="276" w:lineRule="auto"/>
        <w:contextualSpacing/>
        <w:jc w:val="both"/>
      </w:pPr>
      <w:r>
        <w:t xml:space="preserve">Can I build an estimator of this? Meaning, I put the </w:t>
      </w:r>
      <w:r w:rsidR="006E251B">
        <w:t xml:space="preserve">d, the </w:t>
      </w:r>
      <w:r w:rsidR="006E251B">
        <w:rPr>
          <w:lang w:val="el-GR"/>
        </w:rPr>
        <w:t>Δ</w:t>
      </w:r>
      <w:r w:rsidR="00375C50">
        <w:rPr>
          <w:lang w:val="el-GR"/>
        </w:rPr>
        <w:t>ε</w:t>
      </w:r>
      <w:r w:rsidR="00375C50">
        <w:t xml:space="preserve"> and spit me the n?</w:t>
      </w:r>
    </w:p>
    <w:p w14:paraId="157E7A10" w14:textId="77777777" w:rsidR="00E261CA" w:rsidRDefault="00E261CA"/>
    <w:p w14:paraId="75D76E76" w14:textId="77777777" w:rsidR="00E261CA" w:rsidRDefault="00E261CA"/>
    <w:p w14:paraId="5EA94229" w14:textId="0573BE42" w:rsidR="000470D5" w:rsidRDefault="00E261CA">
      <w:pPr>
        <w:rPr>
          <w:rFonts w:ascii="Times New Roman" w:eastAsia="Times New Roman" w:hAnsi="Times New Roman" w:cs="Times New Roman"/>
          <w:kern w:val="0"/>
          <w14:ligatures w14:val="none"/>
        </w:rPr>
      </w:pPr>
      <w:r w:rsidRPr="00E261CA">
        <w:t xml:space="preserve">Using simulated and empirical data for 40 lake and stream fish species, we demonstrate that t </w:t>
      </w:r>
      <w:r w:rsidR="000470D5">
        <w:br w:type="page"/>
      </w:r>
    </w:p>
    <w:p w14:paraId="2BE5C73E" w14:textId="037BEFE4" w:rsidR="00375C50" w:rsidRPr="009E59FB" w:rsidRDefault="000470D5" w:rsidP="006B6ECC">
      <w:pPr>
        <w:pStyle w:val="p1"/>
        <w:spacing w:after="0" w:afterAutospacing="0" w:line="276" w:lineRule="auto"/>
        <w:contextualSpacing/>
        <w:jc w:val="both"/>
      </w:pPr>
      <w:r w:rsidRPr="000470D5">
        <w:rPr>
          <w:noProof/>
        </w:rPr>
        <w:lastRenderedPageBreak/>
        <w:drawing>
          <wp:inline distT="0" distB="0" distL="0" distR="0" wp14:anchorId="44AEB0EE" wp14:editId="2F0FF82B">
            <wp:extent cx="5943600" cy="3259455"/>
            <wp:effectExtent l="0" t="0" r="0" b="4445"/>
            <wp:docPr id="717384119" name="Picture 1" descr="A group of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84119" name="Picture 1" descr="A group of colored squares&#10;&#10;AI-generated content may be incorrect."/>
                    <pic:cNvPicPr/>
                  </pic:nvPicPr>
                  <pic:blipFill>
                    <a:blip r:embed="rId7"/>
                    <a:stretch>
                      <a:fillRect/>
                    </a:stretch>
                  </pic:blipFill>
                  <pic:spPr>
                    <a:xfrm>
                      <a:off x="0" y="0"/>
                      <a:ext cx="5943600" cy="3259455"/>
                    </a:xfrm>
                    <a:prstGeom prst="rect">
                      <a:avLst/>
                    </a:prstGeom>
                  </pic:spPr>
                </pic:pic>
              </a:graphicData>
            </a:graphic>
          </wp:inline>
        </w:drawing>
      </w:r>
    </w:p>
    <w:sectPr w:rsidR="00375C50" w:rsidRPr="009E59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185"/>
    <w:rsid w:val="000342B9"/>
    <w:rsid w:val="00035AB1"/>
    <w:rsid w:val="00036173"/>
    <w:rsid w:val="00045E03"/>
    <w:rsid w:val="000470D5"/>
    <w:rsid w:val="0007439B"/>
    <w:rsid w:val="00084CAC"/>
    <w:rsid w:val="000B235B"/>
    <w:rsid w:val="000D4185"/>
    <w:rsid w:val="000E56B2"/>
    <w:rsid w:val="001936A4"/>
    <w:rsid w:val="001A6348"/>
    <w:rsid w:val="001A66A2"/>
    <w:rsid w:val="001B1CEB"/>
    <w:rsid w:val="001C692F"/>
    <w:rsid w:val="001D798A"/>
    <w:rsid w:val="001E63BB"/>
    <w:rsid w:val="00211591"/>
    <w:rsid w:val="00244275"/>
    <w:rsid w:val="00251189"/>
    <w:rsid w:val="00262647"/>
    <w:rsid w:val="0029332C"/>
    <w:rsid w:val="002A5CEB"/>
    <w:rsid w:val="002C64E1"/>
    <w:rsid w:val="003062A5"/>
    <w:rsid w:val="003127DC"/>
    <w:rsid w:val="00323EA1"/>
    <w:rsid w:val="003337CB"/>
    <w:rsid w:val="00333E4D"/>
    <w:rsid w:val="00373C0C"/>
    <w:rsid w:val="00375C50"/>
    <w:rsid w:val="0038212F"/>
    <w:rsid w:val="003934DD"/>
    <w:rsid w:val="003A0600"/>
    <w:rsid w:val="003A0F01"/>
    <w:rsid w:val="003B1233"/>
    <w:rsid w:val="003D63EB"/>
    <w:rsid w:val="003F40E5"/>
    <w:rsid w:val="003F524D"/>
    <w:rsid w:val="003F571C"/>
    <w:rsid w:val="00405AA5"/>
    <w:rsid w:val="004067A8"/>
    <w:rsid w:val="0041556E"/>
    <w:rsid w:val="004700FC"/>
    <w:rsid w:val="004E5063"/>
    <w:rsid w:val="004F1BAA"/>
    <w:rsid w:val="005705EA"/>
    <w:rsid w:val="0057135E"/>
    <w:rsid w:val="005723F1"/>
    <w:rsid w:val="005730D5"/>
    <w:rsid w:val="00576530"/>
    <w:rsid w:val="00592287"/>
    <w:rsid w:val="00593469"/>
    <w:rsid w:val="00595A69"/>
    <w:rsid w:val="005A6ABF"/>
    <w:rsid w:val="005C4417"/>
    <w:rsid w:val="005D35ED"/>
    <w:rsid w:val="005D58F6"/>
    <w:rsid w:val="00610BE7"/>
    <w:rsid w:val="00610BE9"/>
    <w:rsid w:val="00627D77"/>
    <w:rsid w:val="006305C7"/>
    <w:rsid w:val="0063242F"/>
    <w:rsid w:val="00644872"/>
    <w:rsid w:val="00671D24"/>
    <w:rsid w:val="006813F0"/>
    <w:rsid w:val="006A22FB"/>
    <w:rsid w:val="006A5E32"/>
    <w:rsid w:val="006B6ECC"/>
    <w:rsid w:val="006E251B"/>
    <w:rsid w:val="006E714C"/>
    <w:rsid w:val="006F3648"/>
    <w:rsid w:val="006F3D2B"/>
    <w:rsid w:val="0070136E"/>
    <w:rsid w:val="00710315"/>
    <w:rsid w:val="007154D9"/>
    <w:rsid w:val="007158CB"/>
    <w:rsid w:val="0074482A"/>
    <w:rsid w:val="007574C0"/>
    <w:rsid w:val="00771019"/>
    <w:rsid w:val="007930BC"/>
    <w:rsid w:val="00795834"/>
    <w:rsid w:val="007B51CA"/>
    <w:rsid w:val="007C7CF2"/>
    <w:rsid w:val="007E51AC"/>
    <w:rsid w:val="007E6430"/>
    <w:rsid w:val="008325E6"/>
    <w:rsid w:val="00841BF8"/>
    <w:rsid w:val="00863AC1"/>
    <w:rsid w:val="008A66B2"/>
    <w:rsid w:val="008B41F0"/>
    <w:rsid w:val="008E1806"/>
    <w:rsid w:val="008E5465"/>
    <w:rsid w:val="008F6936"/>
    <w:rsid w:val="00933A07"/>
    <w:rsid w:val="00956559"/>
    <w:rsid w:val="009909E1"/>
    <w:rsid w:val="00995B31"/>
    <w:rsid w:val="009C50E9"/>
    <w:rsid w:val="009D71B2"/>
    <w:rsid w:val="009E5790"/>
    <w:rsid w:val="009E59FB"/>
    <w:rsid w:val="00A139A4"/>
    <w:rsid w:val="00A1514E"/>
    <w:rsid w:val="00A622D4"/>
    <w:rsid w:val="00A65F19"/>
    <w:rsid w:val="00AB1DD6"/>
    <w:rsid w:val="00AB5808"/>
    <w:rsid w:val="00AD0DF9"/>
    <w:rsid w:val="00AD22A2"/>
    <w:rsid w:val="00AF2647"/>
    <w:rsid w:val="00B06207"/>
    <w:rsid w:val="00B21094"/>
    <w:rsid w:val="00B50DD5"/>
    <w:rsid w:val="00B64090"/>
    <w:rsid w:val="00B76390"/>
    <w:rsid w:val="00B93E3D"/>
    <w:rsid w:val="00B95985"/>
    <w:rsid w:val="00BA6750"/>
    <w:rsid w:val="00BB5A3D"/>
    <w:rsid w:val="00BB7BE0"/>
    <w:rsid w:val="00BC3579"/>
    <w:rsid w:val="00BD4C38"/>
    <w:rsid w:val="00BD5268"/>
    <w:rsid w:val="00BE244C"/>
    <w:rsid w:val="00C047F0"/>
    <w:rsid w:val="00C255AF"/>
    <w:rsid w:val="00C26268"/>
    <w:rsid w:val="00C26287"/>
    <w:rsid w:val="00C63ABE"/>
    <w:rsid w:val="00C6482A"/>
    <w:rsid w:val="00C652A9"/>
    <w:rsid w:val="00C81069"/>
    <w:rsid w:val="00C90444"/>
    <w:rsid w:val="00CA2CBF"/>
    <w:rsid w:val="00CB49F4"/>
    <w:rsid w:val="00CC320C"/>
    <w:rsid w:val="00CC35D8"/>
    <w:rsid w:val="00CF5B8B"/>
    <w:rsid w:val="00D0779F"/>
    <w:rsid w:val="00D53DBD"/>
    <w:rsid w:val="00D666C1"/>
    <w:rsid w:val="00D845BB"/>
    <w:rsid w:val="00D8503D"/>
    <w:rsid w:val="00DB24FA"/>
    <w:rsid w:val="00DB4FF7"/>
    <w:rsid w:val="00DB59A3"/>
    <w:rsid w:val="00DC0549"/>
    <w:rsid w:val="00DC0EA2"/>
    <w:rsid w:val="00DC14A8"/>
    <w:rsid w:val="00DC5B16"/>
    <w:rsid w:val="00DD778E"/>
    <w:rsid w:val="00DE2A41"/>
    <w:rsid w:val="00E117B6"/>
    <w:rsid w:val="00E22091"/>
    <w:rsid w:val="00E261CA"/>
    <w:rsid w:val="00E40781"/>
    <w:rsid w:val="00E566F5"/>
    <w:rsid w:val="00E62F4C"/>
    <w:rsid w:val="00E646A6"/>
    <w:rsid w:val="00E80C87"/>
    <w:rsid w:val="00EB6C47"/>
    <w:rsid w:val="00EC208A"/>
    <w:rsid w:val="00ED0747"/>
    <w:rsid w:val="00F05CC6"/>
    <w:rsid w:val="00F11609"/>
    <w:rsid w:val="00F158DA"/>
    <w:rsid w:val="00F21A23"/>
    <w:rsid w:val="00F93E32"/>
    <w:rsid w:val="00F93FDB"/>
    <w:rsid w:val="00FB1AF3"/>
    <w:rsid w:val="00FC4DAB"/>
    <w:rsid w:val="00FD6890"/>
    <w:rsid w:val="00FE45EA"/>
    <w:rsid w:val="00FF4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C0851"/>
  <w15:chartTrackingRefBased/>
  <w15:docId w15:val="{B985EE5A-9731-5146-976A-BF12EFF40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41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D41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1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1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1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41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D41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1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185"/>
    <w:rPr>
      <w:rFonts w:eastAsiaTheme="majorEastAsia" w:cstheme="majorBidi"/>
      <w:color w:val="272727" w:themeColor="text1" w:themeTint="D8"/>
    </w:rPr>
  </w:style>
  <w:style w:type="paragraph" w:styleId="Title">
    <w:name w:val="Title"/>
    <w:basedOn w:val="Normal"/>
    <w:next w:val="Normal"/>
    <w:link w:val="TitleChar"/>
    <w:uiPriority w:val="10"/>
    <w:qFormat/>
    <w:rsid w:val="000D4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185"/>
    <w:pPr>
      <w:spacing w:before="160"/>
      <w:jc w:val="center"/>
    </w:pPr>
    <w:rPr>
      <w:i/>
      <w:iCs/>
      <w:color w:val="404040" w:themeColor="text1" w:themeTint="BF"/>
    </w:rPr>
  </w:style>
  <w:style w:type="character" w:customStyle="1" w:styleId="QuoteChar">
    <w:name w:val="Quote Char"/>
    <w:basedOn w:val="DefaultParagraphFont"/>
    <w:link w:val="Quote"/>
    <w:uiPriority w:val="29"/>
    <w:rsid w:val="000D4185"/>
    <w:rPr>
      <w:i/>
      <w:iCs/>
      <w:color w:val="404040" w:themeColor="text1" w:themeTint="BF"/>
    </w:rPr>
  </w:style>
  <w:style w:type="paragraph" w:styleId="ListParagraph">
    <w:name w:val="List Paragraph"/>
    <w:basedOn w:val="Normal"/>
    <w:uiPriority w:val="34"/>
    <w:qFormat/>
    <w:rsid w:val="000D4185"/>
    <w:pPr>
      <w:ind w:left="720"/>
      <w:contextualSpacing/>
    </w:pPr>
  </w:style>
  <w:style w:type="character" w:styleId="IntenseEmphasis">
    <w:name w:val="Intense Emphasis"/>
    <w:basedOn w:val="DefaultParagraphFont"/>
    <w:uiPriority w:val="21"/>
    <w:qFormat/>
    <w:rsid w:val="000D4185"/>
    <w:rPr>
      <w:i/>
      <w:iCs/>
      <w:color w:val="0F4761" w:themeColor="accent1" w:themeShade="BF"/>
    </w:rPr>
  </w:style>
  <w:style w:type="paragraph" w:styleId="IntenseQuote">
    <w:name w:val="Intense Quote"/>
    <w:basedOn w:val="Normal"/>
    <w:next w:val="Normal"/>
    <w:link w:val="IntenseQuoteChar"/>
    <w:uiPriority w:val="30"/>
    <w:qFormat/>
    <w:rsid w:val="000D4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185"/>
    <w:rPr>
      <w:i/>
      <w:iCs/>
      <w:color w:val="0F4761" w:themeColor="accent1" w:themeShade="BF"/>
    </w:rPr>
  </w:style>
  <w:style w:type="character" w:styleId="IntenseReference">
    <w:name w:val="Intense Reference"/>
    <w:basedOn w:val="DefaultParagraphFont"/>
    <w:uiPriority w:val="32"/>
    <w:qFormat/>
    <w:rsid w:val="000D4185"/>
    <w:rPr>
      <w:b/>
      <w:bCs/>
      <w:smallCaps/>
      <w:color w:val="0F4761" w:themeColor="accent1" w:themeShade="BF"/>
      <w:spacing w:val="5"/>
    </w:rPr>
  </w:style>
  <w:style w:type="paragraph" w:customStyle="1" w:styleId="p1">
    <w:name w:val="p1"/>
    <w:basedOn w:val="Normal"/>
    <w:rsid w:val="000D418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8F6936"/>
    <w:rPr>
      <w:color w:val="666666"/>
    </w:rPr>
  </w:style>
  <w:style w:type="character" w:styleId="Strong">
    <w:name w:val="Strong"/>
    <w:basedOn w:val="DefaultParagraphFont"/>
    <w:uiPriority w:val="22"/>
    <w:qFormat/>
    <w:rsid w:val="00644872"/>
    <w:rPr>
      <w:b/>
      <w:bCs/>
    </w:rPr>
  </w:style>
  <w:style w:type="paragraph" w:customStyle="1" w:styleId="ds-markdown-paragraph">
    <w:name w:val="ds-markdown-paragraph"/>
    <w:basedOn w:val="Normal"/>
    <w:rsid w:val="0064487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mathml">
    <w:name w:val="katex-mathml"/>
    <w:basedOn w:val="DefaultParagraphFont"/>
    <w:rsid w:val="00644872"/>
  </w:style>
  <w:style w:type="character" w:customStyle="1" w:styleId="mord">
    <w:name w:val="mord"/>
    <w:basedOn w:val="DefaultParagraphFont"/>
    <w:rsid w:val="00644872"/>
  </w:style>
  <w:style w:type="character" w:customStyle="1" w:styleId="mopen">
    <w:name w:val="mopen"/>
    <w:basedOn w:val="DefaultParagraphFont"/>
    <w:rsid w:val="00644872"/>
  </w:style>
  <w:style w:type="character" w:customStyle="1" w:styleId="mpunct">
    <w:name w:val="mpunct"/>
    <w:basedOn w:val="DefaultParagraphFont"/>
    <w:rsid w:val="00644872"/>
  </w:style>
  <w:style w:type="character" w:customStyle="1" w:styleId="mclose">
    <w:name w:val="mclose"/>
    <w:basedOn w:val="DefaultParagraphFont"/>
    <w:rsid w:val="006448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23315">
      <w:bodyDiv w:val="1"/>
      <w:marLeft w:val="0"/>
      <w:marRight w:val="0"/>
      <w:marTop w:val="0"/>
      <w:marBottom w:val="0"/>
      <w:divBdr>
        <w:top w:val="none" w:sz="0" w:space="0" w:color="auto"/>
        <w:left w:val="none" w:sz="0" w:space="0" w:color="auto"/>
        <w:bottom w:val="none" w:sz="0" w:space="0" w:color="auto"/>
        <w:right w:val="none" w:sz="0" w:space="0" w:color="auto"/>
      </w:divBdr>
    </w:div>
    <w:div w:id="150875422">
      <w:bodyDiv w:val="1"/>
      <w:marLeft w:val="0"/>
      <w:marRight w:val="0"/>
      <w:marTop w:val="0"/>
      <w:marBottom w:val="0"/>
      <w:divBdr>
        <w:top w:val="none" w:sz="0" w:space="0" w:color="auto"/>
        <w:left w:val="none" w:sz="0" w:space="0" w:color="auto"/>
        <w:bottom w:val="none" w:sz="0" w:space="0" w:color="auto"/>
        <w:right w:val="none" w:sz="0" w:space="0" w:color="auto"/>
      </w:divBdr>
    </w:div>
    <w:div w:id="320693299">
      <w:bodyDiv w:val="1"/>
      <w:marLeft w:val="0"/>
      <w:marRight w:val="0"/>
      <w:marTop w:val="0"/>
      <w:marBottom w:val="0"/>
      <w:divBdr>
        <w:top w:val="none" w:sz="0" w:space="0" w:color="auto"/>
        <w:left w:val="none" w:sz="0" w:space="0" w:color="auto"/>
        <w:bottom w:val="none" w:sz="0" w:space="0" w:color="auto"/>
        <w:right w:val="none" w:sz="0" w:space="0" w:color="auto"/>
      </w:divBdr>
    </w:div>
    <w:div w:id="396172126">
      <w:bodyDiv w:val="1"/>
      <w:marLeft w:val="0"/>
      <w:marRight w:val="0"/>
      <w:marTop w:val="0"/>
      <w:marBottom w:val="0"/>
      <w:divBdr>
        <w:top w:val="none" w:sz="0" w:space="0" w:color="auto"/>
        <w:left w:val="none" w:sz="0" w:space="0" w:color="auto"/>
        <w:bottom w:val="none" w:sz="0" w:space="0" w:color="auto"/>
        <w:right w:val="none" w:sz="0" w:space="0" w:color="auto"/>
      </w:divBdr>
    </w:div>
    <w:div w:id="404500375">
      <w:bodyDiv w:val="1"/>
      <w:marLeft w:val="0"/>
      <w:marRight w:val="0"/>
      <w:marTop w:val="0"/>
      <w:marBottom w:val="0"/>
      <w:divBdr>
        <w:top w:val="none" w:sz="0" w:space="0" w:color="auto"/>
        <w:left w:val="none" w:sz="0" w:space="0" w:color="auto"/>
        <w:bottom w:val="none" w:sz="0" w:space="0" w:color="auto"/>
        <w:right w:val="none" w:sz="0" w:space="0" w:color="auto"/>
      </w:divBdr>
    </w:div>
    <w:div w:id="443186947">
      <w:bodyDiv w:val="1"/>
      <w:marLeft w:val="0"/>
      <w:marRight w:val="0"/>
      <w:marTop w:val="0"/>
      <w:marBottom w:val="0"/>
      <w:divBdr>
        <w:top w:val="none" w:sz="0" w:space="0" w:color="auto"/>
        <w:left w:val="none" w:sz="0" w:space="0" w:color="auto"/>
        <w:bottom w:val="none" w:sz="0" w:space="0" w:color="auto"/>
        <w:right w:val="none" w:sz="0" w:space="0" w:color="auto"/>
      </w:divBdr>
    </w:div>
    <w:div w:id="578910454">
      <w:bodyDiv w:val="1"/>
      <w:marLeft w:val="0"/>
      <w:marRight w:val="0"/>
      <w:marTop w:val="0"/>
      <w:marBottom w:val="0"/>
      <w:divBdr>
        <w:top w:val="none" w:sz="0" w:space="0" w:color="auto"/>
        <w:left w:val="none" w:sz="0" w:space="0" w:color="auto"/>
        <w:bottom w:val="none" w:sz="0" w:space="0" w:color="auto"/>
        <w:right w:val="none" w:sz="0" w:space="0" w:color="auto"/>
      </w:divBdr>
    </w:div>
    <w:div w:id="651909334">
      <w:bodyDiv w:val="1"/>
      <w:marLeft w:val="0"/>
      <w:marRight w:val="0"/>
      <w:marTop w:val="0"/>
      <w:marBottom w:val="0"/>
      <w:divBdr>
        <w:top w:val="none" w:sz="0" w:space="0" w:color="auto"/>
        <w:left w:val="none" w:sz="0" w:space="0" w:color="auto"/>
        <w:bottom w:val="none" w:sz="0" w:space="0" w:color="auto"/>
        <w:right w:val="none" w:sz="0" w:space="0" w:color="auto"/>
      </w:divBdr>
    </w:div>
    <w:div w:id="790051417">
      <w:bodyDiv w:val="1"/>
      <w:marLeft w:val="0"/>
      <w:marRight w:val="0"/>
      <w:marTop w:val="0"/>
      <w:marBottom w:val="0"/>
      <w:divBdr>
        <w:top w:val="none" w:sz="0" w:space="0" w:color="auto"/>
        <w:left w:val="none" w:sz="0" w:space="0" w:color="auto"/>
        <w:bottom w:val="none" w:sz="0" w:space="0" w:color="auto"/>
        <w:right w:val="none" w:sz="0" w:space="0" w:color="auto"/>
      </w:divBdr>
    </w:div>
    <w:div w:id="1073310817">
      <w:bodyDiv w:val="1"/>
      <w:marLeft w:val="0"/>
      <w:marRight w:val="0"/>
      <w:marTop w:val="0"/>
      <w:marBottom w:val="0"/>
      <w:divBdr>
        <w:top w:val="none" w:sz="0" w:space="0" w:color="auto"/>
        <w:left w:val="none" w:sz="0" w:space="0" w:color="auto"/>
        <w:bottom w:val="none" w:sz="0" w:space="0" w:color="auto"/>
        <w:right w:val="none" w:sz="0" w:space="0" w:color="auto"/>
      </w:divBdr>
    </w:div>
    <w:div w:id="1334182386">
      <w:bodyDiv w:val="1"/>
      <w:marLeft w:val="0"/>
      <w:marRight w:val="0"/>
      <w:marTop w:val="0"/>
      <w:marBottom w:val="0"/>
      <w:divBdr>
        <w:top w:val="none" w:sz="0" w:space="0" w:color="auto"/>
        <w:left w:val="none" w:sz="0" w:space="0" w:color="auto"/>
        <w:bottom w:val="none" w:sz="0" w:space="0" w:color="auto"/>
        <w:right w:val="none" w:sz="0" w:space="0" w:color="auto"/>
      </w:divBdr>
    </w:div>
    <w:div w:id="1406147411">
      <w:bodyDiv w:val="1"/>
      <w:marLeft w:val="0"/>
      <w:marRight w:val="0"/>
      <w:marTop w:val="0"/>
      <w:marBottom w:val="0"/>
      <w:divBdr>
        <w:top w:val="none" w:sz="0" w:space="0" w:color="auto"/>
        <w:left w:val="none" w:sz="0" w:space="0" w:color="auto"/>
        <w:bottom w:val="none" w:sz="0" w:space="0" w:color="auto"/>
        <w:right w:val="none" w:sz="0" w:space="0" w:color="auto"/>
      </w:divBdr>
    </w:div>
    <w:div w:id="1540702652">
      <w:bodyDiv w:val="1"/>
      <w:marLeft w:val="0"/>
      <w:marRight w:val="0"/>
      <w:marTop w:val="0"/>
      <w:marBottom w:val="0"/>
      <w:divBdr>
        <w:top w:val="none" w:sz="0" w:space="0" w:color="auto"/>
        <w:left w:val="none" w:sz="0" w:space="0" w:color="auto"/>
        <w:bottom w:val="none" w:sz="0" w:space="0" w:color="auto"/>
        <w:right w:val="none" w:sz="0" w:space="0" w:color="auto"/>
      </w:divBdr>
    </w:div>
    <w:div w:id="1554727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137</TotalTime>
  <Pages>6</Pages>
  <Words>1790</Words>
  <Characters>10207</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Gled Guri</dc:creator>
  <cp:keywords/>
  <dc:description/>
  <cp:lastModifiedBy>Gled Guri</cp:lastModifiedBy>
  <cp:revision>159</cp:revision>
  <dcterms:created xsi:type="dcterms:W3CDTF">2025-05-19T22:51:00Z</dcterms:created>
  <dcterms:modified xsi:type="dcterms:W3CDTF">2025-07-09T19:38:00Z</dcterms:modified>
</cp:coreProperties>
</file>