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60" w:before="0" w:line="276" w:lineRule="auto"/>
              <w:jc w:val="center"/>
            </w:pPr>
            <w:r>
              <w:rPr>
                <w:rFonts w:ascii="Arial" w:cs="Arial" w:eastAsia="Arial" w:hAnsi="Arial"/>
                <w:b/>
                <w:bCs/>
                <w:i w:val="false"/>
                <w:iCs w:val="false"/>
                <w:color w:val="FFFFFF"/>
                <w:sz w:val="26"/>
                <w:szCs w:val="26"/>
              </w:rPr>
              <w:t xml:space="preserve">UNIVERSIDAD TÉCNICA ESTATAL DE QUEVEDO</w:t>
            </w:r>
          </w:p>
          <w:p>
            <w:pPr>
              <w:spacing w:after="40" w:before="0" w:line="276" w:lineRule="auto"/>
              <w:jc w:val="center"/>
            </w:pPr>
            <w:r>
              <w:rPr>
                <w:rFonts w:ascii="Arial" w:cs="Arial" w:eastAsia="Arial" w:hAnsi="Arial"/>
                <w:b w:val="false"/>
                <w:bCs w:val="false"/>
                <w:i w:val="false"/>
                <w:iCs w:val="false"/>
                <w:color w:val="FFFFFF"/>
                <w:sz w:val="20"/>
                <w:szCs w:val="20"/>
              </w:rPr>
              <w:t xml:space="preserve">Facultad de Ciencias de la Computación y Diseño Digital</w:t>
            </w:r>
          </w:p>
          <w:p>
            <w:pPr>
              <w:spacing w:after="80" w:before="0" w:line="276" w:lineRule="auto"/>
              <w:jc w:val="center"/>
            </w:pPr>
            <w:r>
              <w:rPr>
                <w:rFonts w:ascii="Arial" w:cs="Arial" w:eastAsia="Arial" w:hAnsi="Arial"/>
                <w:b w:val="false"/>
                <w:bCs w:val="false"/>
                <w:i w:val="false"/>
                <w:iCs w:val="false"/>
                <w:color w:val="FFFFFF"/>
                <w:sz w:val="20"/>
                <w:szCs w:val="20"/>
              </w:rPr>
              <w:t xml:space="preserve">Carrera de Ingeniería de Software</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80" w:before="0" w:line="276" w:lineRule="auto"/>
        <w:jc w:val="center"/>
      </w:pPr>
      <w:r>
        <w:rPr>
          <w:rFonts w:ascii="Arial" w:cs="Arial" w:eastAsia="Arial" w:hAnsi="Arial"/>
          <w:b/>
          <w:bCs/>
          <w:i w:val="false"/>
          <w:iCs w:val="false"/>
          <w:color w:val="1A5C1A"/>
          <w:sz w:val="32"/>
          <w:szCs w:val="32"/>
        </w:rPr>
        <w:t xml:space="preserve">GUÍAS DE PRÁCTICA EXPERIMENTAL</w:t>
      </w:r>
    </w:p>
    <w:p>
      <w:pPr>
        <w:spacing w:after="80" w:before="0" w:line="276" w:lineRule="auto"/>
        <w:jc w:val="center"/>
      </w:pPr>
      <w:r>
        <w:rPr>
          <w:rFonts w:ascii="Arial" w:cs="Arial" w:eastAsia="Arial" w:hAnsi="Arial"/>
          <w:b/>
          <w:bCs/>
          <w:i w:val="false"/>
          <w:iCs w:val="false"/>
          <w:color w:val="000000"/>
          <w:sz w:val="24"/>
          <w:szCs w:val="24"/>
        </w:rPr>
        <w:t xml:space="preserve">ASIGNATURA: APLICACIONES DISTRIBUIDAS</w:t>
      </w:r>
    </w:p>
    <w:p>
      <w:pPr>
        <w:spacing w:after="40" w:before="0" w:line="276" w:lineRule="auto"/>
        <w:jc w:val="center"/>
      </w:pPr>
      <w:r>
        <w:rPr>
          <w:rFonts w:ascii="Arial" w:cs="Arial" w:eastAsia="Arial" w:hAnsi="Arial"/>
          <w:b w:val="false"/>
          <w:bCs w:val="false"/>
          <w:i/>
          <w:iCs/>
          <w:color w:val="000000"/>
          <w:sz w:val="20"/>
          <w:szCs w:val="20"/>
        </w:rPr>
        <w:t xml:space="preserve">Carrera de Ingeniería de Software — Séptimo Período</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8"/>
        <w:gridCol w:w="5444"/>
      </w:tblGrid>
      <w:tr>
        <w:tc>
          <w:tcPr>
            <w:tcW w:type="dxa" w:w="3628"/>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Período académico:</w:t>
            </w:r>
          </w:p>
        </w:tc>
        <w:tc>
          <w:tcPr>
            <w:tcW w:type="dxa" w:w="5444"/>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Regular 2025-2026 SPA</w:t>
            </w:r>
          </w:p>
        </w:tc>
      </w:tr>
      <w:tr>
        <w:tc>
          <w:tcPr>
            <w:tcW w:type="dxa" w:w="3628"/>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Número de guías:</w:t>
            </w:r>
          </w:p>
        </w:tc>
        <w:tc>
          <w:tcPr>
            <w:tcW w:type="dxa" w:w="5444"/>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5 (una por unidad de contenidos)</w:t>
            </w:r>
          </w:p>
        </w:tc>
      </w:tr>
      <w:tr>
        <w:tc>
          <w:tcPr>
            <w:tcW w:type="dxa" w:w="3628"/>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Modalidad:</w:t>
            </w:r>
          </w:p>
        </w:tc>
        <w:tc>
          <w:tcPr>
            <w:tcW w:type="dxa" w:w="5444"/>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Grupal (equipos de 3-4 estudiantes)</w:t>
            </w:r>
          </w:p>
        </w:tc>
      </w:tr>
      <w:tr>
        <w:tc>
          <w:tcPr>
            <w:tcW w:type="dxa" w:w="3628"/>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Versión:</w:t>
            </w:r>
          </w:p>
        </w:tc>
        <w:tc>
          <w:tcPr>
            <w:tcW w:type="dxa" w:w="5444"/>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v4.0 — 2025</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44"/>
        <w:gridCol w:w="1995"/>
        <w:gridCol w:w="3810"/>
        <w:gridCol w:w="1088"/>
        <w:gridCol w:w="1632"/>
      </w:tblGrid>
      <w:tr>
        <w:tc>
          <w:tcPr>
            <w:tcW w:type="dxa" w:w="544"/>
            <w:tcBorders>
              <w:top w:val="single" w:color="FFFFFF" w:sz="2"/>
              <w:left w:val="single" w:color="FFFFFF" w:sz="2"/>
              <w:bottom w:val="single" w:color="FFFFFF" w:sz="2"/>
              <w:right w:val="single" w:color="FFFFFF" w:sz="2"/>
            </w:tcBorders>
            <w:shd w:fill="1A5C1A"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FFFFFF"/>
                <w:sz w:val="17"/>
                <w:szCs w:val="17"/>
              </w:rPr>
              <w:t xml:space="preserve">N°</w:t>
            </w:r>
          </w:p>
        </w:tc>
        <w:tc>
          <w:tcPr>
            <w:tcW w:type="dxa" w:w="1995"/>
            <w:tcBorders>
              <w:top w:val="single" w:color="FFFFFF" w:sz="2"/>
              <w:left w:val="single" w:color="FFFFFF" w:sz="2"/>
              <w:bottom w:val="single" w:color="FFFFFF" w:sz="2"/>
              <w:right w:val="single" w:color="FFFFFF" w:sz="2"/>
            </w:tcBorders>
            <w:shd w:fill="1A5C1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7"/>
                <w:szCs w:val="17"/>
              </w:rPr>
              <w:t xml:space="preserve">Unidad</w:t>
            </w:r>
          </w:p>
        </w:tc>
        <w:tc>
          <w:tcPr>
            <w:tcW w:type="dxa" w:w="3810"/>
            <w:tcBorders>
              <w:top w:val="single" w:color="FFFFFF" w:sz="2"/>
              <w:left w:val="single" w:color="FFFFFF" w:sz="2"/>
              <w:bottom w:val="single" w:color="FFFFFF" w:sz="2"/>
              <w:right w:val="single" w:color="FFFFFF" w:sz="2"/>
            </w:tcBorders>
            <w:shd w:fill="1A5C1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7"/>
                <w:szCs w:val="17"/>
              </w:rPr>
              <w:t xml:space="preserve">Tema de la Práctica</w:t>
            </w:r>
          </w:p>
        </w:tc>
        <w:tc>
          <w:tcPr>
            <w:tcW w:type="dxa" w:w="1088"/>
            <w:tcBorders>
              <w:top w:val="single" w:color="FFFFFF" w:sz="2"/>
              <w:left w:val="single" w:color="FFFFFF" w:sz="2"/>
              <w:bottom w:val="single" w:color="FFFFFF" w:sz="2"/>
              <w:right w:val="single" w:color="FFFFFF" w:sz="2"/>
            </w:tcBorders>
            <w:shd w:fill="1A5C1A"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FFFFFF"/>
                <w:sz w:val="17"/>
                <w:szCs w:val="17"/>
              </w:rPr>
              <w:t xml:space="preserve">Semana</w:t>
            </w:r>
          </w:p>
        </w:tc>
        <w:tc>
          <w:tcPr>
            <w:tcW w:type="dxa" w:w="1632"/>
            <w:tcBorders>
              <w:top w:val="single" w:color="FFFFFF" w:sz="2"/>
              <w:left w:val="single" w:color="FFFFFF" w:sz="2"/>
              <w:bottom w:val="single" w:color="FFFFFF" w:sz="2"/>
              <w:right w:val="single" w:color="FFFFFF" w:sz="2"/>
            </w:tcBorders>
            <w:shd w:fill="1A5C1A"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FFFFFF"/>
                <w:sz w:val="17"/>
                <w:szCs w:val="17"/>
              </w:rPr>
              <w:t xml:space="preserve">Código</w:t>
            </w:r>
          </w:p>
        </w:tc>
      </w:tr>
      <w:tr>
        <w:tc>
          <w:tcPr>
            <w:tcW w:type="dxa" w:w="544"/>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000000"/>
                <w:sz w:val="17"/>
                <w:szCs w:val="17"/>
              </w:rPr>
              <w:t xml:space="preserve">1</w:t>
            </w:r>
          </w:p>
        </w:tc>
        <w:tc>
          <w:tcPr>
            <w:tcW w:type="dxa" w:w="199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7"/>
                <w:szCs w:val="17"/>
              </w:rPr>
              <w:t xml:space="preserve">U1 — Generalidades SD</w:t>
            </w:r>
          </w:p>
        </w:tc>
        <w:tc>
          <w:tcPr>
            <w:tcW w:type="dxa" w:w="3810"/>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7"/>
                <w:szCs w:val="17"/>
              </w:rPr>
              <w:t xml:space="preserve">Comunicación entre procesos: sockets TCP y gRPC con Lamport</w:t>
            </w:r>
          </w:p>
        </w:tc>
        <w:tc>
          <w:tcPr>
            <w:tcW w:type="dxa" w:w="1088"/>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center"/>
            </w:pPr>
            <w:r>
              <w:rPr>
                <w:rFonts w:ascii="Arial" w:cs="Arial" w:eastAsia="Arial" w:hAnsi="Arial"/>
                <w:b w:val="false"/>
                <w:bCs w:val="false"/>
                <w:i w:val="false"/>
                <w:iCs w:val="false"/>
                <w:color w:val="000000"/>
                <w:sz w:val="17"/>
                <w:szCs w:val="17"/>
              </w:rPr>
              <w:t xml:space="preserve">4</w:t>
            </w:r>
          </w:p>
        </w:tc>
        <w:tc>
          <w:tcPr>
            <w:tcW w:type="dxa" w:w="163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center"/>
            </w:pPr>
            <w:r>
              <w:rPr>
                <w:rFonts w:ascii="Arial" w:cs="Arial" w:eastAsia="Arial" w:hAnsi="Arial"/>
                <w:b w:val="false"/>
                <w:bCs w:val="false"/>
                <w:i/>
                <w:iCs/>
                <w:color w:val="000000"/>
                <w:sz w:val="16"/>
                <w:szCs w:val="16"/>
              </w:rPr>
              <w:t xml:space="preserve">GA-SUM-01</w:t>
            </w:r>
          </w:p>
        </w:tc>
      </w:tr>
      <w:tr>
        <w:tc>
          <w:tcPr>
            <w:tcW w:type="dxa" w:w="544"/>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000000"/>
                <w:sz w:val="17"/>
                <w:szCs w:val="17"/>
              </w:rPr>
              <w:t xml:space="preserve">2</w:t>
            </w:r>
          </w:p>
        </w:tc>
        <w:tc>
          <w:tcPr>
            <w:tcW w:type="dxa" w:w="1995"/>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7"/>
                <w:szCs w:val="17"/>
              </w:rPr>
              <w:t xml:space="preserve">U3 — Arquitecturas Dist.</w:t>
            </w:r>
          </w:p>
        </w:tc>
        <w:tc>
          <w:tcPr>
            <w:tcW w:type="dxa" w:w="3810"/>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7"/>
                <w:szCs w:val="17"/>
              </w:rPr>
              <w:t xml:space="preserve">Microservicios REST con Docker y API Gateway</w:t>
            </w:r>
          </w:p>
        </w:tc>
        <w:tc>
          <w:tcPr>
            <w:tcW w:type="dxa" w:w="1088"/>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center"/>
            </w:pPr>
            <w:r>
              <w:rPr>
                <w:rFonts w:ascii="Arial" w:cs="Arial" w:eastAsia="Arial" w:hAnsi="Arial"/>
                <w:b w:val="false"/>
                <w:bCs w:val="false"/>
                <w:i w:val="false"/>
                <w:iCs w:val="false"/>
                <w:color w:val="000000"/>
                <w:sz w:val="17"/>
                <w:szCs w:val="17"/>
              </w:rPr>
              <w:t xml:space="preserve">7</w:t>
            </w:r>
          </w:p>
        </w:tc>
        <w:tc>
          <w:tcPr>
            <w:tcW w:type="dxa" w:w="163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center"/>
            </w:pPr>
            <w:r>
              <w:rPr>
                <w:rFonts w:ascii="Arial" w:cs="Arial" w:eastAsia="Arial" w:hAnsi="Arial"/>
                <w:b w:val="false"/>
                <w:bCs w:val="false"/>
                <w:i/>
                <w:iCs/>
                <w:color w:val="000000"/>
                <w:sz w:val="16"/>
                <w:szCs w:val="16"/>
              </w:rPr>
              <w:t xml:space="preserve">GA-SUM-02</w:t>
            </w:r>
          </w:p>
        </w:tc>
      </w:tr>
      <w:tr>
        <w:tc>
          <w:tcPr>
            <w:tcW w:type="dxa" w:w="544"/>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000000"/>
                <w:sz w:val="17"/>
                <w:szCs w:val="17"/>
              </w:rPr>
              <w:t xml:space="preserve">3</w:t>
            </w:r>
          </w:p>
        </w:tc>
        <w:tc>
          <w:tcPr>
            <w:tcW w:type="dxa" w:w="199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7"/>
                <w:szCs w:val="17"/>
              </w:rPr>
              <w:t xml:space="preserve">U2 — Bases de Datos Dist.</w:t>
            </w:r>
          </w:p>
        </w:tc>
        <w:tc>
          <w:tcPr>
            <w:tcW w:type="dxa" w:w="3810"/>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7"/>
                <w:szCs w:val="17"/>
              </w:rPr>
              <w:t xml:space="preserve">Clúster CockroachDB: fragmentación, replicación y tolerancia a fallos</w:t>
            </w:r>
          </w:p>
        </w:tc>
        <w:tc>
          <w:tcPr>
            <w:tcW w:type="dxa" w:w="1088"/>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center"/>
            </w:pPr>
            <w:r>
              <w:rPr>
                <w:rFonts w:ascii="Arial" w:cs="Arial" w:eastAsia="Arial" w:hAnsi="Arial"/>
                <w:b w:val="false"/>
                <w:bCs w:val="false"/>
                <w:i w:val="false"/>
                <w:iCs w:val="false"/>
                <w:color w:val="000000"/>
                <w:sz w:val="17"/>
                <w:szCs w:val="17"/>
              </w:rPr>
              <w:t xml:space="preserve">11</w:t>
            </w:r>
          </w:p>
        </w:tc>
        <w:tc>
          <w:tcPr>
            <w:tcW w:type="dxa" w:w="163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center"/>
            </w:pPr>
            <w:r>
              <w:rPr>
                <w:rFonts w:ascii="Arial" w:cs="Arial" w:eastAsia="Arial" w:hAnsi="Arial"/>
                <w:b w:val="false"/>
                <w:bCs w:val="false"/>
                <w:i/>
                <w:iCs/>
                <w:color w:val="000000"/>
                <w:sz w:val="16"/>
                <w:szCs w:val="16"/>
              </w:rPr>
              <w:t xml:space="preserve">GA-SUM-03</w:t>
            </w:r>
          </w:p>
        </w:tc>
      </w:tr>
      <w:tr>
        <w:tc>
          <w:tcPr>
            <w:tcW w:type="dxa" w:w="544"/>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000000"/>
                <w:sz w:val="17"/>
                <w:szCs w:val="17"/>
              </w:rPr>
              <w:t xml:space="preserve">4</w:t>
            </w:r>
          </w:p>
        </w:tc>
        <w:tc>
          <w:tcPr>
            <w:tcW w:type="dxa" w:w="1995"/>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7"/>
                <w:szCs w:val="17"/>
              </w:rPr>
              <w:t xml:space="preserve">U4 — Cómputo Paralelo</w:t>
            </w:r>
          </w:p>
        </w:tc>
        <w:tc>
          <w:tcPr>
            <w:tcW w:type="dxa" w:w="3810"/>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7"/>
                <w:szCs w:val="17"/>
              </w:rPr>
              <w:t xml:space="preserve">PySpark: análisis de rendimiento y comprobación Ley de Amdahl</w:t>
            </w:r>
          </w:p>
        </w:tc>
        <w:tc>
          <w:tcPr>
            <w:tcW w:type="dxa" w:w="1088"/>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center"/>
            </w:pPr>
            <w:r>
              <w:rPr>
                <w:rFonts w:ascii="Arial" w:cs="Arial" w:eastAsia="Arial" w:hAnsi="Arial"/>
                <w:b w:val="false"/>
                <w:bCs w:val="false"/>
                <w:i w:val="false"/>
                <w:iCs w:val="false"/>
                <w:color w:val="000000"/>
                <w:sz w:val="17"/>
                <w:szCs w:val="17"/>
              </w:rPr>
              <w:t xml:space="preserve">14</w:t>
            </w:r>
          </w:p>
        </w:tc>
        <w:tc>
          <w:tcPr>
            <w:tcW w:type="dxa" w:w="1632"/>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center"/>
            </w:pPr>
            <w:r>
              <w:rPr>
                <w:rFonts w:ascii="Arial" w:cs="Arial" w:eastAsia="Arial" w:hAnsi="Arial"/>
                <w:b w:val="false"/>
                <w:bCs w:val="false"/>
                <w:i/>
                <w:iCs/>
                <w:color w:val="000000"/>
                <w:sz w:val="16"/>
                <w:szCs w:val="16"/>
              </w:rPr>
              <w:t xml:space="preserve">GA-SUM-05</w:t>
            </w:r>
          </w:p>
        </w:tc>
      </w:tr>
      <w:tr>
        <w:tc>
          <w:tcPr>
            <w:tcW w:type="dxa" w:w="544"/>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center"/>
            </w:pPr>
            <w:r>
              <w:rPr>
                <w:rFonts w:ascii="Arial" w:cs="Arial" w:eastAsia="Arial" w:hAnsi="Arial"/>
                <w:b/>
                <w:bCs/>
                <w:i w:val="false"/>
                <w:iCs w:val="false"/>
                <w:color w:val="000000"/>
                <w:sz w:val="17"/>
                <w:szCs w:val="17"/>
              </w:rPr>
              <w:t xml:space="preserve">5</w:t>
            </w:r>
          </w:p>
        </w:tc>
        <w:tc>
          <w:tcPr>
            <w:tcW w:type="dxa" w:w="199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7"/>
                <w:szCs w:val="17"/>
              </w:rPr>
              <w:t xml:space="preserve">U5 — Desarrollo en Capas</w:t>
            </w:r>
          </w:p>
        </w:tc>
        <w:tc>
          <w:tcPr>
            <w:tcW w:type="dxa" w:w="3810"/>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7"/>
                <w:szCs w:val="17"/>
              </w:rPr>
              <w:t xml:space="preserve">CI/CD, observabilidad y calidad ISO/IEC 25010 — PFC Final</w:t>
            </w:r>
          </w:p>
        </w:tc>
        <w:tc>
          <w:tcPr>
            <w:tcW w:type="dxa" w:w="1088"/>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center"/>
            </w:pPr>
            <w:r>
              <w:rPr>
                <w:rFonts w:ascii="Arial" w:cs="Arial" w:eastAsia="Arial" w:hAnsi="Arial"/>
                <w:b w:val="false"/>
                <w:bCs w:val="false"/>
                <w:i w:val="false"/>
                <w:iCs w:val="false"/>
                <w:color w:val="000000"/>
                <w:sz w:val="17"/>
                <w:szCs w:val="17"/>
              </w:rPr>
              <w:t xml:space="preserve">17</w:t>
            </w:r>
          </w:p>
        </w:tc>
        <w:tc>
          <w:tcPr>
            <w:tcW w:type="dxa" w:w="1632"/>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center"/>
            </w:pPr>
            <w:r>
              <w:rPr>
                <w:rFonts w:ascii="Arial" w:cs="Arial" w:eastAsia="Arial" w:hAnsi="Arial"/>
                <w:b w:val="false"/>
                <w:bCs w:val="false"/>
                <w:i/>
                <w:iCs/>
                <w:color w:val="000000"/>
                <w:sz w:val="16"/>
                <w:szCs w:val="16"/>
              </w:rPr>
              <w:t xml:space="preserve">GA-SUM-06</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71C1C" w:sz="2"/>
              <w:left w:val="single" w:color="B71C1C" w:sz="2"/>
              <w:bottom w:val="single" w:color="B71C1C" w:sz="2"/>
              <w:right w:val="single" w:color="B71C1C" w:sz="2"/>
            </w:tcBorders>
            <w:shd w:fill="B71C1C"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8"/>
                <w:szCs w:val="18"/>
              </w:rPr>
              <w:t xml:space="preserve">Requisito obligatorio en todas las guías</w:t>
            </w:r>
          </w:p>
        </w:tc>
      </w:tr>
      <w:tr>
        <w:tc>
          <w:tcPr>
            <w:tcW w:type="dxa" w:w="9072"/>
            <w:tcBorders>
              <w:top w:val="single" w:color="B71C1C" w:sz="4"/>
              <w:left w:val="single" w:color="B71C1C" w:sz="4"/>
              <w:bottom w:val="single" w:color="B71C1C" w:sz="4"/>
              <w:right w:val="single" w:color="B71C1C" w:sz="4"/>
            </w:tcBorders>
            <w:shd w:fill="FFEBEE"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El documento de entrega DEBE elaborarse en LaTeX con calidad académica total: (1) compilar sin errores, (2) fundamento teórico completo de la unidad con ≥6 referencias IEEE verificadas con DOI, (3) código en lstlisting, (4) figuras con \caption y \label referenciadas en texto, (5) tablas en booktabs, (6) ecuaciones en entornos matemáticos LaTeX. Un documento que no cumpla estos requisitos tiene calificación 0 en los criterios correspondientes.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7440"/>
      </w:tblGrid>
      <w:tr>
        <w:tc>
          <w:tcPr>
            <w:tcW w:type="dxa" w:w="163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34"/>
                <w:szCs w:val="34"/>
              </w:rPr>
              <w:t xml:space="preserve">UTEQ</w:t>
            </w:r>
          </w:p>
        </w:tc>
        <w:tc>
          <w:tcPr>
            <w:tcW w:type="dxa" w:w="7440"/>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40" w:before="0" w:line="276" w:lineRule="auto"/>
              <w:jc w:val="both"/>
            </w:pPr>
            <w:r>
              <w:rPr>
                <w:rFonts w:ascii="Arial" w:cs="Arial" w:eastAsia="Arial" w:hAnsi="Arial"/>
                <w:b/>
                <w:bCs/>
                <w:i w:val="false"/>
                <w:iCs w:val="false"/>
                <w:color w:val="FFFFFF"/>
                <w:sz w:val="22"/>
                <w:szCs w:val="22"/>
              </w:rPr>
              <w:t xml:space="preserve">Universidad Técnica Estatal de Quevedo</w:t>
            </w:r>
          </w:p>
          <w:p>
            <w:pPr>
              <w:spacing w:after="20" w:before="0" w:line="276" w:lineRule="auto"/>
              <w:jc w:val="both"/>
            </w:pPr>
            <w:r>
              <w:rPr>
                <w:rFonts w:ascii="Arial" w:cs="Arial" w:eastAsia="Arial" w:hAnsi="Arial"/>
                <w:b w:val="false"/>
                <w:bCs w:val="false"/>
                <w:i w:val="false"/>
                <w:iCs w:val="false"/>
                <w:color w:val="FFFFFF"/>
                <w:sz w:val="19"/>
                <w:szCs w:val="19"/>
              </w:rPr>
              <w:t xml:space="preserve">Facultad de Ciencias de la Computación y Diseño Digital</w:t>
            </w:r>
          </w:p>
          <w:p>
            <w:pPr>
              <w:spacing w:after="80" w:before="0" w:line="276" w:lineRule="auto"/>
              <w:jc w:val="both"/>
            </w:pPr>
            <w:r>
              <w:rPr>
                <w:rFonts w:ascii="Arial" w:cs="Arial" w:eastAsia="Arial" w:hAnsi="Arial"/>
                <w:b w:val="false"/>
                <w:bCs w:val="false"/>
                <w:i w:val="false"/>
                <w:iCs w:val="false"/>
                <w:color w:val="FFFFFF"/>
                <w:sz w:val="19"/>
                <w:szCs w:val="19"/>
              </w:rPr>
              <w:t xml:space="preserve">Carrera de Ingeniería de Software</w:t>
            </w:r>
          </w:p>
        </w:tc>
      </w:tr>
    </w:tbl>
    <w:p>
      <w:pPr>
        <w:spacing w:after="60"/>
      </w:pPr>
      <w:r>
        <w:rPr>
          <w:rFonts w:ascii="Arial" w:cs="Arial" w:eastAsia="Arial" w:hAnsi="Arial"/>
          <w:sz w:val="20"/>
          <w:szCs w:val="20"/>
        </w:rPr>
        <w:t xml:space="preserve"/>
      </w:r>
    </w:p>
    <w:p>
      <w:pPr>
        <w:spacing w:after="60" w:before="0" w:line="276" w:lineRule="auto"/>
        <w:jc w:val="center"/>
      </w:pPr>
      <w:r>
        <w:rPr>
          <w:rFonts w:ascii="Arial" w:cs="Arial" w:eastAsia="Arial" w:hAnsi="Arial"/>
          <w:b/>
          <w:bCs/>
          <w:i w:val="false"/>
          <w:iCs w:val="false"/>
          <w:color w:val="1A5C1A"/>
          <w:sz w:val="28"/>
          <w:szCs w:val="28"/>
        </w:rPr>
        <w:t xml:space="preserve">GUÍA DE PRÁCTICA EXPERIMENTAL N° 1</w:t>
      </w:r>
    </w:p>
    <w:p>
      <w:pPr>
        <w:spacing w:after="40" w:before="0" w:line="276" w:lineRule="auto"/>
        <w:jc w:val="center"/>
      </w:pPr>
      <w:r>
        <w:rPr>
          <w:rFonts w:ascii="Arial" w:cs="Arial" w:eastAsia="Arial" w:hAnsi="Arial"/>
          <w:b/>
          <w:bCs/>
          <w:i w:val="false"/>
          <w:iCs w:val="false"/>
          <w:color w:val="000000"/>
          <w:sz w:val="22"/>
          <w:szCs w:val="22"/>
        </w:rPr>
        <w:t xml:space="preserve">Comunicación entre Procesos en Sistemas Distribuidos con gRPC y Sockets TCP</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9072"/>
            <w:gridSpan w:val="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7"/>
                <w:szCs w:val="17"/>
              </w:rPr>
              <w:t xml:space="preserve">Datos generales de la práctica</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Asignatura: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Aplicaciones Distribuidas</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Unidad: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1: Generalidades de los Sistemas Distribuidos</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Tipo de actividad: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Aplicación de contenidos procedimentales</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Semana de entrega: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4</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Período académico:</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Regular 2025-2026 SPA</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Código actividad: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GA-SUM-01</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Docente:</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del docente]</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Fecha de entrega: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[Fecha según cronograma]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9072"/>
            <w:gridSpan w:val="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7"/>
                <w:szCs w:val="17"/>
              </w:rPr>
              <w:t xml:space="preserve">Datos del Equipo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1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Arquitecto]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2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Desarrollador]</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3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Resp. Calidad]</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4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Documentalista]</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URL Repositorio GitHub:</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[https://github.com/equipo/proyecto]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Calificación (docente):</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___ / 100</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1. </w:t>
            </w:r>
            <w:r>
              <w:rPr>
                <w:rFonts w:ascii="Arial" w:cs="Arial" w:eastAsia="Arial" w:hAnsi="Arial"/>
                <w:b/>
                <w:bCs/>
                <w:i w:val="false"/>
                <w:iCs w:val="false"/>
                <w:color w:val="FFFFFF"/>
                <w:sz w:val="22"/>
                <w:szCs w:val="22"/>
              </w:rPr>
              <w:t xml:space="preserve">Tipo de Actividad</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c>
          <w:tcPr>
            <w:tcW w:type="dxa" w:w="2903"/>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Tipo de actividad:</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Aplicación de contenidos procedimentales</w:t>
            </w:r>
          </w:p>
        </w:tc>
      </w:tr>
      <w:tr>
        <w:tc>
          <w:tcPr>
            <w:tcW w:type="dxa" w:w="2903"/>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Modalidad:</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Grupal (equipos de 3-4 estudiantes)</w:t>
            </w:r>
          </w:p>
        </w:tc>
      </w:tr>
      <w:tr>
        <w:tc>
          <w:tcPr>
            <w:tcW w:type="dxa" w:w="2903"/>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Duración:</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3 horas de laboratorio + 5 horas autónomas</w:t>
            </w:r>
          </w:p>
        </w:tc>
      </w:tr>
      <w:tr>
        <w:tc>
          <w:tcPr>
            <w:tcW w:type="dxa" w:w="2903"/>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Entregable:</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Repositorio GitHub + Documento LaTeX compilado (PDF + .tex)</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2. </w:t>
            </w:r>
            <w:r>
              <w:rPr>
                <w:rFonts w:ascii="Arial" w:cs="Arial" w:eastAsia="Arial" w:hAnsi="Arial"/>
                <w:b/>
                <w:bCs/>
                <w:i w:val="false"/>
                <w:iCs w:val="false"/>
                <w:color w:val="FFFFFF"/>
                <w:sz w:val="22"/>
                <w:szCs w:val="22"/>
              </w:rPr>
              <w:t xml:space="preserve">Tema de la Práctica</w:t>
            </w:r>
          </w:p>
        </w:tc>
      </w:tr>
    </w:tbl>
    <w:p>
      <w:pPr>
        <w:spacing w:after="60"/>
      </w:pPr>
      <w:r>
        <w:rPr>
          <w:rFonts w:ascii="Arial" w:cs="Arial" w:eastAsia="Arial" w:hAnsi="Arial"/>
          <w:sz w:val="20"/>
          <w:szCs w:val="20"/>
        </w:rPr>
        <w:t xml:space="preserve"/>
      </w:r>
    </w:p>
    <w:p>
      <w:pPr>
        <w:spacing w:after="80" w:before="0" w:line="276" w:lineRule="auto"/>
        <w:jc w:val="both"/>
      </w:pPr>
      <w:r>
        <w:rPr>
          <w:rFonts w:ascii="Arial" w:cs="Arial" w:eastAsia="Arial" w:hAnsi="Arial"/>
          <w:b w:val="false"/>
          <w:bCs w:val="false"/>
          <w:i w:val="false"/>
          <w:iCs w:val="false"/>
          <w:color w:val="000000"/>
          <w:sz w:val="20"/>
          <w:szCs w:val="20"/>
        </w:rPr>
        <w:t xml:space="preserve">Implementación y comparación de mecanismos de comunicación entre procesos distribuidos: sockets TCP/UDP y llamadas a procedimiento remoto (RPC) con gRPC. Análisis del comportamiento del sistema bajo condiciones de sincronización distribuida aplicando el algoritmo de relojes lógicos de Lamport.</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3. </w:t>
            </w:r>
            <w:r>
              <w:rPr>
                <w:rFonts w:ascii="Arial" w:cs="Arial" w:eastAsia="Arial" w:hAnsi="Arial"/>
                <w:b/>
                <w:bCs/>
                <w:i w:val="false"/>
                <w:iCs w:val="false"/>
                <w:color w:val="FFFFFF"/>
                <w:sz w:val="22"/>
                <w:szCs w:val="22"/>
              </w:rPr>
              <w:t xml:space="preserve">Objetivo de la Práctica</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Objetivo General:</w:t>
      </w:r>
    </w:p>
    <w:p>
      <w:pPr>
        <w:spacing w:after="80" w:before="0" w:line="276" w:lineRule="auto"/>
        <w:jc w:val="both"/>
      </w:pPr>
      <w:r>
        <w:rPr>
          <w:rFonts w:ascii="Arial" w:cs="Arial" w:eastAsia="Arial" w:hAnsi="Arial"/>
          <w:b w:val="false"/>
          <w:bCs w:val="false"/>
          <w:i w:val="false"/>
          <w:iCs w:val="false"/>
          <w:color w:val="000000"/>
          <w:sz w:val="20"/>
          <w:szCs w:val="20"/>
        </w:rPr>
        <w:t xml:space="preserve">Implementar y comparar los mecanismos de comunicación entre procesos (sockets TCP y gRPC) en un sistema distribuido de tres nodos, analizando sus características de rendimiento y fiabilidad, aplicando el algoritmo de Lamport para ordenar eventos, y documentando los resultados con calidad académica en LaTeX.</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Objetivos Específicos: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Configurar un entorno de desarrollo distribuido con al menos tres procesos que se comunican a través de una red local o contenedores Docker.</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Implementar un sistema de mensajería usando sockets TCP en Python y el mismo sistema usando gRPC, midiendo la latencia promedio de cada enfoque con 100 envíos.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Aplicar el algoritmo de relojes lógicos de Lamport para ordenar los eventos del sistema distribuido implementado.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Documentar el proceso, resultados y análisis en un documento LaTeX con referencias bibliográficas IEEE de calidad académica (mínimo 6).</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4. </w:t>
            </w:r>
            <w:r>
              <w:rPr>
                <w:rFonts w:ascii="Arial" w:cs="Arial" w:eastAsia="Arial" w:hAnsi="Arial"/>
                <w:b/>
                <w:bCs/>
                <w:i w:val="false"/>
                <w:iCs w:val="false"/>
                <w:color w:val="FFFFFF"/>
                <w:sz w:val="22"/>
                <w:szCs w:val="22"/>
              </w:rPr>
              <w:t xml:space="preserve">Fundamento Teórico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8"/>
                <w:szCs w:val="18"/>
              </w:rPr>
              <w:t xml:space="preserve">Instrucción Obligatoria para el Estudiante</w:t>
            </w:r>
          </w:p>
        </w:tc>
      </w:tr>
      <w:tr>
        <w:tc>
          <w:tcPr>
            <w:tcW w:type="dxa" w:w="9072"/>
            <w:tcBorders>
              <w:top w:val="single" w:color="E65100" w:sz="4"/>
              <w:left w:val="single" w:color="E65100" w:sz="4"/>
              <w:bottom w:val="single" w:color="E65100" w:sz="4"/>
              <w:right w:val="single" w:color="E65100" w:sz="4"/>
            </w:tcBorders>
            <w:shd w:fill="FFF3E0"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Desarrollar en LaTeX el fundamento teórico COMPLETO de la Unidad 1. Cada subtema: mínimo 300 palabras, al menos 2 referencias IEEE con DOI verificado, un diagrama propio en TikZ o figura importada, y código de ejemplo en lstlisting donde aplique.</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4.1 Definición y Características de los Sistemas Distribuidos</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definición formal de sistema distribuido, las ocho transparencias ANSA (acceso, ubicación, migración, reubicación, replicación, concurrencia, fallos, persistencia), comparación con sistemas centralizados y paralelos, y el teorema CAP con ejemplos reales.</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[1]  </w:t>
      </w:r>
      <w:r>
        <w:rPr>
          <w:rFonts w:ascii="Arial" w:cs="Arial" w:eastAsia="Arial" w:hAnsi="Arial"/>
          <w:b w:val="false"/>
          <w:bCs w:val="false"/>
          <w:i w:val="false"/>
          <w:iCs w:val="false"/>
          <w:color w:val="000000"/>
          <w:sz w:val="19"/>
          <w:szCs w:val="19"/>
        </w:rPr>
        <w:t xml:space="preserve">M. van Steen and A. S. Tanenbaum, Distributed Systems, 4th ed., ver. 4.03. Maastricht, The Netherlands: Maarten van Steen, Jan. 2025. ISBN: 978-90-815406-3-6. [Online]. Available: https://www.distributed-systems.net</w:t>
      </w:r>
    </w:p>
    <w:p>
      <w:pPr>
        <w:spacing w:after="60" w:before="0" w:line="276" w:lineRule="auto"/>
        <w:ind w:left="360" w:hanging="360"/>
        <w:jc w:val="both"/>
      </w:pPr>
      <w:r>
        <w:rPr>
          <w:rFonts w:ascii="Arial" w:cs="Arial" w:eastAsia="Arial" w:hAnsi="Arial"/>
          <w:b/>
          <w:bCs/>
          <w:i w:val="false"/>
          <w:iCs w:val="false"/>
          <w:color w:val="000000"/>
          <w:sz w:val="19"/>
          <w:szCs w:val="19"/>
        </w:rPr>
        <w:t xml:space="preserve">[2]  </w:t>
      </w:r>
      <w:r>
        <w:rPr>
          <w:rFonts w:ascii="Arial" w:cs="Arial" w:eastAsia="Arial" w:hAnsi="Arial"/>
          <w:b w:val="false"/>
          <w:bCs w:val="false"/>
          <w:i w:val="false"/>
          <w:iCs w:val="false"/>
          <w:color w:val="000000"/>
          <w:sz w:val="19"/>
          <w:szCs w:val="19"/>
        </w:rPr>
        <w:t xml:space="preserve">G. Coulouris, J. Dollimore, T. Kindberg, and G. Blair, Distributed Systems: Concepts and Design, 5th ed. Boston, MA, USA: Addison-Wesley, 2012. ISBN: 978-0-13-214301-1.</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4.2 Modelos de Comunicación: Sockets, RPC y gRPC</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modelo de comunicación por sockets (TCP/UDP), RPC y su implementación con gRPC y Protocol Buffers, RMI en Java, diagramas de secuencia de comunicación y análisis comparativo de rendimiento.</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[3]  </w:t>
      </w:r>
      <w:r>
        <w:rPr>
          <w:rFonts w:ascii="Arial" w:cs="Arial" w:eastAsia="Arial" w:hAnsi="Arial"/>
          <w:b w:val="false"/>
          <w:bCs w:val="false"/>
          <w:i w:val="false"/>
          <w:iCs w:val="false"/>
          <w:color w:val="000000"/>
          <w:sz w:val="19"/>
          <w:szCs w:val="19"/>
        </w:rPr>
        <w:t xml:space="preserve">M. van Steen and A. S. Tanenbaum, Distributed Systems, 4th ed. Maastricht, The Netherlands: Maarten van Steen, 2023, ch. 4, pp. 129-178.</w:t>
      </w:r>
    </w:p>
    <w:p>
      <w:pPr>
        <w:spacing w:after="60" w:before="0" w:line="276" w:lineRule="auto"/>
        <w:ind w:left="360" w:hanging="360"/>
        <w:jc w:val="both"/>
      </w:pPr>
      <w:r>
        <w:rPr>
          <w:rFonts w:ascii="Arial" w:cs="Arial" w:eastAsia="Arial" w:hAnsi="Arial"/>
          <w:b/>
          <w:bCs/>
          <w:i w:val="false"/>
          <w:iCs w:val="false"/>
          <w:color w:val="000000"/>
          <w:sz w:val="19"/>
          <w:szCs w:val="19"/>
        </w:rPr>
        <w:t xml:space="preserve">[4]  </w:t>
      </w:r>
      <w:r>
        <w:rPr>
          <w:rFonts w:ascii="Arial" w:cs="Arial" w:eastAsia="Arial" w:hAnsi="Arial"/>
          <w:b w:val="false"/>
          <w:bCs w:val="false"/>
          <w:i w:val="false"/>
          <w:iCs w:val="false"/>
          <w:color w:val="000000"/>
          <w:sz w:val="19"/>
          <w:szCs w:val="19"/>
        </w:rPr>
        <w:t xml:space="preserve">K. Indrasiri and D. Kuruppu, gRPC: Up and Running, 1st ed. Sebastopol, CA, USA: O'Reilly Media, 2020. ISBN: 978-1-4920-5728-4.</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4.3 Sincronización y Relojes Lógicos de Lamport</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problema de sincronización en SD, algoritmo de relojes lógicos de Lamport (1978) con reglas formales de actualización, relojes vectoriales de Fidge-Mattern, causalidad en SD, y demostración matemática de un ejemplo completo.</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[5]  </w:t>
      </w:r>
      <w:r>
        <w:rPr>
          <w:rFonts w:ascii="Arial" w:cs="Arial" w:eastAsia="Arial" w:hAnsi="Arial"/>
          <w:b w:val="false"/>
          <w:bCs w:val="false"/>
          <w:i w:val="false"/>
          <w:iCs w:val="false"/>
          <w:color w:val="000000"/>
          <w:sz w:val="19"/>
          <w:szCs w:val="19"/>
        </w:rPr>
        <w:t xml:space="preserve">L. Lamport, 'Time, clocks, and the ordering of events in a distributed system,' Commun. ACM, vol. 21, no. 7, pp. 558-565, Jul. 1978. doi: 10.1145/359545.359563.</w:t>
      </w:r>
    </w:p>
    <w:p>
      <w:pPr>
        <w:spacing w:after="60" w:before="0" w:line="276" w:lineRule="auto"/>
        <w:ind w:left="360" w:hanging="360"/>
        <w:jc w:val="both"/>
      </w:pPr>
      <w:r>
        <w:rPr>
          <w:rFonts w:ascii="Arial" w:cs="Arial" w:eastAsia="Arial" w:hAnsi="Arial"/>
          <w:b/>
          <w:bCs/>
          <w:i w:val="false"/>
          <w:iCs w:val="false"/>
          <w:color w:val="000000"/>
          <w:sz w:val="19"/>
          <w:szCs w:val="19"/>
        </w:rPr>
        <w:t xml:space="preserve">[6]  </w:t>
      </w:r>
      <w:r>
        <w:rPr>
          <w:rFonts w:ascii="Arial" w:cs="Arial" w:eastAsia="Arial" w:hAnsi="Arial"/>
          <w:b w:val="false"/>
          <w:bCs w:val="false"/>
          <w:i w:val="false"/>
          <w:iCs w:val="false"/>
          <w:color w:val="000000"/>
          <w:sz w:val="19"/>
          <w:szCs w:val="19"/>
        </w:rPr>
        <w:t xml:space="preserve">M. van Steen and A. S. Tanenbaum, Distributed Systems, 4th ed. Maastricht, The Netherlands: Maarten van Steen, 2023, ch. 5, pp. 185-230.</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4.4 Tolerancia a Fallos, Seguridad y Teorema CAP</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clasificación de fallos (crash, omisión, temporización, byzantino), estrategias de detección y recuperación, autenticación con JWT y OAuth 2.0, teorema CAP con análisis formal y ejemplos industriales.</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[7]  </w:t>
      </w:r>
      <w:r>
        <w:rPr>
          <w:rFonts w:ascii="Arial" w:cs="Arial" w:eastAsia="Arial" w:hAnsi="Arial"/>
          <w:b w:val="false"/>
          <w:bCs w:val="false"/>
          <w:i w:val="false"/>
          <w:iCs w:val="false"/>
          <w:color w:val="000000"/>
          <w:sz w:val="19"/>
          <w:szCs w:val="19"/>
        </w:rPr>
        <w:t xml:space="preserve">E. Brewer, 'CAP twelve years later: How the "rules" have changed,' IEEE Comput., vol. 45, no. 2, pp. 23-29, Feb. 2012. doi: 10.1109/MC.2012.37.</w:t>
      </w:r>
    </w:p>
    <w:p>
      <w:pPr>
        <w:spacing w:after="60" w:before="0" w:line="276" w:lineRule="auto"/>
        <w:ind w:left="360" w:hanging="360"/>
        <w:jc w:val="both"/>
      </w:pPr>
      <w:r>
        <w:rPr>
          <w:rFonts w:ascii="Arial" w:cs="Arial" w:eastAsia="Arial" w:hAnsi="Arial"/>
          <w:b/>
          <w:bCs/>
          <w:i w:val="false"/>
          <w:iCs w:val="false"/>
          <w:color w:val="000000"/>
          <w:sz w:val="19"/>
          <w:szCs w:val="19"/>
        </w:rPr>
        <w:t xml:space="preserve">[8]  </w:t>
      </w:r>
      <w:r>
        <w:rPr>
          <w:rFonts w:ascii="Arial" w:cs="Arial" w:eastAsia="Arial" w:hAnsi="Arial"/>
          <w:b w:val="false"/>
          <w:bCs w:val="false"/>
          <w:i w:val="false"/>
          <w:iCs w:val="false"/>
          <w:color w:val="000000"/>
          <w:sz w:val="19"/>
          <w:szCs w:val="19"/>
        </w:rPr>
        <w:t xml:space="preserve">B. Burns, Designing Distributed Systems, 2nd ed. Sebastopol, CA, USA: O'Reilly Media, 2025. ISBN: 978-1-09-815635-0.</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5. </w:t>
            </w:r>
            <w:r>
              <w:rPr>
                <w:rFonts w:ascii="Arial" w:cs="Arial" w:eastAsia="Arial" w:hAnsi="Arial"/>
                <w:b/>
                <w:bCs/>
                <w:i w:val="false"/>
                <w:iCs w:val="false"/>
                <w:color w:val="FFFFFF"/>
                <w:sz w:val="22"/>
                <w:szCs w:val="22"/>
              </w:rPr>
              <w:t xml:space="preserve">Procedimiento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1</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Configuración del Entorno</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Instalar Python 3.10+ y librerías: `pip install grpcio grpcio-tools protobuf`</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Crear repositorio GitHub con estructura: /src/sockets/, /src/grpc/, /docs/, README.md.</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Configurar tres nodos (procesos en localhost con puertos 5000, 5001, 5002 o contenedores Docker).</w:t>
            </w:r>
          </w:p>
          <w:p>
            <w:pPr>
              <w:spacing w:after="80" w:before="60" w:line="276" w:lineRule="auto"/>
              <w:jc w:val="both"/>
            </w:pPr>
            <w:r>
              <w:rPr>
                <w:rFonts w:ascii="Arial" w:cs="Arial" w:eastAsia="Arial" w:hAnsi="Arial"/>
                <w:b/>
                <w:bCs/>
                <w:i w:val="false"/>
                <w:iCs w:val="false"/>
                <w:color w:val="E65100"/>
                <w:sz w:val="18"/>
                <w:szCs w:val="18"/>
              </w:rPr>
              <w:t xml:space="preserve">⚠ Nota: </w:t>
            </w:r>
            <w:r>
              <w:rPr>
                <w:rFonts w:ascii="Arial" w:cs="Arial" w:eastAsia="Arial" w:hAnsi="Arial"/>
                <w:b w:val="false"/>
                <w:bCs w:val="false"/>
                <w:i/>
                <w:iCs/>
                <w:color w:val="E65100"/>
                <w:sz w:val="18"/>
                <w:szCs w:val="18"/>
              </w:rPr>
              <w:t xml:space="preserve">Cada integrante debe hacer al menos 3 commits significativos.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2</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Implementación con Sockets TCP</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Implementar servidor TCP (socket.socket, SOCK_STREAM) que recibe mensajes JSON: {sender, timestamp, message}.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Implementar tres clientes con contador Lamport: incrementar en cada envío, actualizar con max(local, received)+1 al recibir.</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Ejecutar 20 intercambios, registrar todos los timestamps en JSON.</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Medir latencia promedio de 100 envíos con time.perf_counter(), guardar en CSV.</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3</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Implementación con gRPC</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Definir messaging.proto con servicio MessagingService y mensajes Request/Response.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Generar código: `python -m grpc_tools.protoc -I. --python_out=. --grpc_python_out=. messaging.proto`</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Implementar servidor y cliente gRPC con el mismo comportamiento Lamport.</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Ejecutar los mismos 20 intercambios y medir latencia de 100 envíos.</w:t>
            </w:r>
          </w:p>
          <w:p>
            <w:pPr>
              <w:spacing w:after="80" w:before="60" w:line="276" w:lineRule="auto"/>
              <w:jc w:val="both"/>
            </w:pPr>
            <w:r>
              <w:rPr>
                <w:rFonts w:ascii="Arial" w:cs="Arial" w:eastAsia="Arial" w:hAnsi="Arial"/>
                <w:b/>
                <w:bCs/>
                <w:i w:val="false"/>
                <w:iCs w:val="false"/>
                <w:color w:val="E65100"/>
                <w:sz w:val="18"/>
                <w:szCs w:val="18"/>
              </w:rPr>
              <w:t xml:space="preserve">⚠ Nota: </w:t>
            </w:r>
            <w:r>
              <w:rPr>
                <w:rFonts w:ascii="Arial" w:cs="Arial" w:eastAsia="Arial" w:hAnsi="Arial"/>
                <w:b w:val="false"/>
                <w:bCs w:val="false"/>
                <w:i/>
                <w:iCs/>
                <w:color w:val="E65100"/>
                <w:sz w:val="18"/>
                <w:szCs w:val="18"/>
              </w:rPr>
              <w:t xml:space="preserve">El archivo .proto debe estar incluido en el repositorio y documentado en LaTeX.</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4</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Análisis Comparativo</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Calcular media, mediana, desviación estándar y percentil 95 para cada tecnología con pandas.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Generar boxplot comparativo con matplotlib (300 DPI PNG).</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Responder: ¿cuál tiene menor latencia? ¿cuál menor variabilidad? ¿por qué? ¿en qué escenario del PFC usarías cada una?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5</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Documento LaTeX</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Estructura: portada, resumen bilingüe (200 palabras), fundamento teórico completo U1, arquitectura con diagrama TikZ, código en lstlisting, resultados en tabla booktabs + boxplot, análisis, conclusiones individuales (≥150 palabras c/u), bibliografía (≥6 referencias IEEE con DOI).</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Compilar sin errores con pdflatex. Subir PDF + .tex al repositorio en /docs/.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Mínimo 10 páginas de contenido (sin portada ni bibliografía).</w:t>
            </w:r>
          </w:p>
          <w:p>
            <w:pPr>
              <w:spacing w:after="80" w:before="60" w:line="276" w:lineRule="auto"/>
              <w:jc w:val="both"/>
            </w:pPr>
            <w:r>
              <w:rPr>
                <w:rFonts w:ascii="Arial" w:cs="Arial" w:eastAsia="Arial" w:hAnsi="Arial"/>
                <w:b/>
                <w:bCs/>
                <w:i w:val="false"/>
                <w:iCs w:val="false"/>
                <w:color w:val="E65100"/>
                <w:sz w:val="18"/>
                <w:szCs w:val="18"/>
              </w:rPr>
              <w:t xml:space="preserve">⚠ Nota: </w:t>
            </w:r>
            <w:r>
              <w:rPr>
                <w:rFonts w:ascii="Arial" w:cs="Arial" w:eastAsia="Arial" w:hAnsi="Arial"/>
                <w:b w:val="false"/>
                <w:bCs w:val="false"/>
                <w:i/>
                <w:iCs/>
                <w:color w:val="E65100"/>
                <w:sz w:val="18"/>
                <w:szCs w:val="18"/>
              </w:rPr>
              <w:t xml:space="preserve">Un documento que no compila tiene calificación 0 en el criterio de LaTeX.</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6. </w:t>
            </w:r>
            <w:r>
              <w:rPr>
                <w:rFonts w:ascii="Arial" w:cs="Arial" w:eastAsia="Arial" w:hAnsi="Arial"/>
                <w:b/>
                <w:bCs/>
                <w:i w:val="false"/>
                <w:iCs w:val="false"/>
                <w:color w:val="FFFFFF"/>
                <w:sz w:val="22"/>
                <w:szCs w:val="22"/>
              </w:rPr>
              <w:t xml:space="preserve">Materiales, Equipos, Insumos y Reactivos</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6.1 Equipos de Cómputo</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Computadora por integrante: procesador Intel Core i5 o equivalente AMD, mínimo 8 GB RAM, 20 GB espacio libre.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Acceso a red local (LAN) o Internet para repositorio GitHub.</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6.2 Software Requerido</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Python 3.10+ con librerías: grpcio, grpcio-tools, protobuf, pandas, matplotlib</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Docker Desktop (opcional para contenedores)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Visual Studio Code o PyCharm</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Git 2.x + cuenta GitHub</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TeX Live 2023+ o MiKTeX 23+ (o Overleaf online)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Paquetes LaTeX: amsmath, booktabs, listings, graphicx, tikz, biblatex (estilo IEEE), hyperref</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6.3 Recursos en Línea</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Documentación oficial gRPC Python: https://grpc.io/docs/languages/python/</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Plantilla LaTeX base proporcionada por el docente en el LMS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Google Colab (alternativa si no hay instalación local de Python)</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7. </w:t>
            </w:r>
            <w:r>
              <w:rPr>
                <w:rFonts w:ascii="Arial" w:cs="Arial" w:eastAsia="Arial" w:hAnsi="Arial"/>
                <w:b/>
                <w:bCs/>
                <w:i w:val="false"/>
                <w:iCs w:val="false"/>
                <w:color w:val="FFFFFF"/>
                <w:sz w:val="22"/>
                <w:szCs w:val="22"/>
              </w:rPr>
              <w:t xml:space="preserve">Bibliografía de la Guía (Norma IEEE)</w:t>
            </w:r>
          </w:p>
        </w:tc>
      </w:tr>
    </w:tbl>
    <w:p>
      <w:pPr>
        <w:spacing w:after="60"/>
      </w:pPr>
      <w:r>
        <w:rPr>
          <w:rFonts w:ascii="Arial" w:cs="Arial" w:eastAsia="Arial" w:hAnsi="Arial"/>
          <w:sz w:val="20"/>
          <w:szCs w:val="20"/>
        </w:rPr>
        <w:t xml:space="preserve"/>
      </w:r>
    </w:p>
    <w:p>
      <w:pPr>
        <w:spacing w:after="60" w:before="0" w:line="276" w:lineRule="auto"/>
        <w:ind w:left="360" w:hanging="360"/>
        <w:jc w:val="both"/>
      </w:pPr>
      <w:r>
        <w:rPr>
          <w:rFonts w:ascii="Arial" w:cs="Arial" w:eastAsia="Arial" w:hAnsi="Arial"/>
          <w:b/>
          <w:bCs/>
          <w:i w:val="false"/>
          <w:iCs w:val="false"/>
          <w:color w:val="000000"/>
          <w:sz w:val="19"/>
          <w:szCs w:val="19"/>
        </w:rPr>
        <w:t xml:space="preserve">[1]  </w:t>
      </w:r>
      <w:r>
        <w:rPr>
          <w:rFonts w:ascii="Arial" w:cs="Arial" w:eastAsia="Arial" w:hAnsi="Arial"/>
          <w:b w:val="false"/>
          <w:bCs w:val="false"/>
          <w:i w:val="false"/>
          <w:iCs w:val="false"/>
          <w:color w:val="000000"/>
          <w:sz w:val="19"/>
          <w:szCs w:val="19"/>
        </w:rPr>
        <w:t xml:space="preserve">M. van Steen and A. S. Tanenbaum, Distributed Systems, 4th ed., ver. 4.03. Maastricht, The Netherlands: Maarten van Steen, Jan. 2025. ISBN: 978-90-815406-3-6.</w:t>
      </w:r>
    </w:p>
    <w:p>
      <w:pPr>
        <w:spacing w:after="60" w:before="0" w:line="276" w:lineRule="auto"/>
        <w:ind w:left="360" w:hanging="360"/>
        <w:jc w:val="both"/>
      </w:pPr>
      <w:r>
        <w:rPr>
          <w:rFonts w:ascii="Arial" w:cs="Arial" w:eastAsia="Arial" w:hAnsi="Arial"/>
          <w:b/>
          <w:bCs/>
          <w:i w:val="false"/>
          <w:iCs w:val="false"/>
          <w:color w:val="000000"/>
          <w:sz w:val="19"/>
          <w:szCs w:val="19"/>
        </w:rPr>
        <w:t xml:space="preserve">[2]  </w:t>
      </w:r>
      <w:r>
        <w:rPr>
          <w:rFonts w:ascii="Arial" w:cs="Arial" w:eastAsia="Arial" w:hAnsi="Arial"/>
          <w:b w:val="false"/>
          <w:bCs w:val="false"/>
          <w:i w:val="false"/>
          <w:iCs w:val="false"/>
          <w:color w:val="000000"/>
          <w:sz w:val="19"/>
          <w:szCs w:val="19"/>
        </w:rPr>
        <w:t xml:space="preserve">G. Coulouris, J. Dollimore, T. Kindberg, and G. Blair, Distributed Systems: Concepts and Design, 5th ed. Boston, MA, USA: Addison-Wesley, 2012.</w:t>
      </w:r>
    </w:p>
    <w:p>
      <w:pPr>
        <w:spacing w:after="60" w:before="0" w:line="276" w:lineRule="auto"/>
        <w:ind w:left="360" w:hanging="360"/>
        <w:jc w:val="both"/>
      </w:pPr>
      <w:r>
        <w:rPr>
          <w:rFonts w:ascii="Arial" w:cs="Arial" w:eastAsia="Arial" w:hAnsi="Arial"/>
          <w:b/>
          <w:bCs/>
          <w:i w:val="false"/>
          <w:iCs w:val="false"/>
          <w:color w:val="000000"/>
          <w:sz w:val="19"/>
          <w:szCs w:val="19"/>
        </w:rPr>
        <w:t xml:space="preserve">[3]  </w:t>
      </w:r>
      <w:r>
        <w:rPr>
          <w:rFonts w:ascii="Arial" w:cs="Arial" w:eastAsia="Arial" w:hAnsi="Arial"/>
          <w:b w:val="false"/>
          <w:bCs w:val="false"/>
          <w:i w:val="false"/>
          <w:iCs w:val="false"/>
          <w:color w:val="000000"/>
          <w:sz w:val="19"/>
          <w:szCs w:val="19"/>
        </w:rPr>
        <w:t xml:space="preserve">L. Lamport, 'Time, clocks, and the ordering of events in a distributed system,' Commun. ACM, vol. 21, no. 7, pp. 558-565, Jul. 1978. doi: 10.1145/359545.359563.</w:t>
      </w:r>
    </w:p>
    <w:p>
      <w:pPr>
        <w:spacing w:after="60" w:before="0" w:line="276" w:lineRule="auto"/>
        <w:ind w:left="360" w:hanging="360"/>
        <w:jc w:val="both"/>
      </w:pPr>
      <w:r>
        <w:rPr>
          <w:rFonts w:ascii="Arial" w:cs="Arial" w:eastAsia="Arial" w:hAnsi="Arial"/>
          <w:b/>
          <w:bCs/>
          <w:i w:val="false"/>
          <w:iCs w:val="false"/>
          <w:color w:val="000000"/>
          <w:sz w:val="19"/>
          <w:szCs w:val="19"/>
        </w:rPr>
        <w:t xml:space="preserve">[4]  </w:t>
      </w:r>
      <w:r>
        <w:rPr>
          <w:rFonts w:ascii="Arial" w:cs="Arial" w:eastAsia="Arial" w:hAnsi="Arial"/>
          <w:b w:val="false"/>
          <w:bCs w:val="false"/>
          <w:i w:val="false"/>
          <w:iCs w:val="false"/>
          <w:color w:val="000000"/>
          <w:sz w:val="19"/>
          <w:szCs w:val="19"/>
        </w:rPr>
        <w:t xml:space="preserve">K. Indrasiri and D. Kuruppu, gRPC: Up and Running, 1st ed. Sebastopol, CA, USA: O'Reilly Media, 2020. ISBN: 978-1-4920-5728-4.</w:t>
      </w:r>
    </w:p>
    <w:p>
      <w:pPr>
        <w:spacing w:after="60" w:before="0" w:line="276" w:lineRule="auto"/>
        <w:ind w:left="360" w:hanging="360"/>
        <w:jc w:val="both"/>
      </w:pPr>
      <w:r>
        <w:rPr>
          <w:rFonts w:ascii="Arial" w:cs="Arial" w:eastAsia="Arial" w:hAnsi="Arial"/>
          <w:b/>
          <w:bCs/>
          <w:i w:val="false"/>
          <w:iCs w:val="false"/>
          <w:color w:val="000000"/>
          <w:sz w:val="19"/>
          <w:szCs w:val="19"/>
        </w:rPr>
        <w:t xml:space="preserve">[5]  </w:t>
      </w:r>
      <w:r>
        <w:rPr>
          <w:rFonts w:ascii="Arial" w:cs="Arial" w:eastAsia="Arial" w:hAnsi="Arial"/>
          <w:b w:val="false"/>
          <w:bCs w:val="false"/>
          <w:i w:val="false"/>
          <w:iCs w:val="false"/>
          <w:color w:val="000000"/>
          <w:sz w:val="19"/>
          <w:szCs w:val="19"/>
        </w:rPr>
        <w:t xml:space="preserve">E. Brewer, 'CAP twelve years later,' IEEE Comput., vol. 45, no. 2, pp. 23-29, Feb. 2012. doi: 10.1109/MC.2012.37.</w:t>
      </w:r>
    </w:p>
    <w:p>
      <w:pPr>
        <w:spacing w:after="60" w:before="0" w:line="276" w:lineRule="auto"/>
        <w:ind w:left="360" w:hanging="360"/>
        <w:jc w:val="both"/>
      </w:pPr>
      <w:r>
        <w:rPr>
          <w:rFonts w:ascii="Arial" w:cs="Arial" w:eastAsia="Arial" w:hAnsi="Arial"/>
          <w:b/>
          <w:bCs/>
          <w:i w:val="false"/>
          <w:iCs w:val="false"/>
          <w:color w:val="000000"/>
          <w:sz w:val="19"/>
          <w:szCs w:val="19"/>
        </w:rPr>
        <w:t xml:space="preserve">[6]  </w:t>
      </w:r>
      <w:r>
        <w:rPr>
          <w:rFonts w:ascii="Arial" w:cs="Arial" w:eastAsia="Arial" w:hAnsi="Arial"/>
          <w:b w:val="false"/>
          <w:bCs w:val="false"/>
          <w:i w:val="false"/>
          <w:iCs w:val="false"/>
          <w:color w:val="000000"/>
          <w:sz w:val="19"/>
          <w:szCs w:val="19"/>
        </w:rPr>
        <w:t xml:space="preserve">B. Burns, Designing Distributed Systems, 2nd ed. Sebastopol, CA, USA: O'Reilly Media, 2025. ISBN: 978-1-09-815635-0.</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2"/>
              <w:left w:val="single" w:color="1A5C1A" w:sz="2"/>
              <w:bottom w:val="single" w:color="1A5C1A" w:sz="2"/>
              <w:right w:val="single" w:color="1A5C1A" w:sz="2"/>
            </w:tcBorders>
            <w:shd w:fill="1A5C1A"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8. </w:t>
            </w:r>
            <w:r>
              <w:rPr>
                <w:rFonts w:ascii="Arial" w:cs="Arial" w:eastAsia="Arial" w:hAnsi="Arial"/>
                <w:b/>
                <w:bCs/>
                <w:i w:val="false"/>
                <w:iCs w:val="false"/>
                <w:color w:val="FFFFFF"/>
                <w:sz w:val="22"/>
                <w:szCs w:val="22"/>
              </w:rPr>
              <w:t xml:space="preserve">Anexos</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Anexo A — Estructura del repositorio GitHub</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/src/sockets/server.py, client.py</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/src/grpc/messaging.proto, server_grpc.py, client_grpc.py</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/data/latency_sockets.csv, latency_grpc.csv</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/docs/guia1_practica.tex, guia1_practica.pdf</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/docs/figures/boxplot.png</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README.md con instrucciones completas de ejecución</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Anexo B — Preguntas de análisis obligatorias en el documento LaTeX</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¿Cómo afecta el número de nodos al tiempo de convergencia de los relojes Lamport? Justifica con datos.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¿En qué escenario del PFC usarías sockets TCP y en cuál gRPC? Argumenta desde la perspectiva del teorema CAP.</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Si un nodo falla durante la comunicación, ¿qué ocurre con los timestamps de Lamport en los nodos restantes?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¿Qué transparencias ANSA logra el sistema implementado? ¿Cómo implementarías las faltantes?</w:t>
      </w:r>
    </w:p>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7440"/>
      </w:tblGrid>
      <w:tr>
        <w:tc>
          <w:tcPr>
            <w:tcW w:type="dxa" w:w="1632"/>
            <w:tcBorders>
              <w:top w:val="single" w:color="1565C0" w:sz="2"/>
              <w:left w:val="single" w:color="1565C0" w:sz="2"/>
              <w:bottom w:val="single" w:color="1565C0" w:sz="2"/>
              <w:right w:val="single" w:color="1565C0" w:sz="2"/>
            </w:tcBorders>
            <w:shd w:fill="1565C0"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34"/>
                <w:szCs w:val="34"/>
              </w:rPr>
              <w:t xml:space="preserve">UTEQ</w:t>
            </w:r>
          </w:p>
        </w:tc>
        <w:tc>
          <w:tcPr>
            <w:tcW w:type="dxa" w:w="7440"/>
            <w:tcBorders>
              <w:top w:val="single" w:color="1565C0" w:sz="2"/>
              <w:left w:val="single" w:color="1565C0" w:sz="2"/>
              <w:bottom w:val="single" w:color="1565C0" w:sz="2"/>
              <w:right w:val="single" w:color="1565C0" w:sz="2"/>
            </w:tcBorders>
            <w:shd w:fill="1565C0" w:val="clear"/>
            <w:tcMar>
              <w:top w:type="dxa" w:w="100"/>
              <w:left w:type="dxa" w:w="140"/>
              <w:bottom w:type="dxa" w:w="100"/>
              <w:right w:type="dxa" w:w="140"/>
            </w:tcMar>
            <w:vAlign w:val="top"/>
          </w:tcPr>
          <w:p>
            <w:pPr>
              <w:spacing w:after="40" w:before="0" w:line="276" w:lineRule="auto"/>
              <w:jc w:val="both"/>
            </w:pPr>
            <w:r>
              <w:rPr>
                <w:rFonts w:ascii="Arial" w:cs="Arial" w:eastAsia="Arial" w:hAnsi="Arial"/>
                <w:b/>
                <w:bCs/>
                <w:i w:val="false"/>
                <w:iCs w:val="false"/>
                <w:color w:val="FFFFFF"/>
                <w:sz w:val="22"/>
                <w:szCs w:val="22"/>
              </w:rPr>
              <w:t xml:space="preserve">Universidad Técnica Estatal de Quevedo</w:t>
            </w:r>
          </w:p>
          <w:p>
            <w:pPr>
              <w:spacing w:after="20" w:before="0" w:line="276" w:lineRule="auto"/>
              <w:jc w:val="both"/>
            </w:pPr>
            <w:r>
              <w:rPr>
                <w:rFonts w:ascii="Arial" w:cs="Arial" w:eastAsia="Arial" w:hAnsi="Arial"/>
                <w:b w:val="false"/>
                <w:bCs w:val="false"/>
                <w:i w:val="false"/>
                <w:iCs w:val="false"/>
                <w:color w:val="FFFFFF"/>
                <w:sz w:val="19"/>
                <w:szCs w:val="19"/>
              </w:rPr>
              <w:t xml:space="preserve">Facultad de Ciencias de la Computación y Diseño Digital</w:t>
            </w:r>
          </w:p>
          <w:p>
            <w:pPr>
              <w:spacing w:after="80" w:before="0" w:line="276" w:lineRule="auto"/>
              <w:jc w:val="both"/>
            </w:pPr>
            <w:r>
              <w:rPr>
                <w:rFonts w:ascii="Arial" w:cs="Arial" w:eastAsia="Arial" w:hAnsi="Arial"/>
                <w:b w:val="false"/>
                <w:bCs w:val="false"/>
                <w:i w:val="false"/>
                <w:iCs w:val="false"/>
                <w:color w:val="FFFFFF"/>
                <w:sz w:val="19"/>
                <w:szCs w:val="19"/>
              </w:rPr>
              <w:t xml:space="preserve">Carrera de Ingeniería de Software</w:t>
            </w:r>
          </w:p>
        </w:tc>
      </w:tr>
    </w:tbl>
    <w:p>
      <w:pPr>
        <w:spacing w:after="60"/>
      </w:pPr>
      <w:r>
        <w:rPr>
          <w:rFonts w:ascii="Arial" w:cs="Arial" w:eastAsia="Arial" w:hAnsi="Arial"/>
          <w:sz w:val="20"/>
          <w:szCs w:val="20"/>
        </w:rPr>
        <w:t xml:space="preserve"/>
      </w:r>
    </w:p>
    <w:p>
      <w:pPr>
        <w:spacing w:after="60" w:before="0" w:line="276" w:lineRule="auto"/>
        <w:jc w:val="center"/>
      </w:pPr>
      <w:r>
        <w:rPr>
          <w:rFonts w:ascii="Arial" w:cs="Arial" w:eastAsia="Arial" w:hAnsi="Arial"/>
          <w:b/>
          <w:bCs/>
          <w:i w:val="false"/>
          <w:iCs w:val="false"/>
          <w:color w:val="1565C0"/>
          <w:sz w:val="28"/>
          <w:szCs w:val="28"/>
        </w:rPr>
        <w:t xml:space="preserve">GUÍA DE PRÁCTICA EXPERIMENTAL N° 2</w:t>
      </w:r>
    </w:p>
    <w:p>
      <w:pPr>
        <w:spacing w:after="40" w:before="0" w:line="276" w:lineRule="auto"/>
        <w:jc w:val="center"/>
      </w:pPr>
      <w:r>
        <w:rPr>
          <w:rFonts w:ascii="Arial" w:cs="Arial" w:eastAsia="Arial" w:hAnsi="Arial"/>
          <w:b/>
          <w:bCs/>
          <w:i w:val="false"/>
          <w:iCs w:val="false"/>
          <w:color w:val="000000"/>
          <w:sz w:val="22"/>
          <w:szCs w:val="22"/>
        </w:rPr>
        <w:t xml:space="preserve">Contenerización y Despliegue de Microservicios REST con Docker y API Gateway</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9072"/>
            <w:gridSpan w:val="2"/>
            <w:tcBorders>
              <w:top w:val="single" w:color="1565C0" w:sz="2"/>
              <w:left w:val="single" w:color="1565C0" w:sz="2"/>
              <w:bottom w:val="single" w:color="1565C0" w:sz="2"/>
              <w:right w:val="single" w:color="1565C0" w:sz="2"/>
            </w:tcBorders>
            <w:shd w:fill="1565C0"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7"/>
                <w:szCs w:val="17"/>
              </w:rPr>
              <w:t xml:space="preserve">Datos generales de la práctica</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Asignatura: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Aplicaciones Distribuidas</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Unidad: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3: Arquitecturas Distribuidas</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Tipo de actividad: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Aplicación de contenidos técnicos</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Semana de entrega: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7</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Período académico:</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Regular 2025-2026 SPA</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Código actividad: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GA-SUM-02</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Docente:</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del docente]</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Fecha de entrega: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[Fecha según cronograma]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9072"/>
            <w:gridSpan w:val="2"/>
            <w:tcBorders>
              <w:top w:val="single" w:color="1565C0" w:sz="2"/>
              <w:left w:val="single" w:color="1565C0" w:sz="2"/>
              <w:bottom w:val="single" w:color="1565C0" w:sz="2"/>
              <w:right w:val="single" w:color="1565C0" w:sz="2"/>
            </w:tcBorders>
            <w:shd w:fill="1565C0"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7"/>
                <w:szCs w:val="17"/>
              </w:rPr>
              <w:t xml:space="preserve">Datos del Equipo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1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Arquitecto]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2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Desarrollador]</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3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Resp. Calidad]</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4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Documentalista]</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URL Repositorio GitHub:</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[https://github.com/equipo/proyecto]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Calificación (docente):</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___ / 100</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565C0" w:sz="2"/>
              <w:left w:val="single" w:color="1565C0" w:sz="2"/>
              <w:bottom w:val="single" w:color="1565C0" w:sz="2"/>
              <w:right w:val="single" w:color="1565C0" w:sz="2"/>
            </w:tcBorders>
            <w:shd w:fill="1565C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1. </w:t>
            </w:r>
            <w:r>
              <w:rPr>
                <w:rFonts w:ascii="Arial" w:cs="Arial" w:eastAsia="Arial" w:hAnsi="Arial"/>
                <w:b/>
                <w:bCs/>
                <w:i w:val="false"/>
                <w:iCs w:val="false"/>
                <w:color w:val="FFFFFF"/>
                <w:sz w:val="22"/>
                <w:szCs w:val="22"/>
              </w:rPr>
              <w:t xml:space="preserve">Tipo de Actividad</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c>
          <w:tcPr>
            <w:tcW w:type="dxa" w:w="2903"/>
            <w:tcBorders>
              <w:top w:val="single" w:color="9E9E9E" w:sz="4"/>
              <w:left w:val="single" w:color="9E9E9E" w:sz="4"/>
              <w:bottom w:val="single" w:color="9E9E9E" w:sz="4"/>
              <w:right w:val="single" w:color="9E9E9E" w:sz="4"/>
            </w:tcBorders>
            <w:shd w:fill="DDEEFF"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Tipo de actividad:</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Aplicación de contenidos técnicos</w:t>
            </w:r>
          </w:p>
        </w:tc>
      </w:tr>
      <w:tr>
        <w:tc>
          <w:tcPr>
            <w:tcW w:type="dxa" w:w="2903"/>
            <w:tcBorders>
              <w:top w:val="single" w:color="9E9E9E" w:sz="4"/>
              <w:left w:val="single" w:color="9E9E9E" w:sz="4"/>
              <w:bottom w:val="single" w:color="9E9E9E" w:sz="4"/>
              <w:right w:val="single" w:color="9E9E9E" w:sz="4"/>
            </w:tcBorders>
            <w:shd w:fill="DDEEFF"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Modalidad:</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Grupal (equipos de 3-4 estudiantes)</w:t>
            </w:r>
          </w:p>
        </w:tc>
      </w:tr>
      <w:tr>
        <w:tc>
          <w:tcPr>
            <w:tcW w:type="dxa" w:w="2903"/>
            <w:tcBorders>
              <w:top w:val="single" w:color="9E9E9E" w:sz="4"/>
              <w:left w:val="single" w:color="9E9E9E" w:sz="4"/>
              <w:bottom w:val="single" w:color="9E9E9E" w:sz="4"/>
              <w:right w:val="single" w:color="9E9E9E" w:sz="4"/>
            </w:tcBorders>
            <w:shd w:fill="DDEEFF"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Duración:</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3 horas de laboratorio + 6 horas autónomas</w:t>
            </w:r>
          </w:p>
        </w:tc>
      </w:tr>
      <w:tr>
        <w:tc>
          <w:tcPr>
            <w:tcW w:type="dxa" w:w="2903"/>
            <w:tcBorders>
              <w:top w:val="single" w:color="9E9E9E" w:sz="4"/>
              <w:left w:val="single" w:color="9E9E9E" w:sz="4"/>
              <w:bottom w:val="single" w:color="9E9E9E" w:sz="4"/>
              <w:right w:val="single" w:color="9E9E9E" w:sz="4"/>
            </w:tcBorders>
            <w:shd w:fill="DDEEFF"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Entregable:</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Repositorio GitHub + Documento LaTeX + Demo en vivo del sistema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565C0" w:sz="2"/>
              <w:left w:val="single" w:color="1565C0" w:sz="2"/>
              <w:bottom w:val="single" w:color="1565C0" w:sz="2"/>
              <w:right w:val="single" w:color="1565C0" w:sz="2"/>
            </w:tcBorders>
            <w:shd w:fill="1565C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2. </w:t>
            </w:r>
            <w:r>
              <w:rPr>
                <w:rFonts w:ascii="Arial" w:cs="Arial" w:eastAsia="Arial" w:hAnsi="Arial"/>
                <w:b/>
                <w:bCs/>
                <w:i w:val="false"/>
                <w:iCs w:val="false"/>
                <w:color w:val="FFFFFF"/>
                <w:sz w:val="22"/>
                <w:szCs w:val="22"/>
              </w:rPr>
              <w:t xml:space="preserve">Tema de la Práctica</w:t>
            </w:r>
          </w:p>
        </w:tc>
      </w:tr>
    </w:tbl>
    <w:p>
      <w:pPr>
        <w:spacing w:after="60"/>
      </w:pPr>
      <w:r>
        <w:rPr>
          <w:rFonts w:ascii="Arial" w:cs="Arial" w:eastAsia="Arial" w:hAnsi="Arial"/>
          <w:sz w:val="20"/>
          <w:szCs w:val="20"/>
        </w:rPr>
        <w:t xml:space="preserve"/>
      </w:r>
    </w:p>
    <w:p>
      <w:pPr>
        <w:spacing w:after="80" w:before="0" w:line="276" w:lineRule="auto"/>
        <w:jc w:val="both"/>
      </w:pPr>
      <w:r>
        <w:rPr>
          <w:rFonts w:ascii="Arial" w:cs="Arial" w:eastAsia="Arial" w:hAnsi="Arial"/>
          <w:b w:val="false"/>
          <w:bCs w:val="false"/>
          <w:i w:val="false"/>
          <w:iCs w:val="false"/>
          <w:color w:val="000000"/>
          <w:sz w:val="20"/>
          <w:szCs w:val="20"/>
        </w:rPr>
        <w:t xml:space="preserve">Diseño, implementación y despliegue de una arquitectura de microservicios REST con autenticación JWT, contenerización con Docker Compose y gestión de peticiones con API Gateway (Nginx), integrada con el Proyecto Fin de Curso.</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565C0" w:sz="2"/>
              <w:left w:val="single" w:color="1565C0" w:sz="2"/>
              <w:bottom w:val="single" w:color="1565C0" w:sz="2"/>
              <w:right w:val="single" w:color="1565C0" w:sz="2"/>
            </w:tcBorders>
            <w:shd w:fill="1565C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3. </w:t>
            </w:r>
            <w:r>
              <w:rPr>
                <w:rFonts w:ascii="Arial" w:cs="Arial" w:eastAsia="Arial" w:hAnsi="Arial"/>
                <w:b/>
                <w:bCs/>
                <w:i w:val="false"/>
                <w:iCs w:val="false"/>
                <w:color w:val="FFFFFF"/>
                <w:sz w:val="22"/>
                <w:szCs w:val="22"/>
              </w:rPr>
              <w:t xml:space="preserve">Objetivo de la Práctica</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Objetivo General:</w:t>
      </w:r>
    </w:p>
    <w:p>
      <w:pPr>
        <w:spacing w:after="80" w:before="0" w:line="276" w:lineRule="auto"/>
        <w:jc w:val="both"/>
      </w:pPr>
      <w:r>
        <w:rPr>
          <w:rFonts w:ascii="Arial" w:cs="Arial" w:eastAsia="Arial" w:hAnsi="Arial"/>
          <w:b w:val="false"/>
          <w:bCs w:val="false"/>
          <w:i w:val="false"/>
          <w:iCs w:val="false"/>
          <w:color w:val="000000"/>
          <w:sz w:val="20"/>
          <w:szCs w:val="20"/>
        </w:rPr>
        <w:t xml:space="preserve">Implementar una arquitectura de microservicios funcional con tres microservicios independientes, API Gateway y autenticación JWT, contenerizados con Docker Compose, constituyendo la Entrega 2 del PFC.</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Objetivos Específicos: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Diseñar la arquitectura de microservicios del PFC con diagramas C4 nivel 2 y nivel 3.</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Implementar tres microservicios REST independientes (auth-service, resource-service, notification-service).</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Configurar un API Gateway con Nginx que enruta peticiones a cada microservicio.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Implementar autenticación JWT y contenerizar el sistema con Dockerfile multi-stage y docker-compose.yml.</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565C0" w:sz="2"/>
              <w:left w:val="single" w:color="1565C0" w:sz="2"/>
              <w:bottom w:val="single" w:color="1565C0" w:sz="2"/>
              <w:right w:val="single" w:color="1565C0" w:sz="2"/>
            </w:tcBorders>
            <w:shd w:fill="1565C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4. </w:t>
            </w:r>
            <w:r>
              <w:rPr>
                <w:rFonts w:ascii="Arial" w:cs="Arial" w:eastAsia="Arial" w:hAnsi="Arial"/>
                <w:b/>
                <w:bCs/>
                <w:i w:val="false"/>
                <w:iCs w:val="false"/>
                <w:color w:val="FFFFFF"/>
                <w:sz w:val="22"/>
                <w:szCs w:val="22"/>
              </w:rPr>
              <w:t xml:space="preserve">Fundamento Teórico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8"/>
                <w:szCs w:val="18"/>
              </w:rPr>
              <w:t xml:space="preserve">Instrucción Obligatoria para el Estudiante</w:t>
            </w:r>
          </w:p>
        </w:tc>
      </w:tr>
      <w:tr>
        <w:tc>
          <w:tcPr>
            <w:tcW w:type="dxa" w:w="9072"/>
            <w:tcBorders>
              <w:top w:val="single" w:color="E65100" w:sz="4"/>
              <w:left w:val="single" w:color="E65100" w:sz="4"/>
              <w:bottom w:val="single" w:color="E65100" w:sz="4"/>
              <w:right w:val="single" w:color="E65100" w:sz="4"/>
            </w:tcBorders>
            <w:shd w:fill="FFF3E0"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Desarrollar en LaTeX el fundamento teórico COMPLETO de la Unidad 3. Cada subtema: mínimo 300 palabras, al menos 2 referencias IEEE verificadas con DOI, diagrama propio, y código de ejemplo en lstlisting.</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4.1 Evolución Arquitectónica: Monolito → SOA → Microservicios</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evolución histórica y técnica, comparación cuantitativa entre arquitecturas (tiempos de despliegue, escalabilidad, aislamiento de fallos), principios SOA, y los 9 principios de microservicios. Incluir tabla comparativa en booktabs.</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[1]  </w:t>
      </w:r>
      <w:r>
        <w:rPr>
          <w:rFonts w:ascii="Arial" w:cs="Arial" w:eastAsia="Arial" w:hAnsi="Arial"/>
          <w:b w:val="false"/>
          <w:bCs w:val="false"/>
          <w:i w:val="false"/>
          <w:iCs w:val="false"/>
          <w:color w:val="000000"/>
          <w:sz w:val="19"/>
          <w:szCs w:val="19"/>
        </w:rPr>
        <w:t xml:space="preserve">S. Newman, Building Microservices: Designing Fine-Grained Systems, 2nd ed. Sebastopol, CA, USA: O'Reilly Media, 2021. ISBN: 978-1-4920-3402-5.</w:t>
      </w:r>
    </w:p>
    <w:p>
      <w:pPr>
        <w:spacing w:after="60" w:before="0" w:line="276" w:lineRule="auto"/>
        <w:ind w:left="360" w:hanging="360"/>
        <w:jc w:val="both"/>
      </w:pPr>
      <w:r>
        <w:rPr>
          <w:rFonts w:ascii="Arial" w:cs="Arial" w:eastAsia="Arial" w:hAnsi="Arial"/>
          <w:b/>
          <w:bCs/>
          <w:i w:val="false"/>
          <w:iCs w:val="false"/>
          <w:color w:val="000000"/>
          <w:sz w:val="19"/>
          <w:szCs w:val="19"/>
        </w:rPr>
        <w:t xml:space="preserve">[2]  </w:t>
      </w:r>
      <w:r>
        <w:rPr>
          <w:rFonts w:ascii="Arial" w:cs="Arial" w:eastAsia="Arial" w:hAnsi="Arial"/>
          <w:b w:val="false"/>
          <w:bCs w:val="false"/>
          <w:i w:val="false"/>
          <w:iCs w:val="false"/>
          <w:color w:val="000000"/>
          <w:sz w:val="19"/>
          <w:szCs w:val="19"/>
        </w:rPr>
        <w:t xml:space="preserve">G. Blinowski, A. Ojdowska, and A. Przybylek, 'Monolithic vs. microservice architecture: A performance and scalability evaluation,' IEEE Access, vol. 10, pp. 20357-20374, 2022. doi: 10.1109/ACCESS.2022.3152803.</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4.2 Patrones de Arquitectura Distribuida: EDA, CQRS y API Gateway</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arquitectura orientada a eventos (EDA) con Kafka y RabbitMQ, patrón CQRS, patrón Saga, y patrón API Gateway. Para cada patrón: definición, cuándo usarlo, ventajas/desventajas y ejemplo.</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[3]  </w:t>
      </w:r>
      <w:r>
        <w:rPr>
          <w:rFonts w:ascii="Arial" w:cs="Arial" w:eastAsia="Arial" w:hAnsi="Arial"/>
          <w:b w:val="false"/>
          <w:bCs w:val="false"/>
          <w:i w:val="false"/>
          <w:iCs w:val="false"/>
          <w:color w:val="000000"/>
          <w:sz w:val="19"/>
          <w:szCs w:val="19"/>
        </w:rPr>
        <w:t xml:space="preserve">U. Joshi, Patterns of Distributed Systems. Boston, MA, USA: Addison-Wesley Professional, 2023. ISBN: 978-0-13-822198-0.</w:t>
      </w:r>
    </w:p>
    <w:p>
      <w:pPr>
        <w:spacing w:after="60" w:before="0" w:line="276" w:lineRule="auto"/>
        <w:ind w:left="360" w:hanging="360"/>
        <w:jc w:val="both"/>
      </w:pPr>
      <w:r>
        <w:rPr>
          <w:rFonts w:ascii="Arial" w:cs="Arial" w:eastAsia="Arial" w:hAnsi="Arial"/>
          <w:b/>
          <w:bCs/>
          <w:i w:val="false"/>
          <w:iCs w:val="false"/>
          <w:color w:val="000000"/>
          <w:sz w:val="19"/>
          <w:szCs w:val="19"/>
        </w:rPr>
        <w:t xml:space="preserve">[4]  </w:t>
      </w:r>
      <w:r>
        <w:rPr>
          <w:rFonts w:ascii="Arial" w:cs="Arial" w:eastAsia="Arial" w:hAnsi="Arial"/>
          <w:b w:val="false"/>
          <w:bCs w:val="false"/>
          <w:i w:val="false"/>
          <w:iCs w:val="false"/>
          <w:color w:val="000000"/>
          <w:sz w:val="19"/>
          <w:szCs w:val="19"/>
        </w:rPr>
        <w:t xml:space="preserve">I. Karabey Aksakalli et al., 'Deployment and communication patterns in microservice architectures,' J. Syst. Softw., vol. 180, p. 111014, Oct. 2021. doi: 10.1016/j.jss.2021.111014.</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4.3 APIs RESTful: Diseño, Documentación y Seguridad con JWT</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seis principios REST de Fielding, diseño de recursos y URIs, verbos HTTP (seguridad e idempotencia), códigos de estado, documentación OpenAPI 3.0, autenticación JWT (estructura del token, flujo completo), comparación REST vs. gRPC vs. GraphQL.</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[5]  </w:t>
      </w:r>
      <w:r>
        <w:rPr>
          <w:rFonts w:ascii="Arial" w:cs="Arial" w:eastAsia="Arial" w:hAnsi="Arial"/>
          <w:b w:val="false"/>
          <w:bCs w:val="false"/>
          <w:i w:val="false"/>
          <w:iCs w:val="false"/>
          <w:color w:val="000000"/>
          <w:sz w:val="19"/>
          <w:szCs w:val="19"/>
        </w:rPr>
        <w:t xml:space="preserve">R. T. Fielding, 'Architectural styles and the design of network-based software architectures,' Ph.D. dissertation, Univ. California, Irvine, CA, USA, 2000.</w:t>
      </w:r>
    </w:p>
    <w:p>
      <w:pPr>
        <w:spacing w:after="60" w:before="0" w:line="276" w:lineRule="auto"/>
        <w:ind w:left="360" w:hanging="360"/>
        <w:jc w:val="both"/>
      </w:pPr>
      <w:r>
        <w:rPr>
          <w:rFonts w:ascii="Arial" w:cs="Arial" w:eastAsia="Arial" w:hAnsi="Arial"/>
          <w:b/>
          <w:bCs/>
          <w:i w:val="false"/>
          <w:iCs w:val="false"/>
          <w:color w:val="000000"/>
          <w:sz w:val="19"/>
          <w:szCs w:val="19"/>
        </w:rPr>
        <w:t xml:space="preserve">[6]  </w:t>
      </w:r>
      <w:r>
        <w:rPr>
          <w:rFonts w:ascii="Arial" w:cs="Arial" w:eastAsia="Arial" w:hAnsi="Arial"/>
          <w:b w:val="false"/>
          <w:bCs w:val="false"/>
          <w:i w:val="false"/>
          <w:iCs w:val="false"/>
          <w:color w:val="000000"/>
          <w:sz w:val="19"/>
          <w:szCs w:val="19"/>
        </w:rPr>
        <w:t xml:space="preserve">M. Jones, J. Bradley, and N. Sakimura, 'JSON Web Token (JWT),' Internet Engineering Task Force, RFC 7519, May 2015. doi: 10.17487/RFC7519.</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4.4 Contenerización con Docker y Orquestación con Kubernetes</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diferencias VM vs. contenedores, arquitectura Docker (daemon, imagen, contenedor, registro), Dockerfile y sus instrucciones, Docker Compose multi-contenedor, introducción a Kubernetes (pods, deployments, services, ingress), patrones blue-green y canary.</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[7]  </w:t>
      </w:r>
      <w:r>
        <w:rPr>
          <w:rFonts w:ascii="Arial" w:cs="Arial" w:eastAsia="Arial" w:hAnsi="Arial"/>
          <w:b w:val="false"/>
          <w:bCs w:val="false"/>
          <w:i w:val="false"/>
          <w:iCs w:val="false"/>
          <w:color w:val="000000"/>
          <w:sz w:val="19"/>
          <w:szCs w:val="19"/>
        </w:rPr>
        <w:t xml:space="preserve">B. Burns, Designing Distributed Systems, 2nd ed. Sebastopol, CA, USA: O'Reilly Media, 2025. ISBN: 978-1-09-815635-0.</w:t>
      </w:r>
    </w:p>
    <w:p>
      <w:pPr>
        <w:spacing w:after="60" w:before="0" w:line="276" w:lineRule="auto"/>
        <w:ind w:left="360" w:hanging="360"/>
        <w:jc w:val="both"/>
      </w:pPr>
      <w:r>
        <w:rPr>
          <w:rFonts w:ascii="Arial" w:cs="Arial" w:eastAsia="Arial" w:hAnsi="Arial"/>
          <w:b/>
          <w:bCs/>
          <w:i w:val="false"/>
          <w:iCs w:val="false"/>
          <w:color w:val="000000"/>
          <w:sz w:val="19"/>
          <w:szCs w:val="19"/>
        </w:rPr>
        <w:t xml:space="preserve">[8]  </w:t>
      </w:r>
      <w:r>
        <w:rPr>
          <w:rFonts w:ascii="Arial" w:cs="Arial" w:eastAsia="Arial" w:hAnsi="Arial"/>
          <w:b w:val="false"/>
          <w:bCs w:val="false"/>
          <w:i w:val="false"/>
          <w:iCs w:val="false"/>
          <w:color w:val="000000"/>
          <w:sz w:val="19"/>
          <w:szCs w:val="19"/>
        </w:rPr>
        <w:t xml:space="preserve">C. Richardson, Microservices Patterns: With Examples in Java. Shelter Island, NY, USA: Manning Publications, 2018. ISBN: 978-1-617-29454-1.</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565C0" w:sz="2"/>
              <w:left w:val="single" w:color="1565C0" w:sz="2"/>
              <w:bottom w:val="single" w:color="1565C0" w:sz="2"/>
              <w:right w:val="single" w:color="1565C0" w:sz="2"/>
            </w:tcBorders>
            <w:shd w:fill="1565C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5. </w:t>
            </w:r>
            <w:r>
              <w:rPr>
                <w:rFonts w:ascii="Arial" w:cs="Arial" w:eastAsia="Arial" w:hAnsi="Arial"/>
                <w:b/>
                <w:bCs/>
                <w:i w:val="false"/>
                <w:iCs w:val="false"/>
                <w:color w:val="FFFFFF"/>
                <w:sz w:val="22"/>
                <w:szCs w:val="22"/>
              </w:rPr>
              <w:t xml:space="preserve">Procedimiento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1</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Diseño de la Arquitectura</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Definir los tres microservicios: auth-service (autenticación/JWT), resource-service (recurso principal del PFC), notification-service (notificaciones/reportes).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Elaborar diagrama C4 nivel 2 en draw.io o Structurizr. Incluir: microservicios, bases de datos propias, API Gateway y cliente.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Definir contrato OpenAPI 3.0 de cada microservicio en Swagger Editor. Exportar como YAML en /docs/api/.</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2</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Implementación de los Microservicios</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auth-service: POST /auth/login (valida credenciales → retorna JWT con exp. 1h), GET /auth/validate (verifica token).</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resource-service: CRUD completo del recurso del PFC. Cada endpoint verifica JWT en header Authorization: Bearer &lt;token&gt;.</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notification-service: POST /notifications (registra evento cuando se crea/modifica un recurso).</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Cada microservicio tiene su propia base de datos (SQLite o PostgreSQL en Docker).</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Todos los endpoints responden JSON: {status, data, message, timestamp}.</w:t>
            </w:r>
          </w:p>
          <w:p>
            <w:pPr>
              <w:spacing w:after="80" w:before="60" w:line="276" w:lineRule="auto"/>
              <w:jc w:val="both"/>
            </w:pPr>
            <w:r>
              <w:rPr>
                <w:rFonts w:ascii="Arial" w:cs="Arial" w:eastAsia="Arial" w:hAnsi="Arial"/>
                <w:b/>
                <w:bCs/>
                <w:i w:val="false"/>
                <w:iCs w:val="false"/>
                <w:color w:val="E65100"/>
                <w:sz w:val="18"/>
                <w:szCs w:val="18"/>
              </w:rPr>
              <w:t xml:space="preserve">⚠ Nota: </w:t>
            </w:r>
            <w:r>
              <w:rPr>
                <w:rFonts w:ascii="Arial" w:cs="Arial" w:eastAsia="Arial" w:hAnsi="Arial"/>
                <w:b w:val="false"/>
                <w:bCs w:val="false"/>
                <w:i/>
                <w:iCs/>
                <w:color w:val="E65100"/>
                <w:sz w:val="18"/>
                <w:szCs w:val="18"/>
              </w:rPr>
              <w:t xml:space="preserve">Tecnología libre: FastAPI (Python), Spring Boot (Java) o Express (Node.js).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3</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Configuración del API Gateway (Nginx)</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Nginx escucha en puerto 8080. Rutas: /api/auth/* → auth-service:8001, /api/resources/* → resource-service:8002, /api/notifications/* → notification-service:8003.</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Configurar rate limiting: máximo 100 peticiones/minuto por IP.</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Logging de todas las peticiones: timestamp, método, ruta, IP, código de respuesta.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4</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Contenerización con Docker Compose</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Dockerfile multi-stage para cada microservicio (etapa builder + runtime).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docker-compose.yml: tres microservicios + bases de datos + Nginx + red interna (bridge).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Verificar: `docker-compose up --build` levanta el sistema sin errores.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Ejecutar pruebas con Postman: mínimo 3 flujos end-to-end documentados con capturas.</w:t>
            </w:r>
          </w:p>
          <w:p>
            <w:pPr>
              <w:spacing w:after="80" w:before="60" w:line="276" w:lineRule="auto"/>
              <w:jc w:val="both"/>
            </w:pPr>
            <w:r>
              <w:rPr>
                <w:rFonts w:ascii="Arial" w:cs="Arial" w:eastAsia="Arial" w:hAnsi="Arial"/>
                <w:b/>
                <w:bCs/>
                <w:i w:val="false"/>
                <w:iCs w:val="false"/>
                <w:color w:val="E65100"/>
                <w:sz w:val="18"/>
                <w:szCs w:val="18"/>
              </w:rPr>
              <w:t xml:space="preserve">⚠ Nota: </w:t>
            </w:r>
            <w:r>
              <w:rPr>
                <w:rFonts w:ascii="Arial" w:cs="Arial" w:eastAsia="Arial" w:hAnsi="Arial"/>
                <w:b w:val="false"/>
                <w:bCs w:val="false"/>
                <w:i/>
                <w:iCs/>
                <w:color w:val="E65100"/>
                <w:sz w:val="18"/>
                <w:szCs w:val="18"/>
              </w:rPr>
              <w:t xml:space="preserve">Incluir .env.example con todas las variables de entorno (sin valores reales en el repositorio).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5</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Documento LaTeX (PFC Entrega 2)</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Incluir: fundamento teórico U3 completo, arquitectura C4 como figura, contratos OpenAPI en lstlisting YAML, Dockerfiles comentados en lstlisting, tabla booktabs de resultados de pruebas (endpoint|método|código esperado|obtenido|latencia ms).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Mínimo 12 páginas de contenido. Compilar sin errores.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565C0" w:sz="2"/>
              <w:left w:val="single" w:color="1565C0" w:sz="2"/>
              <w:bottom w:val="single" w:color="1565C0" w:sz="2"/>
              <w:right w:val="single" w:color="1565C0" w:sz="2"/>
            </w:tcBorders>
            <w:shd w:fill="1565C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6. </w:t>
            </w:r>
            <w:r>
              <w:rPr>
                <w:rFonts w:ascii="Arial" w:cs="Arial" w:eastAsia="Arial" w:hAnsi="Arial"/>
                <w:b/>
                <w:bCs/>
                <w:i w:val="false"/>
                <w:iCs w:val="false"/>
                <w:color w:val="FFFFFF"/>
                <w:sz w:val="22"/>
                <w:szCs w:val="22"/>
              </w:rPr>
              <w:t xml:space="preserve">Materiales, Equipos, Insumos y Reactivos</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6.1 Equipos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Computadora por integrante: i5/Ryzen 5 o superior, 16 GB RAM recomendado (mínimo 8 GB), 30 GB espacio libre.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Conexión a Internet para imágenes Docker y documentación oficial.</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6.2 Software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Docker Desktop 4.x o Docker Engine + Docker Compose Plugin</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Python 3.11+ con FastAPI, uvicorn, python-jose, sqlalchemy — O — JDK 21 + Spring Boot 3.x — O — Node.js 20 LTS + Express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Nginx 1.24 (imagen Docker: nginx:alpine)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Postman 10.x + Swagger Editor (editor.swagger.io)</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Git 2.x + GitHub</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TeX Live 2023+ o Overleaf</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565C0" w:sz="2"/>
              <w:left w:val="single" w:color="1565C0" w:sz="2"/>
              <w:bottom w:val="single" w:color="1565C0" w:sz="2"/>
              <w:right w:val="single" w:color="1565C0" w:sz="2"/>
            </w:tcBorders>
            <w:shd w:fill="1565C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7. </w:t>
            </w:r>
            <w:r>
              <w:rPr>
                <w:rFonts w:ascii="Arial" w:cs="Arial" w:eastAsia="Arial" w:hAnsi="Arial"/>
                <w:b/>
                <w:bCs/>
                <w:i w:val="false"/>
                <w:iCs w:val="false"/>
                <w:color w:val="FFFFFF"/>
                <w:sz w:val="22"/>
                <w:szCs w:val="22"/>
              </w:rPr>
              <w:t xml:space="preserve">Bibliografía de la Guía (Norma IEEE)</w:t>
            </w:r>
          </w:p>
        </w:tc>
      </w:tr>
    </w:tbl>
    <w:p>
      <w:pPr>
        <w:spacing w:after="60"/>
      </w:pPr>
      <w:r>
        <w:rPr>
          <w:rFonts w:ascii="Arial" w:cs="Arial" w:eastAsia="Arial" w:hAnsi="Arial"/>
          <w:sz w:val="20"/>
          <w:szCs w:val="20"/>
        </w:rPr>
        <w:t xml:space="preserve"/>
      </w:r>
    </w:p>
    <w:p>
      <w:pPr>
        <w:spacing w:after="60" w:before="0" w:line="276" w:lineRule="auto"/>
        <w:ind w:left="360" w:hanging="360"/>
        <w:jc w:val="both"/>
      </w:pPr>
      <w:r>
        <w:rPr>
          <w:rFonts w:ascii="Arial" w:cs="Arial" w:eastAsia="Arial" w:hAnsi="Arial"/>
          <w:b/>
          <w:bCs/>
          <w:i w:val="false"/>
          <w:iCs w:val="false"/>
          <w:color w:val="000000"/>
          <w:sz w:val="19"/>
          <w:szCs w:val="19"/>
        </w:rPr>
        <w:t xml:space="preserve">[1]  </w:t>
      </w:r>
      <w:r>
        <w:rPr>
          <w:rFonts w:ascii="Arial" w:cs="Arial" w:eastAsia="Arial" w:hAnsi="Arial"/>
          <w:b w:val="false"/>
          <w:bCs w:val="false"/>
          <w:i w:val="false"/>
          <w:iCs w:val="false"/>
          <w:color w:val="000000"/>
          <w:sz w:val="19"/>
          <w:szCs w:val="19"/>
        </w:rPr>
        <w:t xml:space="preserve">S. Newman, Building Microservices, 2nd ed. Sebastopol, CA, USA: O'Reilly Media, 2021. ISBN: 978-1-4920-3402-5.</w:t>
      </w:r>
    </w:p>
    <w:p>
      <w:pPr>
        <w:spacing w:after="60" w:before="0" w:line="276" w:lineRule="auto"/>
        <w:ind w:left="360" w:hanging="360"/>
        <w:jc w:val="both"/>
      </w:pPr>
      <w:r>
        <w:rPr>
          <w:rFonts w:ascii="Arial" w:cs="Arial" w:eastAsia="Arial" w:hAnsi="Arial"/>
          <w:b/>
          <w:bCs/>
          <w:i w:val="false"/>
          <w:iCs w:val="false"/>
          <w:color w:val="000000"/>
          <w:sz w:val="19"/>
          <w:szCs w:val="19"/>
        </w:rPr>
        <w:t xml:space="preserve">[2]  </w:t>
      </w:r>
      <w:r>
        <w:rPr>
          <w:rFonts w:ascii="Arial" w:cs="Arial" w:eastAsia="Arial" w:hAnsi="Arial"/>
          <w:b w:val="false"/>
          <w:bCs w:val="false"/>
          <w:i w:val="false"/>
          <w:iCs w:val="false"/>
          <w:color w:val="000000"/>
          <w:sz w:val="19"/>
          <w:szCs w:val="19"/>
        </w:rPr>
        <w:t xml:space="preserve">U. Joshi, Patterns of Distributed Systems. Boston, MA, USA: Addison-Wesley Professional, 2023. ISBN: 978-0-13-822198-0.</w:t>
      </w:r>
    </w:p>
    <w:p>
      <w:pPr>
        <w:spacing w:after="60" w:before="0" w:line="276" w:lineRule="auto"/>
        <w:ind w:left="360" w:hanging="360"/>
        <w:jc w:val="both"/>
      </w:pPr>
      <w:r>
        <w:rPr>
          <w:rFonts w:ascii="Arial" w:cs="Arial" w:eastAsia="Arial" w:hAnsi="Arial"/>
          <w:b/>
          <w:bCs/>
          <w:i w:val="false"/>
          <w:iCs w:val="false"/>
          <w:color w:val="000000"/>
          <w:sz w:val="19"/>
          <w:szCs w:val="19"/>
        </w:rPr>
        <w:t xml:space="preserve">[3]  </w:t>
      </w:r>
      <w:r>
        <w:rPr>
          <w:rFonts w:ascii="Arial" w:cs="Arial" w:eastAsia="Arial" w:hAnsi="Arial"/>
          <w:b w:val="false"/>
          <w:bCs w:val="false"/>
          <w:i w:val="false"/>
          <w:iCs w:val="false"/>
          <w:color w:val="000000"/>
          <w:sz w:val="19"/>
          <w:szCs w:val="19"/>
        </w:rPr>
        <w:t xml:space="preserve">G. Blinowski, A. Ojdowska, and A. Przybylek, 'Monolithic vs. microservice architecture,' IEEE Access, vol. 10, pp. 20357-20374, 2022. doi: 10.1109/ACCESS.2022.3152803.</w:t>
      </w:r>
    </w:p>
    <w:p>
      <w:pPr>
        <w:spacing w:after="60" w:before="0" w:line="276" w:lineRule="auto"/>
        <w:ind w:left="360" w:hanging="360"/>
        <w:jc w:val="both"/>
      </w:pPr>
      <w:r>
        <w:rPr>
          <w:rFonts w:ascii="Arial" w:cs="Arial" w:eastAsia="Arial" w:hAnsi="Arial"/>
          <w:b/>
          <w:bCs/>
          <w:i w:val="false"/>
          <w:iCs w:val="false"/>
          <w:color w:val="000000"/>
          <w:sz w:val="19"/>
          <w:szCs w:val="19"/>
        </w:rPr>
        <w:t xml:space="preserve">[4]  </w:t>
      </w:r>
      <w:r>
        <w:rPr>
          <w:rFonts w:ascii="Arial" w:cs="Arial" w:eastAsia="Arial" w:hAnsi="Arial"/>
          <w:b w:val="false"/>
          <w:bCs w:val="false"/>
          <w:i w:val="false"/>
          <w:iCs w:val="false"/>
          <w:color w:val="000000"/>
          <w:sz w:val="19"/>
          <w:szCs w:val="19"/>
        </w:rPr>
        <w:t xml:space="preserve">I. Karabey Aksakalli et al., 'Deployment and communication patterns in microservice architectures,' J. Syst. Softw., vol. 180, p. 111014, Oct. 2021. doi: 10.1016/j.jss.2021.111014.</w:t>
      </w:r>
    </w:p>
    <w:p>
      <w:pPr>
        <w:spacing w:after="60" w:before="0" w:line="276" w:lineRule="auto"/>
        <w:ind w:left="360" w:hanging="360"/>
        <w:jc w:val="both"/>
      </w:pPr>
      <w:r>
        <w:rPr>
          <w:rFonts w:ascii="Arial" w:cs="Arial" w:eastAsia="Arial" w:hAnsi="Arial"/>
          <w:b/>
          <w:bCs/>
          <w:i w:val="false"/>
          <w:iCs w:val="false"/>
          <w:color w:val="000000"/>
          <w:sz w:val="19"/>
          <w:szCs w:val="19"/>
        </w:rPr>
        <w:t xml:space="preserve">[5]  </w:t>
      </w:r>
      <w:r>
        <w:rPr>
          <w:rFonts w:ascii="Arial" w:cs="Arial" w:eastAsia="Arial" w:hAnsi="Arial"/>
          <w:b w:val="false"/>
          <w:bCs w:val="false"/>
          <w:i w:val="false"/>
          <w:iCs w:val="false"/>
          <w:color w:val="000000"/>
          <w:sz w:val="19"/>
          <w:szCs w:val="19"/>
        </w:rPr>
        <w:t xml:space="preserve">B. Burns, Designing Distributed Systems, 2nd ed. Sebastopol, CA, USA: O'Reilly Media, 2025.</w:t>
      </w:r>
    </w:p>
    <w:p>
      <w:pPr>
        <w:spacing w:after="60" w:before="0" w:line="276" w:lineRule="auto"/>
        <w:ind w:left="360" w:hanging="360"/>
        <w:jc w:val="both"/>
      </w:pPr>
      <w:r>
        <w:rPr>
          <w:rFonts w:ascii="Arial" w:cs="Arial" w:eastAsia="Arial" w:hAnsi="Arial"/>
          <w:b/>
          <w:bCs/>
          <w:i w:val="false"/>
          <w:iCs w:val="false"/>
          <w:color w:val="000000"/>
          <w:sz w:val="19"/>
          <w:szCs w:val="19"/>
        </w:rPr>
        <w:t xml:space="preserve">[6]  </w:t>
      </w:r>
      <w:r>
        <w:rPr>
          <w:rFonts w:ascii="Arial" w:cs="Arial" w:eastAsia="Arial" w:hAnsi="Arial"/>
          <w:b w:val="false"/>
          <w:bCs w:val="false"/>
          <w:i w:val="false"/>
          <w:iCs w:val="false"/>
          <w:color w:val="000000"/>
          <w:sz w:val="19"/>
          <w:szCs w:val="19"/>
        </w:rPr>
        <w:t xml:space="preserve">R. T. Fielding, 'Architectural styles and the design of network-based software architectures,' Ph.D. dissertation, Univ. California, Irvine, CA, USA, 2000.</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565C0" w:sz="2"/>
              <w:left w:val="single" w:color="1565C0" w:sz="2"/>
              <w:bottom w:val="single" w:color="1565C0" w:sz="2"/>
              <w:right w:val="single" w:color="1565C0" w:sz="2"/>
            </w:tcBorders>
            <w:shd w:fill="1565C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8. </w:t>
            </w:r>
            <w:r>
              <w:rPr>
                <w:rFonts w:ascii="Arial" w:cs="Arial" w:eastAsia="Arial" w:hAnsi="Arial"/>
                <w:b/>
                <w:bCs/>
                <w:i w:val="false"/>
                <w:iCs w:val="false"/>
                <w:color w:val="FFFFFF"/>
                <w:sz w:val="22"/>
                <w:szCs w:val="22"/>
              </w:rPr>
              <w:t xml:space="preserve">Anexos</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Anexo A — Flujos de prueba obligatorios con Postman</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Flujo 1: POST /api/auth/register → POST /api/auth/login → verificar JWT retornado.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Flujo 2: GET /api/resources sin token (→ 401) → con token (→ 200) → POST → PUT → DELETE.</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Flujo 3: Crear recurso → verificar notificación en notification-service.</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Anexo B — Preguntas de análisis obligatorias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¿Por qué cada microservicio debe tener su propia base de datos? ¿Qué problema resuelve el patrón Database per Service?</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¿Qué ocurre si resource-service cae? Propone la implementación del patrón Circuit Breaker para este caso.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Compara el rendimiento con y sin API Gateway. ¿Introduce el API Gateway un cuello de botella? ¿Cómo lo minimizarías?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¿Cómo escalarías resource-service a 3 réplicas con Docker Compose? ¿Qué cambiarías en Nginx?</w:t>
      </w:r>
    </w:p>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7440"/>
      </w:tblGrid>
      <w:tr>
        <w:tc>
          <w:tcPr>
            <w:tcW w:type="dxa" w:w="1632"/>
            <w:tcBorders>
              <w:top w:val="single" w:color="4A148C" w:sz="2"/>
              <w:left w:val="single" w:color="4A148C" w:sz="2"/>
              <w:bottom w:val="single" w:color="4A148C" w:sz="2"/>
              <w:right w:val="single" w:color="4A148C" w:sz="2"/>
            </w:tcBorders>
            <w:shd w:fill="4A148C"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34"/>
                <w:szCs w:val="34"/>
              </w:rPr>
              <w:t xml:space="preserve">UTEQ</w:t>
            </w:r>
          </w:p>
        </w:tc>
        <w:tc>
          <w:tcPr>
            <w:tcW w:type="dxa" w:w="7440"/>
            <w:tcBorders>
              <w:top w:val="single" w:color="4A148C" w:sz="2"/>
              <w:left w:val="single" w:color="4A148C" w:sz="2"/>
              <w:bottom w:val="single" w:color="4A148C" w:sz="2"/>
              <w:right w:val="single" w:color="4A148C" w:sz="2"/>
            </w:tcBorders>
            <w:shd w:fill="4A148C" w:val="clear"/>
            <w:tcMar>
              <w:top w:type="dxa" w:w="100"/>
              <w:left w:type="dxa" w:w="140"/>
              <w:bottom w:type="dxa" w:w="100"/>
              <w:right w:type="dxa" w:w="140"/>
            </w:tcMar>
            <w:vAlign w:val="top"/>
          </w:tcPr>
          <w:p>
            <w:pPr>
              <w:spacing w:after="40" w:before="0" w:line="276" w:lineRule="auto"/>
              <w:jc w:val="both"/>
            </w:pPr>
            <w:r>
              <w:rPr>
                <w:rFonts w:ascii="Arial" w:cs="Arial" w:eastAsia="Arial" w:hAnsi="Arial"/>
                <w:b/>
                <w:bCs/>
                <w:i w:val="false"/>
                <w:iCs w:val="false"/>
                <w:color w:val="FFFFFF"/>
                <w:sz w:val="22"/>
                <w:szCs w:val="22"/>
              </w:rPr>
              <w:t xml:space="preserve">Universidad Técnica Estatal de Quevedo</w:t>
            </w:r>
          </w:p>
          <w:p>
            <w:pPr>
              <w:spacing w:after="20" w:before="0" w:line="276" w:lineRule="auto"/>
              <w:jc w:val="both"/>
            </w:pPr>
            <w:r>
              <w:rPr>
                <w:rFonts w:ascii="Arial" w:cs="Arial" w:eastAsia="Arial" w:hAnsi="Arial"/>
                <w:b w:val="false"/>
                <w:bCs w:val="false"/>
                <w:i w:val="false"/>
                <w:iCs w:val="false"/>
                <w:color w:val="FFFFFF"/>
                <w:sz w:val="19"/>
                <w:szCs w:val="19"/>
              </w:rPr>
              <w:t xml:space="preserve">Facultad de Ciencias de la Computación y Diseño Digital</w:t>
            </w:r>
          </w:p>
          <w:p>
            <w:pPr>
              <w:spacing w:after="80" w:before="0" w:line="276" w:lineRule="auto"/>
              <w:jc w:val="both"/>
            </w:pPr>
            <w:r>
              <w:rPr>
                <w:rFonts w:ascii="Arial" w:cs="Arial" w:eastAsia="Arial" w:hAnsi="Arial"/>
                <w:b w:val="false"/>
                <w:bCs w:val="false"/>
                <w:i w:val="false"/>
                <w:iCs w:val="false"/>
                <w:color w:val="FFFFFF"/>
                <w:sz w:val="19"/>
                <w:szCs w:val="19"/>
              </w:rPr>
              <w:t xml:space="preserve">Carrera de Ingeniería de Software</w:t>
            </w:r>
          </w:p>
        </w:tc>
      </w:tr>
    </w:tbl>
    <w:p>
      <w:pPr>
        <w:spacing w:after="60"/>
      </w:pPr>
      <w:r>
        <w:rPr>
          <w:rFonts w:ascii="Arial" w:cs="Arial" w:eastAsia="Arial" w:hAnsi="Arial"/>
          <w:sz w:val="20"/>
          <w:szCs w:val="20"/>
        </w:rPr>
        <w:t xml:space="preserve"/>
      </w:r>
    </w:p>
    <w:p>
      <w:pPr>
        <w:spacing w:after="60" w:before="0" w:line="276" w:lineRule="auto"/>
        <w:jc w:val="center"/>
      </w:pPr>
      <w:r>
        <w:rPr>
          <w:rFonts w:ascii="Arial" w:cs="Arial" w:eastAsia="Arial" w:hAnsi="Arial"/>
          <w:b/>
          <w:bCs/>
          <w:i w:val="false"/>
          <w:iCs w:val="false"/>
          <w:color w:val="4A148C"/>
          <w:sz w:val="28"/>
          <w:szCs w:val="28"/>
        </w:rPr>
        <w:t xml:space="preserve">GUÍA DE PRÁCTICA EXPERIMENTAL N° 3</w:t>
      </w:r>
    </w:p>
    <w:p>
      <w:pPr>
        <w:spacing w:after="40" w:before="0" w:line="276" w:lineRule="auto"/>
        <w:jc w:val="center"/>
      </w:pPr>
      <w:r>
        <w:rPr>
          <w:rFonts w:ascii="Arial" w:cs="Arial" w:eastAsia="Arial" w:hAnsi="Arial"/>
          <w:b/>
          <w:bCs/>
          <w:i w:val="false"/>
          <w:iCs w:val="false"/>
          <w:color w:val="000000"/>
          <w:sz w:val="22"/>
          <w:szCs w:val="22"/>
        </w:rPr>
        <w:t xml:space="preserve">Implementación y Verificación de un Clúster de Base de Datos Distribuida con CockroachDB</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9072"/>
            <w:gridSpan w:val="2"/>
            <w:tcBorders>
              <w:top w:val="single" w:color="4A148C" w:sz="2"/>
              <w:left w:val="single" w:color="4A148C" w:sz="2"/>
              <w:bottom w:val="single" w:color="4A148C" w:sz="2"/>
              <w:right w:val="single" w:color="4A148C" w:sz="2"/>
            </w:tcBorders>
            <w:shd w:fill="4A148C"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7"/>
                <w:szCs w:val="17"/>
              </w:rPr>
              <w:t xml:space="preserve">Datos generales de la práctica</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Asignatura: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Aplicaciones Distribuidas</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Unidad: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2: Bases de Datos Distribuidas</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Tipo de actividad: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Resolución de problemas prácticos</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Semana de entrega: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11</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Período académico:</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Regular 2025-2026 SPA</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Código actividad: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GA-SUM-03</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Docente:</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del docente]</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Fecha de entrega: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[Fecha según cronograma]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9072"/>
            <w:gridSpan w:val="2"/>
            <w:tcBorders>
              <w:top w:val="single" w:color="4A148C" w:sz="2"/>
              <w:left w:val="single" w:color="4A148C" w:sz="2"/>
              <w:bottom w:val="single" w:color="4A148C" w:sz="2"/>
              <w:right w:val="single" w:color="4A148C" w:sz="2"/>
            </w:tcBorders>
            <w:shd w:fill="4A148C"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7"/>
                <w:szCs w:val="17"/>
              </w:rPr>
              <w:t xml:space="preserve">Datos del Equipo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1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Arquitecto]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2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Desarrollador]</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3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Resp. Calidad]</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4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Documentalista]</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URL Repositorio GitHub:</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[https://github.com/equipo/proyecto]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Calificación (docente):</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___ / 100</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A148C" w:sz="2"/>
              <w:left w:val="single" w:color="4A148C" w:sz="2"/>
              <w:bottom w:val="single" w:color="4A148C" w:sz="2"/>
              <w:right w:val="single" w:color="4A148C" w:sz="2"/>
            </w:tcBorders>
            <w:shd w:fill="4A148C"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1. </w:t>
            </w:r>
            <w:r>
              <w:rPr>
                <w:rFonts w:ascii="Arial" w:cs="Arial" w:eastAsia="Arial" w:hAnsi="Arial"/>
                <w:b/>
                <w:bCs/>
                <w:i w:val="false"/>
                <w:iCs w:val="false"/>
                <w:color w:val="FFFFFF"/>
                <w:sz w:val="22"/>
                <w:szCs w:val="22"/>
              </w:rPr>
              <w:t xml:space="preserve">Tipo de Actividad</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c>
          <w:tcPr>
            <w:tcW w:type="dxa" w:w="2903"/>
            <w:tcBorders>
              <w:top w:val="single" w:color="9E9E9E" w:sz="4"/>
              <w:left w:val="single" w:color="9E9E9E" w:sz="4"/>
              <w:bottom w:val="single" w:color="9E9E9E" w:sz="4"/>
              <w:right w:val="single" w:color="9E9E9E" w:sz="4"/>
            </w:tcBorders>
            <w:shd w:fill="EDE7F6"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Tipo de actividad:</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Resolución de problemas prácticos</w:t>
            </w:r>
          </w:p>
        </w:tc>
      </w:tr>
      <w:tr>
        <w:tc>
          <w:tcPr>
            <w:tcW w:type="dxa" w:w="2903"/>
            <w:tcBorders>
              <w:top w:val="single" w:color="9E9E9E" w:sz="4"/>
              <w:left w:val="single" w:color="9E9E9E" w:sz="4"/>
              <w:bottom w:val="single" w:color="9E9E9E" w:sz="4"/>
              <w:right w:val="single" w:color="9E9E9E" w:sz="4"/>
            </w:tcBorders>
            <w:shd w:fill="EDE7F6"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Modalidad:</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Grupal (equipos de 3-4 estudiantes)</w:t>
            </w:r>
          </w:p>
        </w:tc>
      </w:tr>
      <w:tr>
        <w:tc>
          <w:tcPr>
            <w:tcW w:type="dxa" w:w="2903"/>
            <w:tcBorders>
              <w:top w:val="single" w:color="9E9E9E" w:sz="4"/>
              <w:left w:val="single" w:color="9E9E9E" w:sz="4"/>
              <w:bottom w:val="single" w:color="9E9E9E" w:sz="4"/>
              <w:right w:val="single" w:color="9E9E9E" w:sz="4"/>
            </w:tcBorders>
            <w:shd w:fill="EDE7F6"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Duración:</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3 horas de laboratorio + 5 horas autónomas</w:t>
            </w:r>
          </w:p>
        </w:tc>
      </w:tr>
      <w:tr>
        <w:tc>
          <w:tcPr>
            <w:tcW w:type="dxa" w:w="2903"/>
            <w:tcBorders>
              <w:top w:val="single" w:color="9E9E9E" w:sz="4"/>
              <w:left w:val="single" w:color="9E9E9E" w:sz="4"/>
              <w:bottom w:val="single" w:color="9E9E9E" w:sz="4"/>
              <w:right w:val="single" w:color="9E9E9E" w:sz="4"/>
            </w:tcBorders>
            <w:shd w:fill="EDE7F6"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Entregable:</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Repositorio GitHub + Documento LaTeX + Demo del clúster en vivo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A148C" w:sz="2"/>
              <w:left w:val="single" w:color="4A148C" w:sz="2"/>
              <w:bottom w:val="single" w:color="4A148C" w:sz="2"/>
              <w:right w:val="single" w:color="4A148C" w:sz="2"/>
            </w:tcBorders>
            <w:shd w:fill="4A148C"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2. </w:t>
            </w:r>
            <w:r>
              <w:rPr>
                <w:rFonts w:ascii="Arial" w:cs="Arial" w:eastAsia="Arial" w:hAnsi="Arial"/>
                <w:b/>
                <w:bCs/>
                <w:i w:val="false"/>
                <w:iCs w:val="false"/>
                <w:color w:val="FFFFFF"/>
                <w:sz w:val="22"/>
                <w:szCs w:val="22"/>
              </w:rPr>
              <w:t xml:space="preserve">Tema de la Práctica</w:t>
            </w:r>
          </w:p>
        </w:tc>
      </w:tr>
    </w:tbl>
    <w:p>
      <w:pPr>
        <w:spacing w:after="60"/>
      </w:pPr>
      <w:r>
        <w:rPr>
          <w:rFonts w:ascii="Arial" w:cs="Arial" w:eastAsia="Arial" w:hAnsi="Arial"/>
          <w:sz w:val="20"/>
          <w:szCs w:val="20"/>
        </w:rPr>
        <w:t xml:space="preserve"/>
      </w:r>
    </w:p>
    <w:p>
      <w:pPr>
        <w:spacing w:after="80" w:before="0" w:line="276" w:lineRule="auto"/>
        <w:jc w:val="both"/>
      </w:pPr>
      <w:r>
        <w:rPr>
          <w:rFonts w:ascii="Arial" w:cs="Arial" w:eastAsia="Arial" w:hAnsi="Arial"/>
          <w:b w:val="false"/>
          <w:bCs w:val="false"/>
          <w:i w:val="false"/>
          <w:iCs w:val="false"/>
          <w:color w:val="000000"/>
          <w:sz w:val="20"/>
          <w:szCs w:val="20"/>
        </w:rPr>
        <w:t xml:space="preserve">Configuración de un clúster de base de datos distribuida de tres nodos con CockroachDB en contenedores Docker, implementación de la estrategia de fragmentación y replicación del PFC, verificación de tolerancia a fallos (Raft consensus), y análisis comparativo de rendimiento distribuido vs. centralizado.</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A148C" w:sz="2"/>
              <w:left w:val="single" w:color="4A148C" w:sz="2"/>
              <w:bottom w:val="single" w:color="4A148C" w:sz="2"/>
              <w:right w:val="single" w:color="4A148C" w:sz="2"/>
            </w:tcBorders>
            <w:shd w:fill="4A148C"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3. </w:t>
            </w:r>
            <w:r>
              <w:rPr>
                <w:rFonts w:ascii="Arial" w:cs="Arial" w:eastAsia="Arial" w:hAnsi="Arial"/>
                <w:b/>
                <w:bCs/>
                <w:i w:val="false"/>
                <w:iCs w:val="false"/>
                <w:color w:val="FFFFFF"/>
                <w:sz w:val="22"/>
                <w:szCs w:val="22"/>
              </w:rPr>
              <w:t xml:space="preserve">Objetivo de la Práctica</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Objetivo General:</w:t>
      </w:r>
    </w:p>
    <w:p>
      <w:pPr>
        <w:spacing w:after="80" w:before="0" w:line="276" w:lineRule="auto"/>
        <w:jc w:val="both"/>
      </w:pPr>
      <w:r>
        <w:rPr>
          <w:rFonts w:ascii="Arial" w:cs="Arial" w:eastAsia="Arial" w:hAnsi="Arial"/>
          <w:b w:val="false"/>
          <w:bCs w:val="false"/>
          <w:i w:val="false"/>
          <w:iCs w:val="false"/>
          <w:color w:val="000000"/>
          <w:sz w:val="20"/>
          <w:szCs w:val="20"/>
        </w:rPr>
        <w:t xml:space="preserve">Implementar, configurar y verificar un clúster de base de datos distribuida funcional de tres nodos, demostrando transparencia de fragmentación y replicación, comportamiento ante fallos de nodos y recuperación automática.</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Objetivos Específicos: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Configurar un clúster CockroachDB de tres nodos en contenedores Docker con replicación automática.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Implementar el esquema de datos del PFC con la estrategia de fragmentación diseñada en la Semana 10.</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Demostrar tolerancia a fallos: detener un nodo y verificar que el sistema continúa operando (quórum Raft).</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Medir y comparar rendimiento de consultas distribuidas vs. nodo único.</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A148C" w:sz="2"/>
              <w:left w:val="single" w:color="4A148C" w:sz="2"/>
              <w:bottom w:val="single" w:color="4A148C" w:sz="2"/>
              <w:right w:val="single" w:color="4A148C" w:sz="2"/>
            </w:tcBorders>
            <w:shd w:fill="4A148C"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4. </w:t>
            </w:r>
            <w:r>
              <w:rPr>
                <w:rFonts w:ascii="Arial" w:cs="Arial" w:eastAsia="Arial" w:hAnsi="Arial"/>
                <w:b/>
                <w:bCs/>
                <w:i w:val="false"/>
                <w:iCs w:val="false"/>
                <w:color w:val="FFFFFF"/>
                <w:sz w:val="22"/>
                <w:szCs w:val="22"/>
              </w:rPr>
              <w:t xml:space="preserve">Fundamento Teórico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8"/>
                <w:szCs w:val="18"/>
              </w:rPr>
              <w:t xml:space="preserve">Instrucción Obligatoria para el Estudiante</w:t>
            </w:r>
          </w:p>
        </w:tc>
      </w:tr>
      <w:tr>
        <w:tc>
          <w:tcPr>
            <w:tcW w:type="dxa" w:w="9072"/>
            <w:tcBorders>
              <w:top w:val="single" w:color="E65100" w:sz="4"/>
              <w:left w:val="single" w:color="E65100" w:sz="4"/>
              <w:bottom w:val="single" w:color="E65100" w:sz="4"/>
              <w:right w:val="single" w:color="E65100" w:sz="4"/>
            </w:tcBorders>
            <w:shd w:fill="FFF3E0"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Desarrollar en LaTeX el fundamento teórico COMPLETO de la Unidad 2. Las definiciones formales de fragmentación DEBEN incluir notación de álgebra relacional con entornos matemáticos LaTeX. Cada subtema: mínimo 300 palabras, ≥2 referencias IEEE con DOI.</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4.1 Fundamentos y Arquitecturas de Bases de Datos Distribuidas</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definición formal de BDD, los 12 objetivos de diseño de Date, arquitecturas de SGBD distribuidos (cliente-servidor, colaborativa, middleware), ocho formas de transparencia en BDD, y diferencia entre homogeneidad y heterogeneidad.</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[1]  </w:t>
      </w:r>
      <w:r>
        <w:rPr>
          <w:rFonts w:ascii="Arial" w:cs="Arial" w:eastAsia="Arial" w:hAnsi="Arial"/>
          <w:b w:val="false"/>
          <w:bCs w:val="false"/>
          <w:i w:val="false"/>
          <w:iCs w:val="false"/>
          <w:color w:val="000000"/>
          <w:sz w:val="19"/>
          <w:szCs w:val="19"/>
        </w:rPr>
        <w:t xml:space="preserve">M. T. Özsu and P. Valduriez, Principles of Distributed Database Systems, 4th ed. Cham, Switzerland: Springer, 2020. doi: 10.1007/978-3-030-26253-2.</w:t>
      </w:r>
    </w:p>
    <w:p>
      <w:pPr>
        <w:spacing w:after="60" w:before="0" w:line="276" w:lineRule="auto"/>
        <w:ind w:left="360" w:hanging="360"/>
        <w:jc w:val="both"/>
      </w:pPr>
      <w:r>
        <w:rPr>
          <w:rFonts w:ascii="Arial" w:cs="Arial" w:eastAsia="Arial" w:hAnsi="Arial"/>
          <w:b/>
          <w:bCs/>
          <w:i w:val="false"/>
          <w:iCs w:val="false"/>
          <w:color w:val="000000"/>
          <w:sz w:val="19"/>
          <w:szCs w:val="19"/>
        </w:rPr>
        <w:t xml:space="preserve">[2]  </w:t>
      </w:r>
      <w:r>
        <w:rPr>
          <w:rFonts w:ascii="Arial" w:cs="Arial" w:eastAsia="Arial" w:hAnsi="Arial"/>
          <w:b w:val="false"/>
          <w:bCs w:val="false"/>
          <w:i w:val="false"/>
          <w:iCs w:val="false"/>
          <w:color w:val="000000"/>
          <w:sz w:val="19"/>
          <w:szCs w:val="19"/>
        </w:rPr>
        <w:t xml:space="preserve">M. Kleppmann, Designing Data-Intensive Applications. Sebastopol, CA, USA: O'Reilly Media, 2017. ISBN: 978-1-4493-7332-0.</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4.2 Fragmentación y Replicación de Datos</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definición formal con condiciones de corrección (completitud, reconstrucción, disjunción), fragmentación horizontal con álgebra relacional, fragmentación vertical con análisis de afinidad, fragmentación mixta, replicación síncrona vs. asíncrona con análisis de trade-offs.</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[3]  </w:t>
      </w:r>
      <w:r>
        <w:rPr>
          <w:rFonts w:ascii="Arial" w:cs="Arial" w:eastAsia="Arial" w:hAnsi="Arial"/>
          <w:b w:val="false"/>
          <w:bCs w:val="false"/>
          <w:i w:val="false"/>
          <w:iCs w:val="false"/>
          <w:color w:val="000000"/>
          <w:sz w:val="19"/>
          <w:szCs w:val="19"/>
        </w:rPr>
        <w:t xml:space="preserve">M. T. Özsu and P. Valduriez, Principles of Distributed Database Systems, 4th ed., ch. 3-4, pp. 79-180.</w:t>
      </w:r>
    </w:p>
    <w:p>
      <w:pPr>
        <w:spacing w:after="60" w:before="0" w:line="276" w:lineRule="auto"/>
        <w:ind w:left="360" w:hanging="360"/>
        <w:jc w:val="both"/>
      </w:pPr>
      <w:r>
        <w:rPr>
          <w:rFonts w:ascii="Arial" w:cs="Arial" w:eastAsia="Arial" w:hAnsi="Arial"/>
          <w:b/>
          <w:bCs/>
          <w:i w:val="false"/>
          <w:iCs w:val="false"/>
          <w:color w:val="000000"/>
          <w:sz w:val="19"/>
          <w:szCs w:val="19"/>
        </w:rPr>
        <w:t xml:space="preserve">[4]  </w:t>
      </w:r>
      <w:r>
        <w:rPr>
          <w:rFonts w:ascii="Arial" w:cs="Arial" w:eastAsia="Arial" w:hAnsi="Arial"/>
          <w:b w:val="false"/>
          <w:bCs w:val="false"/>
          <w:i w:val="false"/>
          <w:iCs w:val="false"/>
          <w:color w:val="000000"/>
          <w:sz w:val="19"/>
          <w:szCs w:val="19"/>
        </w:rPr>
        <w:t xml:space="preserve">M. Kleppmann, Designing Data-Intensive Applications, ch. 5-6, pp. 151-260.</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4.3 Control de Concurrencia Distribuida</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problema de concurrencia en BDD, protocolo 2PL (bloqueo en dos fases) distribuido y estricto, detección de deadlock distribuido con grafos wait-for, protocolo de commit en dos fases (2PC) con análisis de fallos, protocolo 3PC.</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[5]  </w:t>
      </w:r>
      <w:r>
        <w:rPr>
          <w:rFonts w:ascii="Arial" w:cs="Arial" w:eastAsia="Arial" w:hAnsi="Arial"/>
          <w:b w:val="false"/>
          <w:bCs w:val="false"/>
          <w:i w:val="false"/>
          <w:iCs w:val="false"/>
          <w:color w:val="000000"/>
          <w:sz w:val="19"/>
          <w:szCs w:val="19"/>
        </w:rPr>
        <w:t xml:space="preserve">M. T. Özsu and P. Valduriez, Principles of Distributed Database Systems, 4th ed., ch. 7-8, pp. 261-360.</w:t>
      </w:r>
    </w:p>
    <w:p>
      <w:pPr>
        <w:spacing w:after="60" w:before="0" w:line="276" w:lineRule="auto"/>
        <w:ind w:left="360" w:hanging="360"/>
        <w:jc w:val="both"/>
      </w:pPr>
      <w:r>
        <w:rPr>
          <w:rFonts w:ascii="Arial" w:cs="Arial" w:eastAsia="Arial" w:hAnsi="Arial"/>
          <w:b/>
          <w:bCs/>
          <w:i w:val="false"/>
          <w:iCs w:val="false"/>
          <w:color w:val="000000"/>
          <w:sz w:val="19"/>
          <w:szCs w:val="19"/>
        </w:rPr>
        <w:t xml:space="preserve">[6]  </w:t>
      </w:r>
      <w:r>
        <w:rPr>
          <w:rFonts w:ascii="Arial" w:cs="Arial" w:eastAsia="Arial" w:hAnsi="Arial"/>
          <w:b w:val="false"/>
          <w:bCs w:val="false"/>
          <w:i w:val="false"/>
          <w:iCs w:val="false"/>
          <w:color w:val="000000"/>
          <w:sz w:val="19"/>
          <w:szCs w:val="19"/>
        </w:rPr>
        <w:t xml:space="preserve">M. van Steen and A. S. Tanenbaum, Distributed Systems, 4th ed. Maastricht, The Netherlands: Maarten van Steen, 2023, ch. 6.</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4.4 Consistencia, Disponibilidad, PACELC y Sistemas NoSQL</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teorema CAP y su interpretación moderna, modelo PACELC de Abadi (2012), consistencia eventual vs. fuerte, modelos de CockroachDB (serializable), modelos de datos NoSQL (documentos, clave-valor, columnar, grafos), análisis comparativo CockroachDB vs. MongoDB vs. Cassandra.</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[7]  </w:t>
      </w:r>
      <w:r>
        <w:rPr>
          <w:rFonts w:ascii="Arial" w:cs="Arial" w:eastAsia="Arial" w:hAnsi="Arial"/>
          <w:b w:val="false"/>
          <w:bCs w:val="false"/>
          <w:i w:val="false"/>
          <w:iCs w:val="false"/>
          <w:color w:val="000000"/>
          <w:sz w:val="19"/>
          <w:szCs w:val="19"/>
        </w:rPr>
        <w:t xml:space="preserve">E. Brewer, 'CAP twelve years later,' IEEE Comput., vol. 45, no. 2, pp. 23-29, Feb. 2012. doi: 10.1109/MC.2012.37.</w:t>
      </w:r>
    </w:p>
    <w:p>
      <w:pPr>
        <w:spacing w:after="60" w:before="0" w:line="276" w:lineRule="auto"/>
        <w:ind w:left="360" w:hanging="360"/>
        <w:jc w:val="both"/>
      </w:pPr>
      <w:r>
        <w:rPr>
          <w:rFonts w:ascii="Arial" w:cs="Arial" w:eastAsia="Arial" w:hAnsi="Arial"/>
          <w:b/>
          <w:bCs/>
          <w:i w:val="false"/>
          <w:iCs w:val="false"/>
          <w:color w:val="000000"/>
          <w:sz w:val="19"/>
          <w:szCs w:val="19"/>
        </w:rPr>
        <w:t xml:space="preserve">[8]  </w:t>
      </w:r>
      <w:r>
        <w:rPr>
          <w:rFonts w:ascii="Arial" w:cs="Arial" w:eastAsia="Arial" w:hAnsi="Arial"/>
          <w:b w:val="false"/>
          <w:bCs w:val="false"/>
          <w:i w:val="false"/>
          <w:iCs w:val="false"/>
          <w:color w:val="000000"/>
          <w:sz w:val="19"/>
          <w:szCs w:val="19"/>
        </w:rPr>
        <w:t xml:space="preserve">D. J. Abadi, 'Consistency tradeoffs in modern distributed database system design,' IEEE Comput., vol. 45, no. 2, pp. 37-42, Feb. 2012. doi: 10.1109/MC.2012.33.</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A148C" w:sz="2"/>
              <w:left w:val="single" w:color="4A148C" w:sz="2"/>
              <w:bottom w:val="single" w:color="4A148C" w:sz="2"/>
              <w:right w:val="single" w:color="4A148C" w:sz="2"/>
            </w:tcBorders>
            <w:shd w:fill="4A148C"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5. </w:t>
            </w:r>
            <w:r>
              <w:rPr>
                <w:rFonts w:ascii="Arial" w:cs="Arial" w:eastAsia="Arial" w:hAnsi="Arial"/>
                <w:b/>
                <w:bCs/>
                <w:i w:val="false"/>
                <w:iCs w:val="false"/>
                <w:color w:val="FFFFFF"/>
                <w:sz w:val="22"/>
                <w:szCs w:val="22"/>
              </w:rPr>
              <w:t xml:space="preserve">Procedimiento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1</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Levantamiento del Clúster CockroachDB</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Crear docker-compose.yml con tres nodos: crdb-node1 (puerto 26257/8080), crdb-node2 (26258/8081), crdb-node3 (26259/8082). Red interna: roach-net (bridge).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Inicializar clúster: `docker exec -it crdb-node1 ./cockroach init --insecure`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Verificar estado: `docker exec -it crdb-node1 ./cockroach node status --insecure` — todos los nodos con is_live=true.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Captura del dashboard CockroachDB (http://localhost:8080) con los 3 nodos activos.</w:t>
            </w:r>
          </w:p>
          <w:p>
            <w:pPr>
              <w:spacing w:after="80" w:before="60" w:line="276" w:lineRule="auto"/>
              <w:jc w:val="both"/>
            </w:pPr>
            <w:r>
              <w:rPr>
                <w:rFonts w:ascii="Arial" w:cs="Arial" w:eastAsia="Arial" w:hAnsi="Arial"/>
                <w:b/>
                <w:bCs/>
                <w:i w:val="false"/>
                <w:iCs w:val="false"/>
                <w:color w:val="E65100"/>
                <w:sz w:val="18"/>
                <w:szCs w:val="18"/>
              </w:rPr>
              <w:t xml:space="preserve">⚠ Nota: </w:t>
            </w:r>
            <w:r>
              <w:rPr>
                <w:rFonts w:ascii="Arial" w:cs="Arial" w:eastAsia="Arial" w:hAnsi="Arial"/>
                <w:b w:val="false"/>
                <w:bCs w:val="false"/>
                <w:i/>
                <w:iCs/>
                <w:color w:val="E65100"/>
                <w:sz w:val="18"/>
                <w:szCs w:val="18"/>
              </w:rPr>
              <w:t xml:space="preserve">Si hay problemas de memoria, limitar a 512m por nodo en docker-compose con mem_limit.</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2</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Implementación del Esquema del PFC</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Conectar: `docker exec -it crdb-node1 ./cockroach sql --insecure`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Crear base de datos y tablas del PFC (mínimo 3 tablas con relaciones).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Insertar ≥10,000 registros con script Python (psycopg2 — compatible con CockroachDB).</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Verificar distribución de rangos: `SHOW RANGES FROM TABLE tabla_principal;`</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3</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Verificación de Tolerancia a Fallos</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Ejecutar consulta: `SELECT COUNT(*) FROM tabla_principal;` — registrar resultado y tiempo.</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Detener nodo 2: `docker stop crdb-node2`</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Ejecutar la misma consulta inmediatamente — debe responder correctamente (quórum Raft: 2 de 3 nodos).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Esperar 30 seg. Ejecutar SHOW RANGES — documentar redistribución de rangos.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Reiniciar nodo 2: `docker start crdb-node2` — documentar tiempo de reintegración.</w:t>
            </w:r>
          </w:p>
          <w:p>
            <w:pPr>
              <w:spacing w:after="80" w:before="60" w:line="276" w:lineRule="auto"/>
              <w:jc w:val="both"/>
            </w:pPr>
            <w:r>
              <w:rPr>
                <w:rFonts w:ascii="Arial" w:cs="Arial" w:eastAsia="Arial" w:hAnsi="Arial"/>
                <w:b/>
                <w:bCs/>
                <w:i w:val="false"/>
                <w:iCs w:val="false"/>
                <w:color w:val="E65100"/>
                <w:sz w:val="18"/>
                <w:szCs w:val="18"/>
              </w:rPr>
              <w:t xml:space="preserve">⚠ Nota: </w:t>
            </w:r>
            <w:r>
              <w:rPr>
                <w:rFonts w:ascii="Arial" w:cs="Arial" w:eastAsia="Arial" w:hAnsi="Arial"/>
                <w:b w:val="false"/>
                <w:bCs w:val="false"/>
                <w:i/>
                <w:iCs/>
                <w:color w:val="E65100"/>
                <w:sz w:val="18"/>
                <w:szCs w:val="18"/>
              </w:rPr>
              <w:t xml:space="preserve">Grabar un video de pantalla durante la prueba de tolerancia a fallos (entregar con el repositorio).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4</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Medición de Rendimiento</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Ejecutar 5 consultas SQL del PFC en el clúster (3 nodos) con EXPLAIN ANALYZE.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Ejecutar las mismas consultas en una instancia única: `cockroach start-single-node --insecure`.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Tabla comparativa: Consulta | T. clúster (ms) | T. nodo único (ms) | Factor de mejora.</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Analizar: ¿en qué consultas el clúster es más rápido? ¿en cuáles más lento? ¿por qué?</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5</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Documento LaTeX</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Incluir: fundamento teórico U2 completo, configuración Docker en lstlisting YAML, SQL en lstlisting, capturas del dashboard como figuras, tabla booktabs de rendimiento, análisis de prueba de fallos con diagrama de secuencia del comportamiento Raft, conclusiones y bibliografía (≥6 referencias IEEE).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Mínimo 12 páginas de contenido. Compilar sin errores.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A148C" w:sz="2"/>
              <w:left w:val="single" w:color="4A148C" w:sz="2"/>
              <w:bottom w:val="single" w:color="4A148C" w:sz="2"/>
              <w:right w:val="single" w:color="4A148C" w:sz="2"/>
            </w:tcBorders>
            <w:shd w:fill="4A148C"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6. </w:t>
            </w:r>
            <w:r>
              <w:rPr>
                <w:rFonts w:ascii="Arial" w:cs="Arial" w:eastAsia="Arial" w:hAnsi="Arial"/>
                <w:b/>
                <w:bCs/>
                <w:i w:val="false"/>
                <w:iCs w:val="false"/>
                <w:color w:val="FFFFFF"/>
                <w:sz w:val="22"/>
                <w:szCs w:val="22"/>
              </w:rPr>
              <w:t xml:space="preserve">Materiales, Equipos, Insumos y Reactivos</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6.1 Equipos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Computadora con ≥16 GB RAM (necesario para 3 nodos CockroachDB simultáneos; con 8 GB limitar memoria por contenedor).</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40 GB de espacio libre en disco para volúmenes Docker.</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6.2 Software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Docker Desktop 4.x con Docker Compose Plugin</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CockroachDB v23.1+ (imagen: cockroachdb/cockroach)</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Python 3.10+ con: psycopg2-binary, faker, pandas, matplotlib</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DBeaver o TablePlus como cliente SQL visual (opcional)</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TeX Live 2023+ o Overleaf con paquetes completos</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A148C" w:sz="2"/>
              <w:left w:val="single" w:color="4A148C" w:sz="2"/>
              <w:bottom w:val="single" w:color="4A148C" w:sz="2"/>
              <w:right w:val="single" w:color="4A148C" w:sz="2"/>
            </w:tcBorders>
            <w:shd w:fill="4A148C"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7. </w:t>
            </w:r>
            <w:r>
              <w:rPr>
                <w:rFonts w:ascii="Arial" w:cs="Arial" w:eastAsia="Arial" w:hAnsi="Arial"/>
                <w:b/>
                <w:bCs/>
                <w:i w:val="false"/>
                <w:iCs w:val="false"/>
                <w:color w:val="FFFFFF"/>
                <w:sz w:val="22"/>
                <w:szCs w:val="22"/>
              </w:rPr>
              <w:t xml:space="preserve">Bibliografía de la Guía (Norma IEEE)</w:t>
            </w:r>
          </w:p>
        </w:tc>
      </w:tr>
    </w:tbl>
    <w:p>
      <w:pPr>
        <w:spacing w:after="60"/>
      </w:pPr>
      <w:r>
        <w:rPr>
          <w:rFonts w:ascii="Arial" w:cs="Arial" w:eastAsia="Arial" w:hAnsi="Arial"/>
          <w:sz w:val="20"/>
          <w:szCs w:val="20"/>
        </w:rPr>
        <w:t xml:space="preserve"/>
      </w:r>
    </w:p>
    <w:p>
      <w:pPr>
        <w:spacing w:after="60" w:before="0" w:line="276" w:lineRule="auto"/>
        <w:ind w:left="360" w:hanging="360"/>
        <w:jc w:val="both"/>
      </w:pPr>
      <w:r>
        <w:rPr>
          <w:rFonts w:ascii="Arial" w:cs="Arial" w:eastAsia="Arial" w:hAnsi="Arial"/>
          <w:b/>
          <w:bCs/>
          <w:i w:val="false"/>
          <w:iCs w:val="false"/>
          <w:color w:val="000000"/>
          <w:sz w:val="19"/>
          <w:szCs w:val="19"/>
        </w:rPr>
        <w:t xml:space="preserve">[1]  </w:t>
      </w:r>
      <w:r>
        <w:rPr>
          <w:rFonts w:ascii="Arial" w:cs="Arial" w:eastAsia="Arial" w:hAnsi="Arial"/>
          <w:b w:val="false"/>
          <w:bCs w:val="false"/>
          <w:i w:val="false"/>
          <w:iCs w:val="false"/>
          <w:color w:val="000000"/>
          <w:sz w:val="19"/>
          <w:szCs w:val="19"/>
        </w:rPr>
        <w:t xml:space="preserve">M. T. Özsu and P. Valduriez, Principles of Distributed Database Systems, 4th ed. Cham, Switzerland: Springer, 2020. doi: 10.1007/978-3-030-26253-2.</w:t>
      </w:r>
    </w:p>
    <w:p>
      <w:pPr>
        <w:spacing w:after="60" w:before="0" w:line="276" w:lineRule="auto"/>
        <w:ind w:left="360" w:hanging="360"/>
        <w:jc w:val="both"/>
      </w:pPr>
      <w:r>
        <w:rPr>
          <w:rFonts w:ascii="Arial" w:cs="Arial" w:eastAsia="Arial" w:hAnsi="Arial"/>
          <w:b/>
          <w:bCs/>
          <w:i w:val="false"/>
          <w:iCs w:val="false"/>
          <w:color w:val="000000"/>
          <w:sz w:val="19"/>
          <w:szCs w:val="19"/>
        </w:rPr>
        <w:t xml:space="preserve">[2]  </w:t>
      </w:r>
      <w:r>
        <w:rPr>
          <w:rFonts w:ascii="Arial" w:cs="Arial" w:eastAsia="Arial" w:hAnsi="Arial"/>
          <w:b w:val="false"/>
          <w:bCs w:val="false"/>
          <w:i w:val="false"/>
          <w:iCs w:val="false"/>
          <w:color w:val="000000"/>
          <w:sz w:val="19"/>
          <w:szCs w:val="19"/>
        </w:rPr>
        <w:t xml:space="preserve">M. Kleppmann, Designing Data-Intensive Applications. Sebastopol, CA, USA: O'Reilly Media, 2017. ISBN: 978-1-4493-7332-0.</w:t>
      </w:r>
    </w:p>
    <w:p>
      <w:pPr>
        <w:spacing w:after="60" w:before="0" w:line="276" w:lineRule="auto"/>
        <w:ind w:left="360" w:hanging="360"/>
        <w:jc w:val="both"/>
      </w:pPr>
      <w:r>
        <w:rPr>
          <w:rFonts w:ascii="Arial" w:cs="Arial" w:eastAsia="Arial" w:hAnsi="Arial"/>
          <w:b/>
          <w:bCs/>
          <w:i w:val="false"/>
          <w:iCs w:val="false"/>
          <w:color w:val="000000"/>
          <w:sz w:val="19"/>
          <w:szCs w:val="19"/>
        </w:rPr>
        <w:t xml:space="preserve">[3]  </w:t>
      </w:r>
      <w:r>
        <w:rPr>
          <w:rFonts w:ascii="Arial" w:cs="Arial" w:eastAsia="Arial" w:hAnsi="Arial"/>
          <w:b w:val="false"/>
          <w:bCs w:val="false"/>
          <w:i w:val="false"/>
          <w:iCs w:val="false"/>
          <w:color w:val="000000"/>
          <w:sz w:val="19"/>
          <w:szCs w:val="19"/>
        </w:rPr>
        <w:t xml:space="preserve">E. Brewer, 'CAP twelve years later,' IEEE Comput., vol. 45, no. 2, pp. 23-29, Feb. 2012. doi: 10.1109/MC.2012.37.</w:t>
      </w:r>
    </w:p>
    <w:p>
      <w:pPr>
        <w:spacing w:after="60" w:before="0" w:line="276" w:lineRule="auto"/>
        <w:ind w:left="360" w:hanging="360"/>
        <w:jc w:val="both"/>
      </w:pPr>
      <w:r>
        <w:rPr>
          <w:rFonts w:ascii="Arial" w:cs="Arial" w:eastAsia="Arial" w:hAnsi="Arial"/>
          <w:b/>
          <w:bCs/>
          <w:i w:val="false"/>
          <w:iCs w:val="false"/>
          <w:color w:val="000000"/>
          <w:sz w:val="19"/>
          <w:szCs w:val="19"/>
        </w:rPr>
        <w:t xml:space="preserve">[4]  </w:t>
      </w:r>
      <w:r>
        <w:rPr>
          <w:rFonts w:ascii="Arial" w:cs="Arial" w:eastAsia="Arial" w:hAnsi="Arial"/>
          <w:b w:val="false"/>
          <w:bCs w:val="false"/>
          <w:i w:val="false"/>
          <w:iCs w:val="false"/>
          <w:color w:val="000000"/>
          <w:sz w:val="19"/>
          <w:szCs w:val="19"/>
        </w:rPr>
        <w:t xml:space="preserve">D. J. Abadi, 'Consistency tradeoffs in modern distributed database system design,' IEEE Comput., vol. 45, no. 2, pp. 37-42, Feb. 2012. doi: 10.1109/MC.2012.33.</w:t>
      </w:r>
    </w:p>
    <w:p>
      <w:pPr>
        <w:spacing w:after="60" w:before="0" w:line="276" w:lineRule="auto"/>
        <w:ind w:left="360" w:hanging="360"/>
        <w:jc w:val="both"/>
      </w:pPr>
      <w:r>
        <w:rPr>
          <w:rFonts w:ascii="Arial" w:cs="Arial" w:eastAsia="Arial" w:hAnsi="Arial"/>
          <w:b/>
          <w:bCs/>
          <w:i w:val="false"/>
          <w:iCs w:val="false"/>
          <w:color w:val="000000"/>
          <w:sz w:val="19"/>
          <w:szCs w:val="19"/>
        </w:rPr>
        <w:t xml:space="preserve">[5]  </w:t>
      </w:r>
      <w:r>
        <w:rPr>
          <w:rFonts w:ascii="Arial" w:cs="Arial" w:eastAsia="Arial" w:hAnsi="Arial"/>
          <w:b w:val="false"/>
          <w:bCs w:val="false"/>
          <w:i w:val="false"/>
          <w:iCs w:val="false"/>
          <w:color w:val="000000"/>
          <w:sz w:val="19"/>
          <w:szCs w:val="19"/>
        </w:rPr>
        <w:t xml:space="preserve">M. van Steen and A. S. Tanenbaum, Distributed Systems, 4th ed. Maastricht, The Netherlands: Maarten van Steen, 2023.</w:t>
      </w:r>
    </w:p>
    <w:p>
      <w:pPr>
        <w:spacing w:after="60" w:before="0" w:line="276" w:lineRule="auto"/>
        <w:ind w:left="360" w:hanging="360"/>
        <w:jc w:val="both"/>
      </w:pPr>
      <w:r>
        <w:rPr>
          <w:rFonts w:ascii="Arial" w:cs="Arial" w:eastAsia="Arial" w:hAnsi="Arial"/>
          <w:b/>
          <w:bCs/>
          <w:i w:val="false"/>
          <w:iCs w:val="false"/>
          <w:color w:val="000000"/>
          <w:sz w:val="19"/>
          <w:szCs w:val="19"/>
        </w:rPr>
        <w:t xml:space="preserve">[6]  </w:t>
      </w:r>
      <w:r>
        <w:rPr>
          <w:rFonts w:ascii="Arial" w:cs="Arial" w:eastAsia="Arial" w:hAnsi="Arial"/>
          <w:b w:val="false"/>
          <w:bCs w:val="false"/>
          <w:i w:val="false"/>
          <w:iCs w:val="false"/>
          <w:color w:val="000000"/>
          <w:sz w:val="19"/>
          <w:szCs w:val="19"/>
        </w:rPr>
        <w:t xml:space="preserve">CockroachDB Inc., 'CockroachDB technical documentation v23.2,' Cockroach Labs, 2024. [Online]. Available: https://www.cockroachlabs.com/docs/</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A148C" w:sz="2"/>
              <w:left w:val="single" w:color="4A148C" w:sz="2"/>
              <w:bottom w:val="single" w:color="4A148C" w:sz="2"/>
              <w:right w:val="single" w:color="4A148C" w:sz="2"/>
            </w:tcBorders>
            <w:shd w:fill="4A148C"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8. </w:t>
            </w:r>
            <w:r>
              <w:rPr>
                <w:rFonts w:ascii="Arial" w:cs="Arial" w:eastAsia="Arial" w:hAnsi="Arial"/>
                <w:b/>
                <w:bCs/>
                <w:i w:val="false"/>
                <w:iCs w:val="false"/>
                <w:color w:val="FFFFFF"/>
                <w:sz w:val="22"/>
                <w:szCs w:val="22"/>
              </w:rPr>
              <w:t xml:space="preserve">Anexos</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Anexo A — Preguntas de análisis obligatorias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CockroachDB usa el algoritmo Raft. Explica cómo garantiza consistencia cuando un nodo falla, con referencia a los conceptos de quórum, líder y log de transacciones.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Compara el modelo de consistencia de CockroachDB (Serializable) con Apache Cassandra (eventual consistency). ¿Cuál elegirías para el PFC y por qué?</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¿Cómo implementarías fragmentación horizontal explícita con PARTITION BY RANGE en CockroachDB? Diseña la estrategia para la tabla principal del PFC.</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Si el PFC requiere transacciones multi-tabla en diferentes nodos, ¿cómo garantiza CockroachDB la atomicidad? Explica el commit de dos fases interno.</w:t>
      </w:r>
    </w:p>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7440"/>
      </w:tblGrid>
      <w:tr>
        <w:tc>
          <w:tcPr>
            <w:tcW w:type="dxa" w:w="163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34"/>
                <w:szCs w:val="34"/>
              </w:rPr>
              <w:t xml:space="preserve">UTEQ</w:t>
            </w:r>
          </w:p>
        </w:tc>
        <w:tc>
          <w:tcPr>
            <w:tcW w:type="dxa" w:w="7440"/>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40" w:before="0" w:line="276" w:lineRule="auto"/>
              <w:jc w:val="both"/>
            </w:pPr>
            <w:r>
              <w:rPr>
                <w:rFonts w:ascii="Arial" w:cs="Arial" w:eastAsia="Arial" w:hAnsi="Arial"/>
                <w:b/>
                <w:bCs/>
                <w:i w:val="false"/>
                <w:iCs w:val="false"/>
                <w:color w:val="FFFFFF"/>
                <w:sz w:val="22"/>
                <w:szCs w:val="22"/>
              </w:rPr>
              <w:t xml:space="preserve">Universidad Técnica Estatal de Quevedo</w:t>
            </w:r>
          </w:p>
          <w:p>
            <w:pPr>
              <w:spacing w:after="20" w:before="0" w:line="276" w:lineRule="auto"/>
              <w:jc w:val="both"/>
            </w:pPr>
            <w:r>
              <w:rPr>
                <w:rFonts w:ascii="Arial" w:cs="Arial" w:eastAsia="Arial" w:hAnsi="Arial"/>
                <w:b w:val="false"/>
                <w:bCs w:val="false"/>
                <w:i w:val="false"/>
                <w:iCs w:val="false"/>
                <w:color w:val="FFFFFF"/>
                <w:sz w:val="19"/>
                <w:szCs w:val="19"/>
              </w:rPr>
              <w:t xml:space="preserve">Facultad de Ciencias de la Computación y Diseño Digital</w:t>
            </w:r>
          </w:p>
          <w:p>
            <w:pPr>
              <w:spacing w:after="80" w:before="0" w:line="276" w:lineRule="auto"/>
              <w:jc w:val="both"/>
            </w:pPr>
            <w:r>
              <w:rPr>
                <w:rFonts w:ascii="Arial" w:cs="Arial" w:eastAsia="Arial" w:hAnsi="Arial"/>
                <w:b w:val="false"/>
                <w:bCs w:val="false"/>
                <w:i w:val="false"/>
                <w:iCs w:val="false"/>
                <w:color w:val="FFFFFF"/>
                <w:sz w:val="19"/>
                <w:szCs w:val="19"/>
              </w:rPr>
              <w:t xml:space="preserve">Carrera de Ingeniería de Software</w:t>
            </w:r>
          </w:p>
        </w:tc>
      </w:tr>
    </w:tbl>
    <w:p>
      <w:pPr>
        <w:spacing w:after="60"/>
      </w:pPr>
      <w:r>
        <w:rPr>
          <w:rFonts w:ascii="Arial" w:cs="Arial" w:eastAsia="Arial" w:hAnsi="Arial"/>
          <w:sz w:val="20"/>
          <w:szCs w:val="20"/>
        </w:rPr>
        <w:t xml:space="preserve"/>
      </w:r>
    </w:p>
    <w:p>
      <w:pPr>
        <w:spacing w:after="60" w:before="0" w:line="276" w:lineRule="auto"/>
        <w:jc w:val="center"/>
      </w:pPr>
      <w:r>
        <w:rPr>
          <w:rFonts w:ascii="Arial" w:cs="Arial" w:eastAsia="Arial" w:hAnsi="Arial"/>
          <w:b/>
          <w:bCs/>
          <w:i w:val="false"/>
          <w:iCs w:val="false"/>
          <w:color w:val="E65100"/>
          <w:sz w:val="28"/>
          <w:szCs w:val="28"/>
        </w:rPr>
        <w:t xml:space="preserve">GUÍA DE PRÁCTICA EXPERIMENTAL N° 4</w:t>
      </w:r>
    </w:p>
    <w:p>
      <w:pPr>
        <w:spacing w:after="40" w:before="0" w:line="276" w:lineRule="auto"/>
        <w:jc w:val="center"/>
      </w:pPr>
      <w:r>
        <w:rPr>
          <w:rFonts w:ascii="Arial" w:cs="Arial" w:eastAsia="Arial" w:hAnsi="Arial"/>
          <w:b/>
          <w:bCs/>
          <w:i w:val="false"/>
          <w:iCs w:val="false"/>
          <w:color w:val="000000"/>
          <w:sz w:val="22"/>
          <w:szCs w:val="22"/>
        </w:rPr>
        <w:t xml:space="preserve">Procesamiento Distribuido con Apache Spark: Comprobación de la Ley de Amdahl</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9072"/>
            <w:gridSpan w:val="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7"/>
                <w:szCs w:val="17"/>
              </w:rPr>
              <w:t xml:space="preserve">Datos generales de la práctica</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Asignatura: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Aplicaciones Distribuidas</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Unidad: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4: Computación Paralela y Distribuida</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Tipo de actividad: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Comprobación</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Semana de entrega: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14</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Período académico:</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Regular 2025-2026 SPA</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Código actividad: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GA-SUM-04</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Docente:</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del docente]</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Fecha de entrega: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[Fecha según cronograma]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9072"/>
            <w:gridSpan w:val="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7"/>
                <w:szCs w:val="17"/>
              </w:rPr>
              <w:t xml:space="preserve">Datos del Equipo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1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Arquitecto]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2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Desarrollador]</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3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Resp. Calidad]</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4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Documentalista]</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URL Repositorio GitHub:</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[https://github.com/equipo/proyecto]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Calificación (docente):</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___ / 100</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1. </w:t>
            </w:r>
            <w:r>
              <w:rPr>
                <w:rFonts w:ascii="Arial" w:cs="Arial" w:eastAsia="Arial" w:hAnsi="Arial"/>
                <w:b/>
                <w:bCs/>
                <w:i w:val="false"/>
                <w:iCs w:val="false"/>
                <w:color w:val="FFFFFF"/>
                <w:sz w:val="22"/>
                <w:szCs w:val="22"/>
              </w:rPr>
              <w:t xml:space="preserve">Tipo de Actividad</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c>
          <w:tcPr>
            <w:tcW w:type="dxa" w:w="2903"/>
            <w:tcBorders>
              <w:top w:val="single" w:color="9E9E9E" w:sz="4"/>
              <w:left w:val="single" w:color="9E9E9E" w:sz="4"/>
              <w:bottom w:val="single" w:color="9E9E9E" w:sz="4"/>
              <w:right w:val="single" w:color="9E9E9E" w:sz="4"/>
            </w:tcBorders>
            <w:shd w:fill="FFF3E0"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Tipo de actividad:</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Comprobación</w:t>
            </w:r>
          </w:p>
        </w:tc>
      </w:tr>
      <w:tr>
        <w:tc>
          <w:tcPr>
            <w:tcW w:type="dxa" w:w="2903"/>
            <w:tcBorders>
              <w:top w:val="single" w:color="9E9E9E" w:sz="4"/>
              <w:left w:val="single" w:color="9E9E9E" w:sz="4"/>
              <w:bottom w:val="single" w:color="9E9E9E" w:sz="4"/>
              <w:right w:val="single" w:color="9E9E9E" w:sz="4"/>
            </w:tcBorders>
            <w:shd w:fill="FFF3E0"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Modalidad:</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Grupal (equipos de 3-4 estudiantes)</w:t>
            </w:r>
          </w:p>
        </w:tc>
      </w:tr>
      <w:tr>
        <w:tc>
          <w:tcPr>
            <w:tcW w:type="dxa" w:w="2903"/>
            <w:tcBorders>
              <w:top w:val="single" w:color="9E9E9E" w:sz="4"/>
              <w:left w:val="single" w:color="9E9E9E" w:sz="4"/>
              <w:bottom w:val="single" w:color="9E9E9E" w:sz="4"/>
              <w:right w:val="single" w:color="9E9E9E" w:sz="4"/>
            </w:tcBorders>
            <w:shd w:fill="FFF3E0"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Duración:</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3 horas de laboratorio + 5 horas autónomas</w:t>
            </w:r>
          </w:p>
        </w:tc>
      </w:tr>
      <w:tr>
        <w:tc>
          <w:tcPr>
            <w:tcW w:type="dxa" w:w="2903"/>
            <w:tcBorders>
              <w:top w:val="single" w:color="9E9E9E" w:sz="4"/>
              <w:left w:val="single" w:color="9E9E9E" w:sz="4"/>
              <w:bottom w:val="single" w:color="9E9E9E" w:sz="4"/>
              <w:right w:val="single" w:color="9E9E9E" w:sz="4"/>
            </w:tcBorders>
            <w:shd w:fill="FFF3E0"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Entregable:</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Notebook ejecutado (Colab/Databricks) + Repositorio + Documento LaTeX compilado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2. </w:t>
            </w:r>
            <w:r>
              <w:rPr>
                <w:rFonts w:ascii="Arial" w:cs="Arial" w:eastAsia="Arial" w:hAnsi="Arial"/>
                <w:b/>
                <w:bCs/>
                <w:i w:val="false"/>
                <w:iCs w:val="false"/>
                <w:color w:val="FFFFFF"/>
                <w:sz w:val="22"/>
                <w:szCs w:val="22"/>
              </w:rPr>
              <w:t xml:space="preserve">Tema de la Práctica</w:t>
            </w:r>
          </w:p>
        </w:tc>
      </w:tr>
    </w:tbl>
    <w:p>
      <w:pPr>
        <w:spacing w:after="60"/>
      </w:pPr>
      <w:r>
        <w:rPr>
          <w:rFonts w:ascii="Arial" w:cs="Arial" w:eastAsia="Arial" w:hAnsi="Arial"/>
          <w:sz w:val="20"/>
          <w:szCs w:val="20"/>
        </w:rPr>
        <w:t xml:space="preserve"/>
      </w:r>
    </w:p>
    <w:p>
      <w:pPr>
        <w:spacing w:after="80" w:before="0" w:line="276" w:lineRule="auto"/>
        <w:jc w:val="both"/>
      </w:pPr>
      <w:r>
        <w:rPr>
          <w:rFonts w:ascii="Arial" w:cs="Arial" w:eastAsia="Arial" w:hAnsi="Arial"/>
          <w:b w:val="false"/>
          <w:bCs w:val="false"/>
          <w:i w:val="false"/>
          <w:iCs w:val="false"/>
          <w:color w:val="000000"/>
          <w:sz w:val="20"/>
          <w:szCs w:val="20"/>
        </w:rPr>
        <w:t xml:space="preserve">Comprobación experimental de la Ley de Amdahl mediante implementación y medición de un pipeline de procesamiento de datos en Apache Spark (PySpark) con tres transformaciones, comparación con procesamiento secuencial en pandas, y análisis cuantitativo del speedup obtenido vs. el speedup teórico máximo.</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3. </w:t>
            </w:r>
            <w:r>
              <w:rPr>
                <w:rFonts w:ascii="Arial" w:cs="Arial" w:eastAsia="Arial" w:hAnsi="Arial"/>
                <w:b/>
                <w:bCs/>
                <w:i w:val="false"/>
                <w:iCs w:val="false"/>
                <w:color w:val="FFFFFF"/>
                <w:sz w:val="22"/>
                <w:szCs w:val="22"/>
              </w:rPr>
              <w:t xml:space="preserve">Objetivo de la Práctica</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Objetivo General:</w:t>
      </w:r>
    </w:p>
    <w:p>
      <w:pPr>
        <w:spacing w:after="80" w:before="0" w:line="276" w:lineRule="auto"/>
        <w:jc w:val="both"/>
      </w:pPr>
      <w:r>
        <w:rPr>
          <w:rFonts w:ascii="Arial" w:cs="Arial" w:eastAsia="Arial" w:hAnsi="Arial"/>
          <w:b w:val="false"/>
          <w:bCs w:val="false"/>
          <w:i w:val="false"/>
          <w:iCs w:val="false"/>
          <w:color w:val="000000"/>
          <w:sz w:val="20"/>
          <w:szCs w:val="20"/>
        </w:rPr>
        <w:t xml:space="preserve">Comprobar experimentalmente la Ley de Amdahl implementando y midiendo el rendimiento de un pipeline distribuido de datos con Apache Spark sobre un dataset real (≥500,000 registros), comparando con el procesamiento secuencial equivalente.</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Objetivos Específicos: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Implementar las mismas 5 transformaciones con pandas (secuencial) y PySpark (distribuido).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Medir los tiempos de ejecución con precisión de microsegundos (5 repeticiones por transformación, mediana).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Calcular el speedup experimental y compararlo con el speedup teórico de Amdahl.</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Determinar la fracción serial de cada transformación y el límite práctico de paralelización.</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4. </w:t>
            </w:r>
            <w:r>
              <w:rPr>
                <w:rFonts w:ascii="Arial" w:cs="Arial" w:eastAsia="Arial" w:hAnsi="Arial"/>
                <w:b/>
                <w:bCs/>
                <w:i w:val="false"/>
                <w:iCs w:val="false"/>
                <w:color w:val="FFFFFF"/>
                <w:sz w:val="22"/>
                <w:szCs w:val="22"/>
              </w:rPr>
              <w:t xml:space="preserve">Fundamento Teórico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8"/>
                <w:szCs w:val="18"/>
              </w:rPr>
              <w:t xml:space="preserve">Instrucción Obligatoria para el Estudiante</w:t>
            </w:r>
          </w:p>
        </w:tc>
      </w:tr>
      <w:tr>
        <w:tc>
          <w:tcPr>
            <w:tcW w:type="dxa" w:w="9072"/>
            <w:tcBorders>
              <w:top w:val="single" w:color="E65100" w:sz="4"/>
              <w:left w:val="single" w:color="E65100" w:sz="4"/>
              <w:bottom w:val="single" w:color="E65100" w:sz="4"/>
              <w:right w:val="single" w:color="E65100" w:sz="4"/>
            </w:tcBorders>
            <w:shd w:fill="FFF3E0"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Desarrollar en LaTeX el fundamento teórico COMPLETO de la Unidad 4. Las ecuaciones de Amdahl y Gustafson DEBEN estar en entornos equation/align numerados. Los gráficos deben generarse con matplotlib e incluirse con \includegraphics. ≥2 referencias IEEE por subtema.</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4.1 Fundamentos de Paralelismo y Ley de Amdahl</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paralelismo de datos y de tareas, Ley de Amdahl (1967) con derivación matemática completa, speedup teórico máximo, eficiencia del paralelismo, Ley de Gustafson-Barsis como alternativa, representación gráfica del speedup vs. número de procesadores para p=0.5, 0.75, 0.9, 0.95.</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[1]  </w:t>
      </w:r>
      <w:r>
        <w:rPr>
          <w:rFonts w:ascii="Arial" w:cs="Arial" w:eastAsia="Arial" w:hAnsi="Arial"/>
          <w:b w:val="false"/>
          <w:bCs w:val="false"/>
          <w:i w:val="false"/>
          <w:iCs w:val="false"/>
          <w:color w:val="000000"/>
          <w:sz w:val="19"/>
          <w:szCs w:val="19"/>
        </w:rPr>
        <w:t xml:space="preserve">G. M. Amdahl, 'Validity of the single processor approach to achieving large scale computing capabilities,' in Proc. AFIPS Spring Joint Comput. Conf., 1967, vol. 30, pp. 483-485. doi: 10.1145/1465482.1465560.</w:t>
      </w:r>
    </w:p>
    <w:p>
      <w:pPr>
        <w:spacing w:after="60" w:before="0" w:line="276" w:lineRule="auto"/>
        <w:ind w:left="360" w:hanging="360"/>
        <w:jc w:val="both"/>
      </w:pPr>
      <w:r>
        <w:rPr>
          <w:rFonts w:ascii="Arial" w:cs="Arial" w:eastAsia="Arial" w:hAnsi="Arial"/>
          <w:b/>
          <w:bCs/>
          <w:i w:val="false"/>
          <w:iCs w:val="false"/>
          <w:color w:val="000000"/>
          <w:sz w:val="19"/>
          <w:szCs w:val="19"/>
        </w:rPr>
        <w:t xml:space="preserve">[2]  </w:t>
      </w:r>
      <w:r>
        <w:rPr>
          <w:rFonts w:ascii="Arial" w:cs="Arial" w:eastAsia="Arial" w:hAnsi="Arial"/>
          <w:b w:val="false"/>
          <w:bCs w:val="false"/>
          <w:i w:val="false"/>
          <w:iCs w:val="false"/>
          <w:color w:val="000000"/>
          <w:sz w:val="19"/>
          <w:szCs w:val="19"/>
        </w:rPr>
        <w:t xml:space="preserve">J. L. Gustafson, 'Reevaluating Amdahl's law,' Commun. ACM, vol. 31, no. 5, pp. 532-533, May 1988. doi: 10.1145/42411.42415.</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4.2 Paradigma MapReduce y Apache Hadoop</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modelo MapReduce de Dean y Ghemawat (2004), descripción formal de funciones Map y Reduce, flujo completo de ejecución (split, map, shuffle, sort, reduce), arquitectura Hadoop (HDFS y YARN), ventajas sobre procesamiento tradicional, y limitaciones para procesamiento iterativo.</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[3]  </w:t>
      </w:r>
      <w:r>
        <w:rPr>
          <w:rFonts w:ascii="Arial" w:cs="Arial" w:eastAsia="Arial" w:hAnsi="Arial"/>
          <w:b w:val="false"/>
          <w:bCs w:val="false"/>
          <w:i w:val="false"/>
          <w:iCs w:val="false"/>
          <w:color w:val="000000"/>
          <w:sz w:val="19"/>
          <w:szCs w:val="19"/>
        </w:rPr>
        <w:t xml:space="preserve">J. Dean and S. Ghemawat, 'MapReduce: Simplified data processing on large clusters,' Commun. ACM, vol. 51, no. 1, pp. 107-113, Jan. 2008. doi: 10.1145/1327452.1327492.</w:t>
      </w:r>
    </w:p>
    <w:p>
      <w:pPr>
        <w:spacing w:after="60" w:before="0" w:line="276" w:lineRule="auto"/>
        <w:ind w:left="360" w:hanging="360"/>
        <w:jc w:val="both"/>
      </w:pPr>
      <w:r>
        <w:rPr>
          <w:rFonts w:ascii="Arial" w:cs="Arial" w:eastAsia="Arial" w:hAnsi="Arial"/>
          <w:b/>
          <w:bCs/>
          <w:i w:val="false"/>
          <w:iCs w:val="false"/>
          <w:color w:val="000000"/>
          <w:sz w:val="19"/>
          <w:szCs w:val="19"/>
        </w:rPr>
        <w:t xml:space="preserve">[4]  </w:t>
      </w:r>
      <w:r>
        <w:rPr>
          <w:rFonts w:ascii="Arial" w:cs="Arial" w:eastAsia="Arial" w:hAnsi="Arial"/>
          <w:b w:val="false"/>
          <w:bCs w:val="false"/>
          <w:i w:val="false"/>
          <w:iCs w:val="false"/>
          <w:color w:val="000000"/>
          <w:sz w:val="19"/>
          <w:szCs w:val="19"/>
        </w:rPr>
        <w:t xml:space="preserve">T. White, Hadoop: The Definitive Guide, 4th ed. Sebastopol, CA, USA: O'Reilly Media, 2015. ISBN: 978-1-4919-0163-2.</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4.3 Apache Spark: Arquitectura y Modelo de Programación</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arquitectura Spark (driver, cluster manager, executors), modelo RDD y su lineage para tolerancia a fallos, DataFrames y Dataset API, lazy evaluation vs. acciones, Spark execution model (DAG, stages, tasks), comparación de rendimiento Spark vs. MapReduce.</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[5]  </w:t>
      </w:r>
      <w:r>
        <w:rPr>
          <w:rFonts w:ascii="Arial" w:cs="Arial" w:eastAsia="Arial" w:hAnsi="Arial"/>
          <w:b w:val="false"/>
          <w:bCs w:val="false"/>
          <w:i w:val="false"/>
          <w:iCs w:val="false"/>
          <w:color w:val="000000"/>
          <w:sz w:val="19"/>
          <w:szCs w:val="19"/>
        </w:rPr>
        <w:t xml:space="preserve">M. Zaharia et al., 'Resilient distributed datasets: A fault-tolerant abstraction for in-memory cluster computing,' in Proc. USENIX NSDI, 2012, pp. 15-28.</w:t>
      </w:r>
    </w:p>
    <w:p>
      <w:pPr>
        <w:spacing w:after="60" w:before="0" w:line="276" w:lineRule="auto"/>
        <w:ind w:left="360" w:hanging="360"/>
        <w:jc w:val="both"/>
      </w:pPr>
      <w:r>
        <w:rPr>
          <w:rFonts w:ascii="Arial" w:cs="Arial" w:eastAsia="Arial" w:hAnsi="Arial"/>
          <w:b/>
          <w:bCs/>
          <w:i w:val="false"/>
          <w:iCs w:val="false"/>
          <w:color w:val="000000"/>
          <w:sz w:val="19"/>
          <w:szCs w:val="19"/>
        </w:rPr>
        <w:t xml:space="preserve">[6]  </w:t>
      </w:r>
      <w:r>
        <w:rPr>
          <w:rFonts w:ascii="Arial" w:cs="Arial" w:eastAsia="Arial" w:hAnsi="Arial"/>
          <w:b w:val="false"/>
          <w:bCs w:val="false"/>
          <w:i w:val="false"/>
          <w:iCs w:val="false"/>
          <w:color w:val="000000"/>
          <w:sz w:val="19"/>
          <w:szCs w:val="19"/>
        </w:rPr>
        <w:t xml:space="preserve">B. Chambers and M. Zaharia, Spark: The Definitive Guide. Sebastopol, CA, USA: O'Reilly Media, 2018. ISBN: 978-1-4920-3251-9.</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4.4 Computación en la Nube: Modelos y Proveedores</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modelos de servicio cloud (IaaS, PaaS, SaaS, FaaS) con definición NIST, características esenciales del cloud computing, comparación AWS vs. Azure vs. GCP para procesamiento distribuido (EMR, HDInsight, Dataproc), arquitecturas Lambda y Kappa.</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[7]  </w:t>
      </w:r>
      <w:r>
        <w:rPr>
          <w:rFonts w:ascii="Arial" w:cs="Arial" w:eastAsia="Arial" w:hAnsi="Arial"/>
          <w:b w:val="false"/>
          <w:bCs w:val="false"/>
          <w:i w:val="false"/>
          <w:iCs w:val="false"/>
          <w:color w:val="000000"/>
          <w:sz w:val="19"/>
          <w:szCs w:val="19"/>
        </w:rPr>
        <w:t xml:space="preserve">P. Mell and T. Grance, 'The NIST definition of cloud computing,' NIST, Spec. Publ. 800-145, Sep. 2011. doi: 10.6028/NIST.SP.800-145.</w:t>
      </w:r>
    </w:p>
    <w:p>
      <w:pPr>
        <w:spacing w:after="60" w:before="0" w:line="276" w:lineRule="auto"/>
        <w:ind w:left="360" w:hanging="360"/>
        <w:jc w:val="both"/>
      </w:pPr>
      <w:r>
        <w:rPr>
          <w:rFonts w:ascii="Arial" w:cs="Arial" w:eastAsia="Arial" w:hAnsi="Arial"/>
          <w:b/>
          <w:bCs/>
          <w:i w:val="false"/>
          <w:iCs w:val="false"/>
          <w:color w:val="000000"/>
          <w:sz w:val="19"/>
          <w:szCs w:val="19"/>
        </w:rPr>
        <w:t xml:space="preserve">[8]  </w:t>
      </w:r>
      <w:r>
        <w:rPr>
          <w:rFonts w:ascii="Arial" w:cs="Arial" w:eastAsia="Arial" w:hAnsi="Arial"/>
          <w:b w:val="false"/>
          <w:bCs w:val="false"/>
          <w:i w:val="false"/>
          <w:iCs w:val="false"/>
          <w:color w:val="000000"/>
          <w:sz w:val="19"/>
          <w:szCs w:val="19"/>
        </w:rPr>
        <w:t xml:space="preserve">B. Burns, Designing Distributed Systems, 2nd ed. Sebastopol, CA, USA: O'Reilly Media, 2025, ch. 8-10.</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5. </w:t>
            </w:r>
            <w:r>
              <w:rPr>
                <w:rFonts w:ascii="Arial" w:cs="Arial" w:eastAsia="Arial" w:hAnsi="Arial"/>
                <w:b/>
                <w:bCs/>
                <w:i w:val="false"/>
                <w:iCs w:val="false"/>
                <w:color w:val="FFFFFF"/>
                <w:sz w:val="22"/>
                <w:szCs w:val="22"/>
              </w:rPr>
              <w:t xml:space="preserve">Procedimiento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1</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Preparación del Entorno y Dataset</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Acceder a Google Colab o Databricks Community Edition. En Colab: `!pip install pyspark==3.5.0`</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Descargar dataset real ≥500,000 registros relacionado con el dominio del PFC. Fuentes: Kaggle, INEC Ecuador (ecuadorencifras.gob.ec), datos.gob.ec, o generado con Faker (documentar fuente y licencia).</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Cargar en pandas y en PySpark DataFrame. Verificar número de registros y schema en ambos.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2</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Implementación Secuencial con pandas</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Implementar 5 transformaciones con pandas (sin paralelismo): T1: filtrado por condición compuesta, T2: groupby + aggregation (≥3 funciones), T3: join de ≥2 DataFrames, T4: columna derivada compleja, T5: ordenamiento y top-N.</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Medir cada transformación con time.perf_counter(): 5 repeticiones, calcular mediana.</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Guardar resultados de cada transformación en CSV en /data/pandas/.</w:t>
            </w:r>
          </w:p>
          <w:p>
            <w:pPr>
              <w:spacing w:after="80" w:before="60" w:line="276" w:lineRule="auto"/>
              <w:jc w:val="both"/>
            </w:pPr>
            <w:r>
              <w:rPr>
                <w:rFonts w:ascii="Arial" w:cs="Arial" w:eastAsia="Arial" w:hAnsi="Arial"/>
                <w:b/>
                <w:bCs/>
                <w:i w:val="false"/>
                <w:iCs w:val="false"/>
                <w:color w:val="E65100"/>
                <w:sz w:val="18"/>
                <w:szCs w:val="18"/>
              </w:rPr>
              <w:t xml:space="preserve">⚠ Nota: </w:t>
            </w:r>
            <w:r>
              <w:rPr>
                <w:rFonts w:ascii="Arial" w:cs="Arial" w:eastAsia="Arial" w:hAnsi="Arial"/>
                <w:b w:val="false"/>
                <w:bCs w:val="false"/>
                <w:i/>
                <w:iCs/>
                <w:color w:val="E65100"/>
                <w:sz w:val="18"/>
                <w:szCs w:val="18"/>
              </w:rPr>
              <w:t xml:space="preserve">Ejecutar cada transformación de manera independiente para medir tiempos individuales correctamente.</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3</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Implementación Distribuida con PySpark</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Inicializar SparkSession: `SparkSession.builder.config('spark.executor.instances','4').getOrCreate()`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Implementar las mismas 5 transformaciones con PySpark DataFrames. Resultados deben ser idénticos a pandas.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Medir tiempos de la misma manera (5 ejecuciones, mediana).</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Para T3 (join): medir con 1, 2 y 4 executors para el análisis de speedup.</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Verificar resultados idénticos entre pandas y PySpark para cada transformación.</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4</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Análisis Cuantitativo — Ley de Amdahl</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Para cada transformación: Speedup(S) = T_pandas / T_spark.</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Para T3 con 1,2,4 executors: calcular fracción serial p con la fórmula inversa: p = (1/S - 1/N) / (1 - 1/N).</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Calcular speedup teórico máximo predicho por Amdahl para N→∞ con el p obtenido.</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Generar con matplotlib: (a) barras: tiempos pandas vs. PySpark por transformación, (b) curva speedup vs. N con curva Amdahl superpuesta, (c) eficiencia E=S/N vs. N. Exportar como PNG 300 DPI.</w:t>
            </w:r>
          </w:p>
          <w:p>
            <w:pPr>
              <w:spacing w:after="80" w:before="60" w:line="276" w:lineRule="auto"/>
              <w:jc w:val="both"/>
            </w:pPr>
            <w:r>
              <w:rPr>
                <w:rFonts w:ascii="Arial" w:cs="Arial" w:eastAsia="Arial" w:hAnsi="Arial"/>
                <w:b/>
                <w:bCs/>
                <w:i w:val="false"/>
                <w:iCs w:val="false"/>
                <w:color w:val="E65100"/>
                <w:sz w:val="18"/>
                <w:szCs w:val="18"/>
              </w:rPr>
              <w:t xml:space="preserve">⚠ Nota: </w:t>
            </w:r>
            <w:r>
              <w:rPr>
                <w:rFonts w:ascii="Arial" w:cs="Arial" w:eastAsia="Arial" w:hAnsi="Arial"/>
                <w:b w:val="false"/>
                <w:bCs w:val="false"/>
                <w:i/>
                <w:iCs/>
                <w:color w:val="E65100"/>
                <w:sz w:val="18"/>
                <w:szCs w:val="18"/>
              </w:rPr>
              <w:t xml:space="preserve">La comparación curva teórica vs. speedup real es el núcleo del análisis — debe documentarse con ecuaciones LaTeX numeradas.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5</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Documento LaTeX</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Incluir: fundamento teórico U4 completo con ecuaciones Amdahl/Gustafson en entornos equation, código PySpark en lstlisting, tabla booktabs de tiempos medidos, tres figuras matplotlib con captions, análisis de cada figura, cálculo de speedup con trabajo matemático explícito, respuestas a las preguntas del Anexo A, conclusiones individuales, bibliografía (≥8 referencias IEEE).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Mínimo 14 páginas de contenido. Compilar sin errores.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6. </w:t>
            </w:r>
            <w:r>
              <w:rPr>
                <w:rFonts w:ascii="Arial" w:cs="Arial" w:eastAsia="Arial" w:hAnsi="Arial"/>
                <w:b/>
                <w:bCs/>
                <w:i w:val="false"/>
                <w:iCs w:val="false"/>
                <w:color w:val="FFFFFF"/>
                <w:sz w:val="22"/>
                <w:szCs w:val="22"/>
              </w:rPr>
              <w:t xml:space="preserve">Materiales, Equipos, Insumos y Reactivos</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6.1 Plataformas de Cómputo</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Google Colab (https://colab.research.google.com) — gratuito, 12 GB RAM, GPU opcional. Recomendado.</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Databricks Community Edition (https://community.cloud.databricks.com) — gratuito, Spark preinstalado.</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Instalación local: Python 3.10+, Apache Spark 3.5.0, Java 11+ (requisito de Spark).</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6.2 Software y Librerías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PySpark 3.5.0: `pip install pyspark`</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pandas 2.x, matplotlib 3.x, numpy 1.x (estándar Python para medición)</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Kaggle API (opcional): `pip install kaggle` para descarga de datasets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LaTeX con: listings, booktabs, graphicx, amsmath, siunitx (unidades de tiempo)</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7. </w:t>
            </w:r>
            <w:r>
              <w:rPr>
                <w:rFonts w:ascii="Arial" w:cs="Arial" w:eastAsia="Arial" w:hAnsi="Arial"/>
                <w:b/>
                <w:bCs/>
                <w:i w:val="false"/>
                <w:iCs w:val="false"/>
                <w:color w:val="FFFFFF"/>
                <w:sz w:val="22"/>
                <w:szCs w:val="22"/>
              </w:rPr>
              <w:t xml:space="preserve">Bibliografía de la Guía (Norma IEEE)</w:t>
            </w:r>
          </w:p>
        </w:tc>
      </w:tr>
    </w:tbl>
    <w:p>
      <w:pPr>
        <w:spacing w:after="60"/>
      </w:pPr>
      <w:r>
        <w:rPr>
          <w:rFonts w:ascii="Arial" w:cs="Arial" w:eastAsia="Arial" w:hAnsi="Arial"/>
          <w:sz w:val="20"/>
          <w:szCs w:val="20"/>
        </w:rPr>
        <w:t xml:space="preserve"/>
      </w:r>
    </w:p>
    <w:p>
      <w:pPr>
        <w:spacing w:after="60" w:before="0" w:line="276" w:lineRule="auto"/>
        <w:ind w:left="360" w:hanging="360"/>
        <w:jc w:val="both"/>
      </w:pPr>
      <w:r>
        <w:rPr>
          <w:rFonts w:ascii="Arial" w:cs="Arial" w:eastAsia="Arial" w:hAnsi="Arial"/>
          <w:b/>
          <w:bCs/>
          <w:i w:val="false"/>
          <w:iCs w:val="false"/>
          <w:color w:val="000000"/>
          <w:sz w:val="19"/>
          <w:szCs w:val="19"/>
        </w:rPr>
        <w:t xml:space="preserve">[1]  </w:t>
      </w:r>
      <w:r>
        <w:rPr>
          <w:rFonts w:ascii="Arial" w:cs="Arial" w:eastAsia="Arial" w:hAnsi="Arial"/>
          <w:b w:val="false"/>
          <w:bCs w:val="false"/>
          <w:i w:val="false"/>
          <w:iCs w:val="false"/>
          <w:color w:val="000000"/>
          <w:sz w:val="19"/>
          <w:szCs w:val="19"/>
        </w:rPr>
        <w:t xml:space="preserve">G. M. Amdahl, 'Validity of the single processor approach,' in Proc. AFIPS Spring Joint Comput. Conf., 1967, pp. 483-485. doi: 10.1145/1465482.1465560.</w:t>
      </w:r>
    </w:p>
    <w:p>
      <w:pPr>
        <w:spacing w:after="60" w:before="0" w:line="276" w:lineRule="auto"/>
        <w:ind w:left="360" w:hanging="360"/>
        <w:jc w:val="both"/>
      </w:pPr>
      <w:r>
        <w:rPr>
          <w:rFonts w:ascii="Arial" w:cs="Arial" w:eastAsia="Arial" w:hAnsi="Arial"/>
          <w:b/>
          <w:bCs/>
          <w:i w:val="false"/>
          <w:iCs w:val="false"/>
          <w:color w:val="000000"/>
          <w:sz w:val="19"/>
          <w:szCs w:val="19"/>
        </w:rPr>
        <w:t xml:space="preserve">[2]  </w:t>
      </w:r>
      <w:r>
        <w:rPr>
          <w:rFonts w:ascii="Arial" w:cs="Arial" w:eastAsia="Arial" w:hAnsi="Arial"/>
          <w:b w:val="false"/>
          <w:bCs w:val="false"/>
          <w:i w:val="false"/>
          <w:iCs w:val="false"/>
          <w:color w:val="000000"/>
          <w:sz w:val="19"/>
          <w:szCs w:val="19"/>
        </w:rPr>
        <w:t xml:space="preserve">J. Dean and S. Ghemawat, 'MapReduce: Simplified data processing on large clusters,' Commun. ACM, vol. 51, no. 1, pp. 107-113, Jan. 2008. doi: 10.1145/1327452.1327492.</w:t>
      </w:r>
    </w:p>
    <w:p>
      <w:pPr>
        <w:spacing w:after="60" w:before="0" w:line="276" w:lineRule="auto"/>
        <w:ind w:left="360" w:hanging="360"/>
        <w:jc w:val="both"/>
      </w:pPr>
      <w:r>
        <w:rPr>
          <w:rFonts w:ascii="Arial" w:cs="Arial" w:eastAsia="Arial" w:hAnsi="Arial"/>
          <w:b/>
          <w:bCs/>
          <w:i w:val="false"/>
          <w:iCs w:val="false"/>
          <w:color w:val="000000"/>
          <w:sz w:val="19"/>
          <w:szCs w:val="19"/>
        </w:rPr>
        <w:t xml:space="preserve">[3]  </w:t>
      </w:r>
      <w:r>
        <w:rPr>
          <w:rFonts w:ascii="Arial" w:cs="Arial" w:eastAsia="Arial" w:hAnsi="Arial"/>
          <w:b w:val="false"/>
          <w:bCs w:val="false"/>
          <w:i w:val="false"/>
          <w:iCs w:val="false"/>
          <w:color w:val="000000"/>
          <w:sz w:val="19"/>
          <w:szCs w:val="19"/>
        </w:rPr>
        <w:t xml:space="preserve">M. Zaharia et al., 'Resilient distributed datasets: A fault-tolerant abstraction for in-memory cluster computing,' in Proc. USENIX NSDI, 2012, pp. 15-28.</w:t>
      </w:r>
    </w:p>
    <w:p>
      <w:pPr>
        <w:spacing w:after="60" w:before="0" w:line="276" w:lineRule="auto"/>
        <w:ind w:left="360" w:hanging="360"/>
        <w:jc w:val="both"/>
      </w:pPr>
      <w:r>
        <w:rPr>
          <w:rFonts w:ascii="Arial" w:cs="Arial" w:eastAsia="Arial" w:hAnsi="Arial"/>
          <w:b/>
          <w:bCs/>
          <w:i w:val="false"/>
          <w:iCs w:val="false"/>
          <w:color w:val="000000"/>
          <w:sz w:val="19"/>
          <w:szCs w:val="19"/>
        </w:rPr>
        <w:t xml:space="preserve">[4]  </w:t>
      </w:r>
      <w:r>
        <w:rPr>
          <w:rFonts w:ascii="Arial" w:cs="Arial" w:eastAsia="Arial" w:hAnsi="Arial"/>
          <w:b w:val="false"/>
          <w:bCs w:val="false"/>
          <w:i w:val="false"/>
          <w:iCs w:val="false"/>
          <w:color w:val="000000"/>
          <w:sz w:val="19"/>
          <w:szCs w:val="19"/>
        </w:rPr>
        <w:t xml:space="preserve">B. Chambers and M. Zaharia, Spark: The Definitive Guide. Sebastopol, CA, USA: O'Reilly Media, 2018. ISBN: 978-1-4920-3251-9.</w:t>
      </w:r>
    </w:p>
    <w:p>
      <w:pPr>
        <w:spacing w:after="60" w:before="0" w:line="276" w:lineRule="auto"/>
        <w:ind w:left="360" w:hanging="360"/>
        <w:jc w:val="both"/>
      </w:pPr>
      <w:r>
        <w:rPr>
          <w:rFonts w:ascii="Arial" w:cs="Arial" w:eastAsia="Arial" w:hAnsi="Arial"/>
          <w:b/>
          <w:bCs/>
          <w:i w:val="false"/>
          <w:iCs w:val="false"/>
          <w:color w:val="000000"/>
          <w:sz w:val="19"/>
          <w:szCs w:val="19"/>
        </w:rPr>
        <w:t xml:space="preserve">[5]  </w:t>
      </w:r>
      <w:r>
        <w:rPr>
          <w:rFonts w:ascii="Arial" w:cs="Arial" w:eastAsia="Arial" w:hAnsi="Arial"/>
          <w:b w:val="false"/>
          <w:bCs w:val="false"/>
          <w:i w:val="false"/>
          <w:iCs w:val="false"/>
          <w:color w:val="000000"/>
          <w:sz w:val="19"/>
          <w:szCs w:val="19"/>
        </w:rPr>
        <w:t xml:space="preserve">J. L. Gustafson, 'Reevaluating Amdahl's law,' Commun. ACM, vol. 31, no. 5, pp. 532-533, May 1988. doi: 10.1145/42411.42415.</w:t>
      </w:r>
    </w:p>
    <w:p>
      <w:pPr>
        <w:spacing w:after="60" w:before="0" w:line="276" w:lineRule="auto"/>
        <w:ind w:left="360" w:hanging="360"/>
        <w:jc w:val="both"/>
      </w:pPr>
      <w:r>
        <w:rPr>
          <w:rFonts w:ascii="Arial" w:cs="Arial" w:eastAsia="Arial" w:hAnsi="Arial"/>
          <w:b/>
          <w:bCs/>
          <w:i w:val="false"/>
          <w:iCs w:val="false"/>
          <w:color w:val="000000"/>
          <w:sz w:val="19"/>
          <w:szCs w:val="19"/>
        </w:rPr>
        <w:t xml:space="preserve">[6]  </w:t>
      </w:r>
      <w:r>
        <w:rPr>
          <w:rFonts w:ascii="Arial" w:cs="Arial" w:eastAsia="Arial" w:hAnsi="Arial"/>
          <w:b w:val="false"/>
          <w:bCs w:val="false"/>
          <w:i w:val="false"/>
          <w:iCs w:val="false"/>
          <w:color w:val="000000"/>
          <w:sz w:val="19"/>
          <w:szCs w:val="19"/>
        </w:rPr>
        <w:t xml:space="preserve">P. Mell and T. Grance, 'The NIST definition of cloud computing,' NIST Spec. Publ. 800-145, 2011. doi: 10.6028/NIST.SP.800-145.</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8. </w:t>
            </w:r>
            <w:r>
              <w:rPr>
                <w:rFonts w:ascii="Arial" w:cs="Arial" w:eastAsia="Arial" w:hAnsi="Arial"/>
                <w:b/>
                <w:bCs/>
                <w:i w:val="false"/>
                <w:iCs w:val="false"/>
                <w:color w:val="FFFFFF"/>
                <w:sz w:val="22"/>
                <w:szCs w:val="22"/>
              </w:rPr>
              <w:t xml:space="preserve">Anexos</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Anexo A — Preguntas de análisis obligatorias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Calcula el speedup teórico máximo (N→∞) para la transformación T3 con el valor de p que obtuviste. ¿Con cuántos procesadores se alcanza el 90% del speedup máximo? Muestra el trabajo matemático completo.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¿Por qué algunas transformaciones muestran speedup &lt;1 (PySpark más lento que pandas)? ¿Cuál es el costo de overhead de Spark y qué tamaño mínimo de dataset justifica el uso de Spark?</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¿Cómo implementarías el pipeline del PFC con Spark Structured Streaming si los datos llegaran en tiempo real? Describe la arquitectura.</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¿Por qué Spark es más eficiente que MapReduce para procesamiento iterativo? Justifica con los conceptos de RDD lineage y lazy evaluation.</w:t>
      </w:r>
    </w:p>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7440"/>
      </w:tblGrid>
      <w:tr>
        <w:tc>
          <w:tcPr>
            <w:tcW w:type="dxa" w:w="1632"/>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34"/>
                <w:szCs w:val="34"/>
              </w:rPr>
              <w:t xml:space="preserve">UTEQ</w:t>
            </w:r>
          </w:p>
        </w:tc>
        <w:tc>
          <w:tcPr>
            <w:tcW w:type="dxa" w:w="7440"/>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top"/>
          </w:tcPr>
          <w:p>
            <w:pPr>
              <w:spacing w:after="40" w:before="0" w:line="276" w:lineRule="auto"/>
              <w:jc w:val="both"/>
            </w:pPr>
            <w:r>
              <w:rPr>
                <w:rFonts w:ascii="Arial" w:cs="Arial" w:eastAsia="Arial" w:hAnsi="Arial"/>
                <w:b/>
                <w:bCs/>
                <w:i w:val="false"/>
                <w:iCs w:val="false"/>
                <w:color w:val="FFFFFF"/>
                <w:sz w:val="22"/>
                <w:szCs w:val="22"/>
              </w:rPr>
              <w:t xml:space="preserve">Universidad Técnica Estatal de Quevedo</w:t>
            </w:r>
          </w:p>
          <w:p>
            <w:pPr>
              <w:spacing w:after="20" w:before="0" w:line="276" w:lineRule="auto"/>
              <w:jc w:val="both"/>
            </w:pPr>
            <w:r>
              <w:rPr>
                <w:rFonts w:ascii="Arial" w:cs="Arial" w:eastAsia="Arial" w:hAnsi="Arial"/>
                <w:b w:val="false"/>
                <w:bCs w:val="false"/>
                <w:i w:val="false"/>
                <w:iCs w:val="false"/>
                <w:color w:val="FFFFFF"/>
                <w:sz w:val="19"/>
                <w:szCs w:val="19"/>
              </w:rPr>
              <w:t xml:space="preserve">Facultad de Ciencias de la Computación y Diseño Digital</w:t>
            </w:r>
          </w:p>
          <w:p>
            <w:pPr>
              <w:spacing w:after="80" w:before="0" w:line="276" w:lineRule="auto"/>
              <w:jc w:val="both"/>
            </w:pPr>
            <w:r>
              <w:rPr>
                <w:rFonts w:ascii="Arial" w:cs="Arial" w:eastAsia="Arial" w:hAnsi="Arial"/>
                <w:b w:val="false"/>
                <w:bCs w:val="false"/>
                <w:i w:val="false"/>
                <w:iCs w:val="false"/>
                <w:color w:val="FFFFFF"/>
                <w:sz w:val="19"/>
                <w:szCs w:val="19"/>
              </w:rPr>
              <w:t xml:space="preserve">Carrera de Ingeniería de Software</w:t>
            </w:r>
          </w:p>
        </w:tc>
      </w:tr>
    </w:tbl>
    <w:p>
      <w:pPr>
        <w:spacing w:after="60"/>
      </w:pPr>
      <w:r>
        <w:rPr>
          <w:rFonts w:ascii="Arial" w:cs="Arial" w:eastAsia="Arial" w:hAnsi="Arial"/>
          <w:sz w:val="20"/>
          <w:szCs w:val="20"/>
        </w:rPr>
        <w:t xml:space="preserve"/>
      </w:r>
    </w:p>
    <w:p>
      <w:pPr>
        <w:spacing w:after="60" w:before="0" w:line="276" w:lineRule="auto"/>
        <w:jc w:val="center"/>
      </w:pPr>
      <w:r>
        <w:rPr>
          <w:rFonts w:ascii="Arial" w:cs="Arial" w:eastAsia="Arial" w:hAnsi="Arial"/>
          <w:b/>
          <w:bCs/>
          <w:i w:val="false"/>
          <w:iCs w:val="false"/>
          <w:color w:val="006064"/>
          <w:sz w:val="28"/>
          <w:szCs w:val="28"/>
        </w:rPr>
        <w:t xml:space="preserve">GUÍA DE PRÁCTICA EXPERIMENTAL N° 5</w:t>
      </w:r>
    </w:p>
    <w:p>
      <w:pPr>
        <w:spacing w:after="40" w:before="0" w:line="276" w:lineRule="auto"/>
        <w:jc w:val="center"/>
      </w:pPr>
      <w:r>
        <w:rPr>
          <w:rFonts w:ascii="Arial" w:cs="Arial" w:eastAsia="Arial" w:hAnsi="Arial"/>
          <w:b/>
          <w:bCs/>
          <w:i w:val="false"/>
          <w:iCs w:val="false"/>
          <w:color w:val="000000"/>
          <w:sz w:val="22"/>
          <w:szCs w:val="22"/>
        </w:rPr>
        <w:t xml:space="preserve">Aplicación Distribuida en Capas: CI/CD, Observabilidad y Calidad ISO/IEC 25010 — PFC Entrega Final</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c>
          <w:tcPr>
            <w:tcW w:type="dxa" w:w="9072"/>
            <w:gridSpan w:val="2"/>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7"/>
                <w:szCs w:val="17"/>
              </w:rPr>
              <w:t xml:space="preserve">Datos generales de la práctica</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Asignatura: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Aplicaciones Distribuidas</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Unidad: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5: Desarrollo de Aplicación en Capas</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Tipo de actividad: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Aplicación de contenidos conceptuales y procedimentales</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Semana de entrega: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17</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Período académico:</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Regular 2025-2026 SPA</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Código actividad:</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GA-SUM-05</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Docente:</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del docente]</w:t>
            </w:r>
          </w:p>
        </w:tc>
      </w:tr>
      <w:tr>
        <w:tc>
          <w:tcPr>
            <w:tcW w:type="dxa" w:w="2721"/>
            <w:tcBorders>
              <w:top w:val="single" w:color="9E9E9E" w:sz="4"/>
              <w:left w:val="single" w:color="9E9E9E" w:sz="4"/>
              <w:bottom w:val="single" w:color="9E9E9E" w:sz="4"/>
              <w:right w:val="single" w:color="9E9E9E" w:sz="4"/>
            </w:tcBorders>
            <w:shd w:fill="D9EAD3"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Fecha de entrega:</w:t>
            </w:r>
          </w:p>
        </w:tc>
        <w:tc>
          <w:tcPr>
            <w:tcW w:type="dxa" w:w="6351"/>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[Fecha según cronograma]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9072"/>
            <w:gridSpan w:val="2"/>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7"/>
                <w:szCs w:val="17"/>
              </w:rPr>
              <w:t xml:space="preserve">Datos del Equipo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1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Arquitecto]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2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Desarrollador]</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3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Resp. Calidad]</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Integrante 4 / Rol:</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[Nombre — Documentalista]</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URL Repositorio GitHub:</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[https://github.com/equipo/proyecto]</w:t>
            </w:r>
          </w:p>
        </w:tc>
      </w:tr>
      <w:tr>
        <w:tc>
          <w:tcPr>
            <w:tcW w:type="dxa" w:w="4536"/>
            <w:tcBorders>
              <w:top w:val="single" w:color="9E9E9E" w:sz="4"/>
              <w:left w:val="single" w:color="9E9E9E" w:sz="4"/>
              <w:bottom w:val="single" w:color="9E9E9E" w:sz="4"/>
              <w:right w:val="single" w:color="9E9E9E" w:sz="4"/>
            </w:tcBorders>
            <w:shd w:fill="F5F5F5"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Calificación (docente):</w:t>
            </w:r>
          </w:p>
        </w:tc>
        <w:tc>
          <w:tcPr>
            <w:tcW w:type="dxa" w:w="4536"/>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___ / 100</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1. </w:t>
            </w:r>
            <w:r>
              <w:rPr>
                <w:rFonts w:ascii="Arial" w:cs="Arial" w:eastAsia="Arial" w:hAnsi="Arial"/>
                <w:b/>
                <w:bCs/>
                <w:i w:val="false"/>
                <w:iCs w:val="false"/>
                <w:color w:val="FFFFFF"/>
                <w:sz w:val="22"/>
                <w:szCs w:val="22"/>
              </w:rPr>
              <w:t xml:space="preserve">Tipo de Actividad</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c>
          <w:tcPr>
            <w:tcW w:type="dxa" w:w="2903"/>
            <w:tcBorders>
              <w:top w:val="single" w:color="9E9E9E" w:sz="4"/>
              <w:left w:val="single" w:color="9E9E9E" w:sz="4"/>
              <w:bottom w:val="single" w:color="9E9E9E" w:sz="4"/>
              <w:right w:val="single" w:color="9E9E9E"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Tipo de actividad:</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Aplicación de contenidos conceptuales y procedimentales</w:t>
            </w:r>
          </w:p>
        </w:tc>
      </w:tr>
      <w:tr>
        <w:tc>
          <w:tcPr>
            <w:tcW w:type="dxa" w:w="2903"/>
            <w:tcBorders>
              <w:top w:val="single" w:color="9E9E9E" w:sz="4"/>
              <w:left w:val="single" w:color="9E9E9E" w:sz="4"/>
              <w:bottom w:val="single" w:color="9E9E9E" w:sz="4"/>
              <w:right w:val="single" w:color="9E9E9E"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Modalidad:</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Grupal (equipos de 3-4 estudiantes)</w:t>
            </w:r>
          </w:p>
        </w:tc>
      </w:tr>
      <w:tr>
        <w:tc>
          <w:tcPr>
            <w:tcW w:type="dxa" w:w="2903"/>
            <w:tcBorders>
              <w:top w:val="single" w:color="9E9E9E" w:sz="4"/>
              <w:left w:val="single" w:color="9E9E9E" w:sz="4"/>
              <w:bottom w:val="single" w:color="9E9E9E" w:sz="4"/>
              <w:right w:val="single" w:color="9E9E9E"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Duración:</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3 horas de laboratorio + 8 horas autónomas (constituye la Entrega 4 y Final del PFC)</w:t>
            </w:r>
          </w:p>
        </w:tc>
      </w:tr>
      <w:tr>
        <w:tc>
          <w:tcPr>
            <w:tcW w:type="dxa" w:w="2903"/>
            <w:tcBorders>
              <w:top w:val="single" w:color="9E9E9E" w:sz="4"/>
              <w:left w:val="single" w:color="9E9E9E" w:sz="4"/>
              <w:bottom w:val="single" w:color="9E9E9E" w:sz="4"/>
              <w:right w:val="single" w:color="9E9E9E"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Entregable:</w:t>
            </w:r>
          </w:p>
        </w:tc>
        <w:tc>
          <w:tcPr>
            <w:tcW w:type="dxa" w:w="6169"/>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Sistema completo en GitHub + Documento LaTeX acumulativo (≥20 páginas) + Dashboard Grafana + Defensa oral</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2. </w:t>
            </w:r>
            <w:r>
              <w:rPr>
                <w:rFonts w:ascii="Arial" w:cs="Arial" w:eastAsia="Arial" w:hAnsi="Arial"/>
                <w:b/>
                <w:bCs/>
                <w:i w:val="false"/>
                <w:iCs w:val="false"/>
                <w:color w:val="FFFFFF"/>
                <w:sz w:val="22"/>
                <w:szCs w:val="22"/>
              </w:rPr>
              <w:t xml:space="preserve">Tema de la Práctica</w:t>
            </w:r>
          </w:p>
        </w:tc>
      </w:tr>
    </w:tbl>
    <w:p>
      <w:pPr>
        <w:spacing w:after="60"/>
      </w:pPr>
      <w:r>
        <w:rPr>
          <w:rFonts w:ascii="Arial" w:cs="Arial" w:eastAsia="Arial" w:hAnsi="Arial"/>
          <w:sz w:val="20"/>
          <w:szCs w:val="20"/>
        </w:rPr>
        <w:t xml:space="preserve"/>
      </w:r>
    </w:p>
    <w:p>
      <w:pPr>
        <w:spacing w:after="80" w:before="0" w:line="276" w:lineRule="auto"/>
        <w:jc w:val="both"/>
      </w:pPr>
      <w:r>
        <w:rPr>
          <w:rFonts w:ascii="Arial" w:cs="Arial" w:eastAsia="Arial" w:hAnsi="Arial"/>
          <w:b w:val="false"/>
          <w:bCs w:val="false"/>
          <w:i w:val="false"/>
          <w:iCs w:val="false"/>
          <w:color w:val="000000"/>
          <w:sz w:val="20"/>
          <w:szCs w:val="20"/>
        </w:rPr>
        <w:t xml:space="preserve">Implementación de la capa de calidad en la aplicación distribuida del PFC: pipeline CI/CD con GitHub Actions, observabilidad distribuida con la tríada métricas-logs-trazas (Prometheus + Grafana), pruebas automatizadas (unitarias, integración, carga), y evaluación de calidad según ISO/IEC 25010:2023.</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3. </w:t>
            </w:r>
            <w:r>
              <w:rPr>
                <w:rFonts w:ascii="Arial" w:cs="Arial" w:eastAsia="Arial" w:hAnsi="Arial"/>
                <w:b/>
                <w:bCs/>
                <w:i w:val="false"/>
                <w:iCs w:val="false"/>
                <w:color w:val="FFFFFF"/>
                <w:sz w:val="22"/>
                <w:szCs w:val="22"/>
              </w:rPr>
              <w:t xml:space="preserve">Objetivo de la Práctica</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Objetivo General:</w:t>
      </w:r>
    </w:p>
    <w:p>
      <w:pPr>
        <w:spacing w:after="80" w:before="0" w:line="276" w:lineRule="auto"/>
        <w:jc w:val="both"/>
      </w:pPr>
      <w:r>
        <w:rPr>
          <w:rFonts w:ascii="Arial" w:cs="Arial" w:eastAsia="Arial" w:hAnsi="Arial"/>
          <w:b w:val="false"/>
          <w:bCs w:val="false"/>
          <w:i w:val="false"/>
          <w:iCs w:val="false"/>
          <w:color w:val="000000"/>
          <w:sz w:val="20"/>
          <w:szCs w:val="20"/>
        </w:rPr>
        <w:t xml:space="preserve">Implementar un pipeline CI/CD completo y un sistema de observabilidad distribuida para el PFC, evaluar la calidad del sistema con ISO/IEC 25010:2023, y documentar el proyecto completo del período en un documento LaTeX de calidad académica total que sirva como portafolio profesional.</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Objetivos Específicos: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Implementar un pipeline CI/CD con GitHub Actions: pruebas automatizadas, build Docker y análisis de calidad de código.</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Configurar observabilidad: logging estructurado JSON, métricas Prometheus y dashboard Grafana Cloud.</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Ejecutar y documentar pruebas unitarias (cobertura ≥70%), de integración y de carga (Locust).</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Evaluar el sistema contra 5 atributos de calidad de ISO/IEC 25010:2023 con métricas reales.</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4. </w:t>
            </w:r>
            <w:r>
              <w:rPr>
                <w:rFonts w:ascii="Arial" w:cs="Arial" w:eastAsia="Arial" w:hAnsi="Arial"/>
                <w:b/>
                <w:bCs/>
                <w:i w:val="false"/>
                <w:iCs w:val="false"/>
                <w:color w:val="FFFFFF"/>
                <w:sz w:val="22"/>
                <w:szCs w:val="22"/>
              </w:rPr>
              <w:t xml:space="preserve">Fundamento Teórico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65100" w:sz="2"/>
              <w:left w:val="single" w:color="E65100" w:sz="2"/>
              <w:bottom w:val="single" w:color="E65100" w:sz="2"/>
              <w:right w:val="single" w:color="E65100" w:sz="2"/>
            </w:tcBorders>
            <w:shd w:fill="E65100"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FFFFFF"/>
                <w:sz w:val="18"/>
                <w:szCs w:val="18"/>
              </w:rPr>
              <w:t xml:space="preserve">Instrucción Obligatoria — Documento Acumulativo del PFC</w:t>
            </w:r>
          </w:p>
        </w:tc>
      </w:tr>
      <w:tr>
        <w:tc>
          <w:tcPr>
            <w:tcW w:type="dxa" w:w="9072"/>
            <w:tcBorders>
              <w:top w:val="single" w:color="E65100" w:sz="4"/>
              <w:left w:val="single" w:color="E65100" w:sz="4"/>
              <w:bottom w:val="single" w:color="E65100" w:sz="4"/>
              <w:right w:val="single" w:color="E65100" w:sz="4"/>
            </w:tcBorders>
            <w:shd w:fill="FFF3E0"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9"/>
                <w:szCs w:val="19"/>
              </w:rPr>
              <w:t xml:space="preserve">Esta práctica ES el documento final del PFC (Entrega 4). Es ACUMULATIVO: incluye todas las secciones de las Entregas 1-3 ACTUALIZADAS, más las secciones nuevas de la Unidad 5. Mínimo 20 páginas de contenido. Bibliografía total: ≥12 referencias IEEE verificadas.</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4.1 Arquitectura en Capas y Patrones de Diseño Distribuido</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patrón N-capas en sistemas distribuidos, principios SOLID aplicados a microservicios, patrones de diseño GoF más usados en SD (Repository, Factory Method, Proxy, Observer, Strategy, Decorator), inyección de dependencias y frameworks IoC, y cómo estos patrones reducen el acoplamiento.</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[1]  </w:t>
      </w:r>
      <w:r>
        <w:rPr>
          <w:rFonts w:ascii="Arial" w:cs="Arial" w:eastAsia="Arial" w:hAnsi="Arial"/>
          <w:b w:val="false"/>
          <w:bCs w:val="false"/>
          <w:i w:val="false"/>
          <w:iCs w:val="false"/>
          <w:color w:val="000000"/>
          <w:sz w:val="19"/>
          <w:szCs w:val="19"/>
        </w:rPr>
        <w:t xml:space="preserve">E. Gamma, R. Helm, R. Johnson, and J. Vlissides, Design Patterns: Elements of Reusable Object-Oriented Software. Reading, MA, USA: Addison-Wesley, 1994. ISBN: 978-0-201-63361-0.</w:t>
      </w:r>
    </w:p>
    <w:p>
      <w:pPr>
        <w:spacing w:after="60" w:before="0" w:line="276" w:lineRule="auto"/>
        <w:ind w:left="360" w:hanging="360"/>
        <w:jc w:val="both"/>
      </w:pPr>
      <w:r>
        <w:rPr>
          <w:rFonts w:ascii="Arial" w:cs="Arial" w:eastAsia="Arial" w:hAnsi="Arial"/>
          <w:b/>
          <w:bCs/>
          <w:i w:val="false"/>
          <w:iCs w:val="false"/>
          <w:color w:val="000000"/>
          <w:sz w:val="19"/>
          <w:szCs w:val="19"/>
        </w:rPr>
        <w:t xml:space="preserve">[2]  </w:t>
      </w:r>
      <w:r>
        <w:rPr>
          <w:rFonts w:ascii="Arial" w:cs="Arial" w:eastAsia="Arial" w:hAnsi="Arial"/>
          <w:b w:val="false"/>
          <w:bCs w:val="false"/>
          <w:i w:val="false"/>
          <w:iCs w:val="false"/>
          <w:color w:val="000000"/>
          <w:sz w:val="19"/>
          <w:szCs w:val="19"/>
        </w:rPr>
        <w:t xml:space="preserve">S. Newman, Building Microservices, 2nd ed. Sebastopol, CA, USA: O'Reilly Media, 2021, ch. 12-15.</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4.2 Pruebas en Sistemas Distribuidos</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pirámide de pruebas adaptada a microservicios (unitarias, integración, contrato, extremo a extremo), pruebas de contrato con Pact (Consumer-Driven Contract Testing), pruebas de carga con Locust o k6, cobertura de código como métrica de calidad, y herramientas de análisis estático (SonarCloud, Pylint, ESLint).</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[3]  </w:t>
      </w:r>
      <w:r>
        <w:rPr>
          <w:rFonts w:ascii="Arial" w:cs="Arial" w:eastAsia="Arial" w:hAnsi="Arial"/>
          <w:b w:val="false"/>
          <w:bCs w:val="false"/>
          <w:i w:val="false"/>
          <w:iCs w:val="false"/>
          <w:color w:val="000000"/>
          <w:sz w:val="19"/>
          <w:szCs w:val="19"/>
        </w:rPr>
        <w:t xml:space="preserve">T. Winters, T. Manshreck, and H. Wright, Software Engineering at Google. Sebastopol, CA, USA: O'Reilly Media, 2020. ISBN: 978-1-4920-8276-8.</w:t>
      </w:r>
    </w:p>
    <w:p>
      <w:pPr>
        <w:spacing w:after="60" w:before="0" w:line="276" w:lineRule="auto"/>
        <w:ind w:left="360" w:hanging="360"/>
        <w:jc w:val="both"/>
      </w:pPr>
      <w:r>
        <w:rPr>
          <w:rFonts w:ascii="Arial" w:cs="Arial" w:eastAsia="Arial" w:hAnsi="Arial"/>
          <w:b/>
          <w:bCs/>
          <w:i w:val="false"/>
          <w:iCs w:val="false"/>
          <w:color w:val="000000"/>
          <w:sz w:val="19"/>
          <w:szCs w:val="19"/>
        </w:rPr>
        <w:t xml:space="preserve">[4]  </w:t>
      </w:r>
      <w:r>
        <w:rPr>
          <w:rFonts w:ascii="Arial" w:cs="Arial" w:eastAsia="Arial" w:hAnsi="Arial"/>
          <w:b w:val="false"/>
          <w:bCs w:val="false"/>
          <w:i w:val="false"/>
          <w:iCs w:val="false"/>
          <w:color w:val="000000"/>
          <w:sz w:val="19"/>
          <w:szCs w:val="19"/>
        </w:rPr>
        <w:t xml:space="preserve">C. Richardson, Microservices Patterns. Shelter Island, NY, USA: Manning Publications, 2018, ch. 11, pp. 357-402.</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4.3 DevOps: CI/CD con GitHub Actions</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concepto DevOps y cultura desarrollo-operaciones, pipeline CI/CD (etapas: build, test, lint, publish, deploy), sintaxis YAML de GitHub Actions (triggers, jobs, steps, marketplace actions), estrategias de despliegue (blue-green, canary, rolling update), y integración de cobertura de código en el pipeline.</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[5]  </w:t>
      </w:r>
      <w:r>
        <w:rPr>
          <w:rFonts w:ascii="Arial" w:cs="Arial" w:eastAsia="Arial" w:hAnsi="Arial"/>
          <w:b w:val="false"/>
          <w:bCs w:val="false"/>
          <w:i w:val="false"/>
          <w:iCs w:val="false"/>
          <w:color w:val="000000"/>
          <w:sz w:val="19"/>
          <w:szCs w:val="19"/>
        </w:rPr>
        <w:t xml:space="preserve">G. Kim, J. Humble, P. Debois, and J. Willis, The DevOps Handbook, 2nd ed. Portland, OR, USA: IT Revolution Press, 2021. ISBN: 978-1-950508-43-7.</w:t>
      </w:r>
    </w:p>
    <w:p>
      <w:pPr>
        <w:spacing w:after="60" w:before="0" w:line="276" w:lineRule="auto"/>
        <w:ind w:left="360" w:hanging="360"/>
        <w:jc w:val="both"/>
      </w:pPr>
      <w:r>
        <w:rPr>
          <w:rFonts w:ascii="Arial" w:cs="Arial" w:eastAsia="Arial" w:hAnsi="Arial"/>
          <w:b/>
          <w:bCs/>
          <w:i w:val="false"/>
          <w:iCs w:val="false"/>
          <w:color w:val="000000"/>
          <w:sz w:val="19"/>
          <w:szCs w:val="19"/>
        </w:rPr>
        <w:t xml:space="preserve">[6]  </w:t>
      </w:r>
      <w:r>
        <w:rPr>
          <w:rFonts w:ascii="Arial" w:cs="Arial" w:eastAsia="Arial" w:hAnsi="Arial"/>
          <w:b w:val="false"/>
          <w:bCs w:val="false"/>
          <w:i w:val="false"/>
          <w:iCs w:val="false"/>
          <w:color w:val="000000"/>
          <w:sz w:val="19"/>
          <w:szCs w:val="19"/>
        </w:rPr>
        <w:t xml:space="preserve">J. Humble and D. Farley, Continuous Delivery. Boston, MA, USA: Addison-Wesley, 2010. ISBN: 978-0-321-60191-8.</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4.4 Observabilidad Distribuida y Calidad ISO/IEC 25010:2023</w:t>
      </w:r>
    </w:p>
    <w:p>
      <w:pPr>
        <w:spacing w:after="80" w:before="0" w:line="276" w:lineRule="auto"/>
        <w:jc w:val="both"/>
      </w:pPr>
      <w:r>
        <w:rPr>
          <w:rFonts w:ascii="Arial" w:cs="Arial" w:eastAsia="Arial" w:hAnsi="Arial"/>
          <w:b w:val="false"/>
          <w:bCs w:val="false"/>
          <w:i w:val="false"/>
          <w:iCs w:val="false"/>
          <w:color w:val="000000"/>
          <w:sz w:val="20"/>
          <w:szCs w:val="20"/>
        </w:rPr>
        <w:t xml:space="preserve">Desarrollar: la tríada de observabilidad (logs estructurados JSON, métricas Prometheus, trazas con OpenTelemetry), modelo de datos Prometheus (counter, gauge, histogram, summary), visualización con Grafana (paneles, alertas), rastreo distribuido, y el modelo de calidad ISO/IEC 25010:2023 con 8 características y 31 subcaracterísticas. Evaluar el sistema propio contra 5 características con métricas concretas.</w:t>
      </w:r>
    </w:p>
    <w:p>
      <w:pPr>
        <w:spacing w:after="20" w:before="60" w:line="276" w:lineRule="auto"/>
        <w:jc w:val="both"/>
      </w:pPr>
      <w:r>
        <w:rPr>
          <w:rFonts w:ascii="Arial" w:cs="Arial" w:eastAsia="Arial" w:hAnsi="Arial"/>
          <w:b/>
          <w:bCs/>
          <w:i/>
          <w:iCs/>
          <w:color w:val="000000"/>
          <w:sz w:val="19"/>
          <w:szCs w:val="19"/>
        </w:rPr>
        <w:t xml:space="preserve">Referencias bibliográficas mínimas [IEEE]:</w:t>
      </w:r>
    </w:p>
    <w:p>
      <w:pPr>
        <w:spacing w:after="60" w:before="0" w:line="276" w:lineRule="auto"/>
        <w:ind w:left="360" w:hanging="360"/>
        <w:jc w:val="both"/>
      </w:pPr>
      <w:r>
        <w:rPr>
          <w:rFonts w:ascii="Arial" w:cs="Arial" w:eastAsia="Arial" w:hAnsi="Arial"/>
          <w:b/>
          <w:bCs/>
          <w:i w:val="false"/>
          <w:iCs w:val="false"/>
          <w:color w:val="000000"/>
          <w:sz w:val="19"/>
          <w:szCs w:val="19"/>
        </w:rPr>
        <w:t xml:space="preserve">[7]  </w:t>
      </w:r>
      <w:r>
        <w:rPr>
          <w:rFonts w:ascii="Arial" w:cs="Arial" w:eastAsia="Arial" w:hAnsi="Arial"/>
          <w:b w:val="false"/>
          <w:bCs w:val="false"/>
          <w:i w:val="false"/>
          <w:iCs w:val="false"/>
          <w:color w:val="000000"/>
          <w:sz w:val="19"/>
          <w:szCs w:val="19"/>
        </w:rPr>
        <w:t xml:space="preserve">International Organization for Standardization, 'ISO/IEC 25010:2023 — Systems and Software Quality Requirements and Evaluation (SQuaRE) — Product Quality Model,' ISO, Geneva, Switzerland, 2023.</w:t>
      </w:r>
    </w:p>
    <w:p>
      <w:pPr>
        <w:spacing w:after="60" w:before="0" w:line="276" w:lineRule="auto"/>
        <w:ind w:left="360" w:hanging="360"/>
        <w:jc w:val="both"/>
      </w:pPr>
      <w:r>
        <w:rPr>
          <w:rFonts w:ascii="Arial" w:cs="Arial" w:eastAsia="Arial" w:hAnsi="Arial"/>
          <w:b/>
          <w:bCs/>
          <w:i w:val="false"/>
          <w:iCs w:val="false"/>
          <w:color w:val="000000"/>
          <w:sz w:val="19"/>
          <w:szCs w:val="19"/>
        </w:rPr>
        <w:t xml:space="preserve">[8]  </w:t>
      </w:r>
      <w:r>
        <w:rPr>
          <w:rFonts w:ascii="Arial" w:cs="Arial" w:eastAsia="Arial" w:hAnsi="Arial"/>
          <w:b w:val="false"/>
          <w:bCs w:val="false"/>
          <w:i w:val="false"/>
          <w:iCs w:val="false"/>
          <w:color w:val="000000"/>
          <w:sz w:val="19"/>
          <w:szCs w:val="19"/>
        </w:rPr>
        <w:t xml:space="preserve">C. Richardson, Microservices Patterns. Shelter Island, NY, USA: Manning Publications, 2018.</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5. </w:t>
            </w:r>
            <w:r>
              <w:rPr>
                <w:rFonts w:ascii="Arial" w:cs="Arial" w:eastAsia="Arial" w:hAnsi="Arial"/>
                <w:b/>
                <w:bCs/>
                <w:i w:val="false"/>
                <w:iCs w:val="false"/>
                <w:color w:val="FFFFFF"/>
                <w:sz w:val="22"/>
                <w:szCs w:val="22"/>
              </w:rPr>
              <w:t xml:space="preserve">Procedimiento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1</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Pruebas Automatizadas</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Implementar pruebas unitarias para la capa de lógica de negocio de cada microservicio (pytest / JUnit / Jest). Objetivo: cobertura ≥70%.</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Implementar pruebas de integración: ≥3 flujos end-to-end que verifiquen comunicación entre microservicios a través del API Gateway.</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Configurar reporte de cobertura: `pytest --cov=src --cov-report=xml` → subir a Codecov o SonarCloud (gratuito para proyectos públicos).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Documentar: tipos de pruebas en lstlisting, resultados de cobertura en tabla booktabs, análisis de qué queda fuera del alcance.</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2</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Pipeline CI/CD con GitHub Actions</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Crear .github/workflows/ci-cd.yml con jobs: (a) test: ejecuta pruebas + cobertura, (b) lint: análisis estático (Pylint/ESLint/Checkstyle), (c) build: construye imagen Docker, (d) integration-test: levanta docker-compose y ejecuta pruebas de integración.</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Triggers: push a main y pull_request.</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Demostrar en vivo: hacer push con fallo intencional → mostrar error → corregir → pipeline verde.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El pipeline VERDE es condición necesaria para la demostración.</w:t>
            </w:r>
          </w:p>
          <w:p>
            <w:pPr>
              <w:spacing w:after="80" w:before="60" w:line="276" w:lineRule="auto"/>
              <w:jc w:val="both"/>
            </w:pPr>
            <w:r>
              <w:rPr>
                <w:rFonts w:ascii="Arial" w:cs="Arial" w:eastAsia="Arial" w:hAnsi="Arial"/>
                <w:b/>
                <w:bCs/>
                <w:i w:val="false"/>
                <w:iCs w:val="false"/>
                <w:color w:val="E65100"/>
                <w:sz w:val="18"/>
                <w:szCs w:val="18"/>
              </w:rPr>
              <w:t xml:space="preserve">⚠ Nota: </w:t>
            </w:r>
            <w:r>
              <w:rPr>
                <w:rFonts w:ascii="Arial" w:cs="Arial" w:eastAsia="Arial" w:hAnsi="Arial"/>
                <w:b w:val="false"/>
                <w:bCs w:val="false"/>
                <w:i/>
                <w:iCs/>
                <w:color w:val="E65100"/>
                <w:sz w:val="18"/>
                <w:szCs w:val="18"/>
              </w:rPr>
              <w:t xml:space="preserve">El archivo ci-cd.yml completo debe incluirse en lstlisting en el documento LaTeX.</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3</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Observabilidad Distribuida</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Añadir logging estructurado JSON en todos los microservicios: timestamp, servicio, método, ruta, código HTTP, tiempo de respuesta (ms).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Exponer métricas en /metrics de cada microservicio: request_count_total (counter), request_duration_seconds (histogram), active_connections (gauge).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Configurar Prometheus en docker-compose para scraping cada 15 segundos de los tres microservicios.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Conectar Grafana Cloud (gratuito: grafana.com) mediante Grafana Agent. Dashboard: tasa de requests/seg, latencia P50/P95/P99, tasa de errores 4xx/5xx.</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Ejecutar prueba de carga con Locust (50 usuarios, 60 segundos) y capturar el dashboard durante la prueba.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4</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Evaluación ISO/IEC 25010:2023</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Evaluar 5 características con métricas reales: (a) Disponibilidad: uptime ≥99.5% durante 1h continua; (b) Rendimiento: latencia P95 &lt;500ms con 50 usuarios; (c) Fiabilidad: tasa de errores 5xx &lt;1%; (d) Mantenibilidad: cobertura ≥70% y complejidad ciclomática &lt;10; (e) Seguridad: todos los endpoints protegidos retornan 401 sin token.</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Tabla booktabs en LaTeX: Característica | Métrica | Valor medido | Valor objetivo | Estado (✓/✗) | Plan de mejora.</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La evaluación debe ser honesta — documentar las deficiencias con plan de mejora concreto.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8165"/>
      </w:tblGrid>
      <w:tr>
        <w:tc>
          <w:tcPr>
            <w:tcW w:type="dxa" w:w="907"/>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center"/>
          </w:tcPr>
          <w:p>
            <w:pPr>
              <w:spacing w:after="80" w:before="0" w:line="276" w:lineRule="auto"/>
              <w:jc w:val="center"/>
            </w:pPr>
            <w:r>
              <w:rPr>
                <w:rFonts w:ascii="Arial" w:cs="Arial" w:eastAsia="Arial" w:hAnsi="Arial"/>
                <w:b/>
                <w:bCs/>
                <w:i w:val="false"/>
                <w:iCs w:val="false"/>
                <w:color w:val="FFFFFF"/>
                <w:sz w:val="19"/>
                <w:szCs w:val="19"/>
              </w:rPr>
              <w:t xml:space="preserve">Paso 5</w:t>
            </w:r>
          </w:p>
        </w:tc>
        <w:tc>
          <w:tcPr>
            <w:tcW w:type="dxa" w:w="8165"/>
            <w:tcBorders>
              <w:top w:val="single" w:color="006064" w:sz="4"/>
              <w:left w:val="single" w:color="006064" w:sz="4"/>
              <w:bottom w:val="single" w:color="006064" w:sz="4"/>
              <w:right w:val="single" w:color="006064" w:sz="4"/>
            </w:tcBorders>
            <w:shd w:fill="E0F7FA" w:val="clear"/>
            <w:tcMar>
              <w:top w:type="dxa" w:w="100"/>
              <w:left w:type="dxa" w:w="140"/>
              <w:bottom w:type="dxa" w:w="100"/>
              <w:right w:type="dxa" w:w="140"/>
            </w:tcMar>
            <w:vAlign w:val="top"/>
          </w:tcPr>
          <w:p>
            <w:pPr>
              <w:spacing w:after="80" w:before="0" w:line="276" w:lineRule="auto"/>
              <w:jc w:val="both"/>
            </w:pPr>
            <w:r>
              <w:rPr>
                <w:rFonts w:ascii="Arial" w:cs="Arial" w:eastAsia="Arial" w:hAnsi="Arial"/>
                <w:b/>
                <w:bCs/>
                <w:i w:val="false"/>
                <w:iCs w:val="false"/>
                <w:color w:val="000000"/>
                <w:sz w:val="19"/>
                <w:szCs w:val="19"/>
              </w:rPr>
              <w:t xml:space="preserve">Documento LaTeX Final y Defensa Oral</w:t>
            </w:r>
          </w:p>
        </w:tc>
      </w:tr>
      <w:tr>
        <w:tc>
          <w:tcPr>
            <w:tcW w:type="dxa" w:w="907"/>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spacing w:after="80" w:before="0" w:line="276" w:lineRule="auto"/>
              <w:jc w:val="both"/>
            </w:pPr>
            <w:r>
              <w:rPr>
                <w:rFonts w:ascii="Arial" w:cs="Arial" w:eastAsia="Arial" w:hAnsi="Arial"/>
                <w:b w:val="false"/>
                <w:bCs w:val="false"/>
                <w:i w:val="false"/>
                <w:iCs w:val="false"/>
                <w:color w:val="000000"/>
                <w:sz w:val="10"/>
                <w:szCs w:val="10"/>
              </w:rPr>
              <w:t xml:space="preserve"> </w:t>
            </w:r>
          </w:p>
        </w:tc>
        <w:tc>
          <w:tcPr>
            <w:tcW w:type="dxa" w:w="8165"/>
            <w:tcBorders>
              <w:top w:val="single" w:color="9E9E9E" w:sz="4"/>
              <w:left w:val="single" w:color="9E9E9E" w:sz="4"/>
              <w:bottom w:val="single" w:color="9E9E9E" w:sz="4"/>
              <w:right w:val="single" w:color="9E9E9E" w:sz="4"/>
            </w:tcBorders>
            <w:shd w:fill="FFFFFF" w:val="clear"/>
            <w:tcMar>
              <w:top w:type="dxa" w:w="100"/>
              <w:left w:type="dxa" w:w="140"/>
              <w:bottom w:type="dxa" w:w="100"/>
              <w:right w:type="dxa" w:w="140"/>
            </w:tcMar>
            <w:vAlign w:val="top"/>
          </w:tcPr>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El documento acumulativo incluye TODAS las secciones del PFC actualizadas + secciones U5: diseño de pruebas, pipeline CI/CD en lstlisting YAML, observabilidad con dashboard como figura, evaluación ISO/IEC 25010 con tabla, reflexión ética (≥½ página, referenciando ACM/IEEE-CS Code of Ethics), conclusiones individuales (≥200 palabras c/u), bibliografía ≥12 referencias IEEE.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La defensa (15 min: 10 exposición + 5 preguntas) demuestra en vivo: sistema funcionando, pipeline verde en GitHub, dashboard Grafana con datos reales.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Todos los integrantes deben responder preguntas técnicas sobre cualquier parte del sistema.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6. </w:t>
            </w:r>
            <w:r>
              <w:rPr>
                <w:rFonts w:ascii="Arial" w:cs="Arial" w:eastAsia="Arial" w:hAnsi="Arial"/>
                <w:b/>
                <w:bCs/>
                <w:i w:val="false"/>
                <w:iCs w:val="false"/>
                <w:color w:val="FFFFFF"/>
                <w:sz w:val="22"/>
                <w:szCs w:val="22"/>
              </w:rPr>
              <w:t xml:space="preserve">Materiales, Equipos, Insumos y Reactivos</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6.1 Equipos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Computadora con ≥16 GB RAM (para todos los contenedores: microservicios + Prometheus + Grafana Agent). Con 8 GB RAM: ajustar mem_limit en docker-compose.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Conexión a Internet estable para Grafana Cloud y GitHub Actions.</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6.2 Software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Docker Desktop 4.x con Docker Compose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pytest + pytest-cov — O — JUnit 5 + JaCoCo — O — Jest + Istanbul (según tecnología del PFC)</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Locust 2.x: `pip install locust` para pruebas de carga</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Grafana Agent (Docker: grafana/agent:latest) + Prometheus (prom/prometheus:latest)</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Cuenta gratuita en Grafana Cloud (grafana.com) y GitHub</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SonarCloud o Codecov (gratuitos para repositorios públicos)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LaTeX completo: paquetes minted o listings, pgfplots (para gráficas), todos los paquetes de guías anteriores</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7. </w:t>
            </w:r>
            <w:r>
              <w:rPr>
                <w:rFonts w:ascii="Arial" w:cs="Arial" w:eastAsia="Arial" w:hAnsi="Arial"/>
                <w:b/>
                <w:bCs/>
                <w:i w:val="false"/>
                <w:iCs w:val="false"/>
                <w:color w:val="FFFFFF"/>
                <w:sz w:val="22"/>
                <w:szCs w:val="22"/>
              </w:rPr>
              <w:t xml:space="preserve">Bibliografía de la Guía (Norma IEEE)</w:t>
            </w:r>
          </w:p>
        </w:tc>
      </w:tr>
    </w:tbl>
    <w:p>
      <w:pPr>
        <w:spacing w:after="60"/>
      </w:pPr>
      <w:r>
        <w:rPr>
          <w:rFonts w:ascii="Arial" w:cs="Arial" w:eastAsia="Arial" w:hAnsi="Arial"/>
          <w:sz w:val="20"/>
          <w:szCs w:val="20"/>
        </w:rPr>
        <w:t xml:space="preserve"/>
      </w:r>
    </w:p>
    <w:p>
      <w:pPr>
        <w:spacing w:after="60" w:before="0" w:line="276" w:lineRule="auto"/>
        <w:ind w:left="360" w:hanging="360"/>
        <w:jc w:val="both"/>
      </w:pPr>
      <w:r>
        <w:rPr>
          <w:rFonts w:ascii="Arial" w:cs="Arial" w:eastAsia="Arial" w:hAnsi="Arial"/>
          <w:b/>
          <w:bCs/>
          <w:i w:val="false"/>
          <w:iCs w:val="false"/>
          <w:color w:val="000000"/>
          <w:sz w:val="19"/>
          <w:szCs w:val="19"/>
        </w:rPr>
        <w:t xml:space="preserve">[1]  </w:t>
      </w:r>
      <w:r>
        <w:rPr>
          <w:rFonts w:ascii="Arial" w:cs="Arial" w:eastAsia="Arial" w:hAnsi="Arial"/>
          <w:b w:val="false"/>
          <w:bCs w:val="false"/>
          <w:i w:val="false"/>
          <w:iCs w:val="false"/>
          <w:color w:val="000000"/>
          <w:sz w:val="19"/>
          <w:szCs w:val="19"/>
        </w:rPr>
        <w:t xml:space="preserve">E. Gamma, R. Helm, R. Johnson, and J. Vlissides, Design Patterns: Elements of Reusable Object-Oriented Software. Reading, MA, USA: Addison-Wesley, 1994. ISBN: 978-0-201-63361-0.</w:t>
      </w:r>
    </w:p>
    <w:p>
      <w:pPr>
        <w:spacing w:after="60" w:before="0" w:line="276" w:lineRule="auto"/>
        <w:ind w:left="360" w:hanging="360"/>
        <w:jc w:val="both"/>
      </w:pPr>
      <w:r>
        <w:rPr>
          <w:rFonts w:ascii="Arial" w:cs="Arial" w:eastAsia="Arial" w:hAnsi="Arial"/>
          <w:b/>
          <w:bCs/>
          <w:i w:val="false"/>
          <w:iCs w:val="false"/>
          <w:color w:val="000000"/>
          <w:sz w:val="19"/>
          <w:szCs w:val="19"/>
        </w:rPr>
        <w:t xml:space="preserve">[2]  </w:t>
      </w:r>
      <w:r>
        <w:rPr>
          <w:rFonts w:ascii="Arial" w:cs="Arial" w:eastAsia="Arial" w:hAnsi="Arial"/>
          <w:b w:val="false"/>
          <w:bCs w:val="false"/>
          <w:i w:val="false"/>
          <w:iCs w:val="false"/>
          <w:color w:val="000000"/>
          <w:sz w:val="19"/>
          <w:szCs w:val="19"/>
        </w:rPr>
        <w:t xml:space="preserve">G. Kim, J. Humble, P. Debois, and J. Willis, The DevOps Handbook, 2nd ed. Portland, OR, USA: IT Revolution Press, 2021. ISBN: 978-1-950508-43-7.</w:t>
      </w:r>
    </w:p>
    <w:p>
      <w:pPr>
        <w:spacing w:after="60" w:before="0" w:line="276" w:lineRule="auto"/>
        <w:ind w:left="360" w:hanging="360"/>
        <w:jc w:val="both"/>
      </w:pPr>
      <w:r>
        <w:rPr>
          <w:rFonts w:ascii="Arial" w:cs="Arial" w:eastAsia="Arial" w:hAnsi="Arial"/>
          <w:b/>
          <w:bCs/>
          <w:i w:val="false"/>
          <w:iCs w:val="false"/>
          <w:color w:val="000000"/>
          <w:sz w:val="19"/>
          <w:szCs w:val="19"/>
        </w:rPr>
        <w:t xml:space="preserve">[3]  </w:t>
      </w:r>
      <w:r>
        <w:rPr>
          <w:rFonts w:ascii="Arial" w:cs="Arial" w:eastAsia="Arial" w:hAnsi="Arial"/>
          <w:b w:val="false"/>
          <w:bCs w:val="false"/>
          <w:i w:val="false"/>
          <w:iCs w:val="false"/>
          <w:color w:val="000000"/>
          <w:sz w:val="19"/>
          <w:szCs w:val="19"/>
        </w:rPr>
        <w:t xml:space="preserve">J. Humble and D. Farley, Continuous Delivery. Boston, MA, USA: Addison-Wesley, 2010. ISBN: 978-0-321-60191-8.</w:t>
      </w:r>
    </w:p>
    <w:p>
      <w:pPr>
        <w:spacing w:after="60" w:before="0" w:line="276" w:lineRule="auto"/>
        <w:ind w:left="360" w:hanging="360"/>
        <w:jc w:val="both"/>
      </w:pPr>
      <w:r>
        <w:rPr>
          <w:rFonts w:ascii="Arial" w:cs="Arial" w:eastAsia="Arial" w:hAnsi="Arial"/>
          <w:b/>
          <w:bCs/>
          <w:i w:val="false"/>
          <w:iCs w:val="false"/>
          <w:color w:val="000000"/>
          <w:sz w:val="19"/>
          <w:szCs w:val="19"/>
        </w:rPr>
        <w:t xml:space="preserve">[4]  </w:t>
      </w:r>
      <w:r>
        <w:rPr>
          <w:rFonts w:ascii="Arial" w:cs="Arial" w:eastAsia="Arial" w:hAnsi="Arial"/>
          <w:b w:val="false"/>
          <w:bCs w:val="false"/>
          <w:i w:val="false"/>
          <w:iCs w:val="false"/>
          <w:color w:val="000000"/>
          <w:sz w:val="19"/>
          <w:szCs w:val="19"/>
        </w:rPr>
        <w:t xml:space="preserve">C. Richardson, Microservices Patterns. Shelter Island, NY, USA: Manning Publications, 2018. ISBN: 978-1-617-29454-1.</w:t>
      </w:r>
    </w:p>
    <w:p>
      <w:pPr>
        <w:spacing w:after="60" w:before="0" w:line="276" w:lineRule="auto"/>
        <w:ind w:left="360" w:hanging="360"/>
        <w:jc w:val="both"/>
      </w:pPr>
      <w:r>
        <w:rPr>
          <w:rFonts w:ascii="Arial" w:cs="Arial" w:eastAsia="Arial" w:hAnsi="Arial"/>
          <w:b/>
          <w:bCs/>
          <w:i w:val="false"/>
          <w:iCs w:val="false"/>
          <w:color w:val="000000"/>
          <w:sz w:val="19"/>
          <w:szCs w:val="19"/>
        </w:rPr>
        <w:t xml:space="preserve">[5]  </w:t>
      </w:r>
      <w:r>
        <w:rPr>
          <w:rFonts w:ascii="Arial" w:cs="Arial" w:eastAsia="Arial" w:hAnsi="Arial"/>
          <w:b w:val="false"/>
          <w:bCs w:val="false"/>
          <w:i w:val="false"/>
          <w:iCs w:val="false"/>
          <w:color w:val="000000"/>
          <w:sz w:val="19"/>
          <w:szCs w:val="19"/>
        </w:rPr>
        <w:t xml:space="preserve">International Organization for Standardization, 'ISO/IEC 25010:2023,' ISO, Geneva, Switzerland, 2023.</w:t>
      </w:r>
    </w:p>
    <w:p>
      <w:pPr>
        <w:spacing w:after="60" w:before="0" w:line="276" w:lineRule="auto"/>
        <w:ind w:left="360" w:hanging="360"/>
        <w:jc w:val="both"/>
      </w:pPr>
      <w:r>
        <w:rPr>
          <w:rFonts w:ascii="Arial" w:cs="Arial" w:eastAsia="Arial" w:hAnsi="Arial"/>
          <w:b/>
          <w:bCs/>
          <w:i w:val="false"/>
          <w:iCs w:val="false"/>
          <w:color w:val="000000"/>
          <w:sz w:val="19"/>
          <w:szCs w:val="19"/>
        </w:rPr>
        <w:t xml:space="preserve">[6]  </w:t>
      </w:r>
      <w:r>
        <w:rPr>
          <w:rFonts w:ascii="Arial" w:cs="Arial" w:eastAsia="Arial" w:hAnsi="Arial"/>
          <w:b w:val="false"/>
          <w:bCs w:val="false"/>
          <w:i w:val="false"/>
          <w:iCs w:val="false"/>
          <w:color w:val="000000"/>
          <w:sz w:val="19"/>
          <w:szCs w:val="19"/>
        </w:rPr>
        <w:t xml:space="preserve">T. Winters, T. Manshreck, and H. Wright, Software Engineering at Google. Sebastopol, CA, USA: O'Reilly Media, 2020. ISBN: 978-1-4920-8276-8.</w:t>
      </w:r>
    </w:p>
    <w:p>
      <w:pPr>
        <w:spacing w:after="60" w:before="0" w:line="276" w:lineRule="auto"/>
        <w:ind w:left="360" w:hanging="360"/>
        <w:jc w:val="both"/>
      </w:pPr>
      <w:r>
        <w:rPr>
          <w:rFonts w:ascii="Arial" w:cs="Arial" w:eastAsia="Arial" w:hAnsi="Arial"/>
          <w:b/>
          <w:bCs/>
          <w:i w:val="false"/>
          <w:iCs w:val="false"/>
          <w:color w:val="000000"/>
          <w:sz w:val="19"/>
          <w:szCs w:val="19"/>
        </w:rPr>
        <w:t xml:space="preserve">[7]  </w:t>
      </w:r>
      <w:r>
        <w:rPr>
          <w:rFonts w:ascii="Arial" w:cs="Arial" w:eastAsia="Arial" w:hAnsi="Arial"/>
          <w:b w:val="false"/>
          <w:bCs w:val="false"/>
          <w:i w:val="false"/>
          <w:iCs w:val="false"/>
          <w:color w:val="000000"/>
          <w:sz w:val="19"/>
          <w:szCs w:val="19"/>
        </w:rPr>
        <w:t xml:space="preserve">S. Newman, Building Microservices, 2nd ed. Sebastopol, CA, USA: O'Reilly Media, 2021. ISBN: 978-1-4920-3402-5.</w:t>
      </w:r>
    </w:p>
    <w:p>
      <w:pPr>
        <w:spacing w:after="60" w:before="0" w:line="276" w:lineRule="auto"/>
        <w:ind w:left="360" w:hanging="360"/>
        <w:jc w:val="both"/>
      </w:pPr>
      <w:r>
        <w:rPr>
          <w:rFonts w:ascii="Arial" w:cs="Arial" w:eastAsia="Arial" w:hAnsi="Arial"/>
          <w:b/>
          <w:bCs/>
          <w:i w:val="false"/>
          <w:iCs w:val="false"/>
          <w:color w:val="000000"/>
          <w:sz w:val="19"/>
          <w:szCs w:val="19"/>
        </w:rPr>
        <w:t xml:space="preserve">[8]  </w:t>
      </w:r>
      <w:r>
        <w:rPr>
          <w:rFonts w:ascii="Arial" w:cs="Arial" w:eastAsia="Arial" w:hAnsi="Arial"/>
          <w:b w:val="false"/>
          <w:bCs w:val="false"/>
          <w:i w:val="false"/>
          <w:iCs w:val="false"/>
          <w:color w:val="000000"/>
          <w:sz w:val="19"/>
          <w:szCs w:val="19"/>
        </w:rPr>
        <w:t xml:space="preserve">B. Burns, Designing Distributed Systems, 2nd ed. Sebastopol, CA, USA: O'Reilly Media, 2025. ISBN: 978-1-09-815635-0.</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6064" w:sz="2"/>
              <w:left w:val="single" w:color="006064" w:sz="2"/>
              <w:bottom w:val="single" w:color="006064" w:sz="2"/>
              <w:right w:val="single" w:color="006064" w:sz="2"/>
            </w:tcBorders>
            <w:shd w:fill="006064" w:val="clear"/>
            <w:tcMar>
              <w:top w:type="dxa" w:w="100"/>
              <w:left w:type="dxa" w:w="140"/>
              <w:bottom w:type="dxa" w:w="100"/>
              <w:right w:type="dxa" w:w="140"/>
            </w:tcMar>
            <w:vAlign w:val="top"/>
          </w:tcPr>
          <w:p>
            <w:pPr>
              <w:spacing w:after="80" w:before="0" w:line="276" w:lineRule="auto"/>
              <w:jc w:val="left"/>
            </w:pPr>
            <w:r>
              <w:rPr>
                <w:rFonts w:ascii="Arial" w:cs="Arial" w:eastAsia="Arial" w:hAnsi="Arial"/>
                <w:b/>
                <w:bCs/>
                <w:i w:val="false"/>
                <w:iCs w:val="false"/>
                <w:color w:val="FFFFFF"/>
                <w:sz w:val="22"/>
                <w:szCs w:val="22"/>
              </w:rPr>
              <w:t xml:space="preserve">8. </w:t>
            </w:r>
            <w:r>
              <w:rPr>
                <w:rFonts w:ascii="Arial" w:cs="Arial" w:eastAsia="Arial" w:hAnsi="Arial"/>
                <w:b/>
                <w:bCs/>
                <w:i w:val="false"/>
                <w:iCs w:val="false"/>
                <w:color w:val="FFFFFF"/>
                <w:sz w:val="22"/>
                <w:szCs w:val="22"/>
              </w:rPr>
              <w:t xml:space="preserve">Anexos</w:t>
            </w:r>
          </w:p>
        </w:tc>
      </w:tr>
    </w:tbl>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Anexo A — Preguntas de análisis obligatorias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¿Cómo garantiza el pipeline CI/CD que el código desplegado cumple los atributos de calidad? ¿Qué quality gates adicionales agregarías?</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Analiza los resultados de la prueba de carga con Locust: ¿hay degradación con 50 usuarios? ¿Cuál microservicio es el cuello de botella? ¿Por qué?</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¿Qué características ISO/IEC 25010 no pudo cumplir el sistema? Diseña un plan técnico concreto para alcanzarlas en producción real.</w:t>
      </w:r>
    </w:p>
    <w:p>
      <w:pPr>
        <w:pStyle w:val="ListParagraph"/>
        <w:numPr>
          <w:ilvl w:val="0"/>
          <w:numId w:val="2"/>
        </w:numPr>
        <w:spacing w:after="60" w:before="0" w:line="276" w:lineRule="auto"/>
      </w:pPr>
      <w:r>
        <w:rPr>
          <w:rFonts w:ascii="Arial" w:cs="Arial" w:eastAsia="Arial" w:hAnsi="Arial"/>
          <w:b w:val="false"/>
          <w:bCs w:val="false"/>
          <w:i w:val="false"/>
          <w:iCs w:val="false"/>
          <w:color w:val="000000"/>
          <w:sz w:val="20"/>
          <w:szCs w:val="20"/>
        </w:rPr>
        <w:t xml:space="preserve">Reflexión ética: ¿qué responsabilidades tienen como futuros Ingenieros de Software frente a los datos de los usuarios del sistema del PFC? Analiza desde el Código de Ética ACM/IEEE-CS (1999).</w:t>
      </w:r>
    </w:p>
    <w:p>
      <w:pPr>
        <w:spacing w:after="60"/>
      </w:pPr>
      <w:r>
        <w:rPr>
          <w:rFonts w:ascii="Arial" w:cs="Arial" w:eastAsia="Arial" w:hAnsi="Arial"/>
          <w:sz w:val="20"/>
          <w:szCs w:val="20"/>
        </w:rPr>
        <w:t xml:space="preserve"/>
      </w:r>
    </w:p>
    <w:p>
      <w:pPr>
        <w:spacing w:after="40" w:before="0" w:line="276" w:lineRule="auto"/>
        <w:jc w:val="both"/>
      </w:pPr>
      <w:r>
        <w:rPr>
          <w:rFonts w:ascii="Arial" w:cs="Arial" w:eastAsia="Arial" w:hAnsi="Arial"/>
          <w:b/>
          <w:bCs/>
          <w:i w:val="false"/>
          <w:iCs w:val="false"/>
          <w:color w:val="000000"/>
          <w:sz w:val="20"/>
          <w:szCs w:val="20"/>
        </w:rPr>
        <w:t xml:space="preserve">Anexo B — Lista de verificación final de entrega (todos deben estar marcados ✓)</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 ] Documento LaTeX compila sin errores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 ] PDF tiene ≥20 páginas de contenido (sin portada ni bibliografía)</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 ] Bibliografía tiene ≥12 referencias IEEE verificadas con DOI</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 ] Todas las figuras tienen \caption y \label y están referenciadas en el texto</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 ] Todo el código está en entornos lstlisting (no como imagen)</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 ] Pipeline CI/CD en GitHub Actions está verde (todos los checks pasan)</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 ] Dashboard de Grafana tiene datos reales del sistema</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 ] Pruebas unitarias tienen cobertura ≥70%</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 ] Tabla ISO/IEC 25010 completada con métricas reales medidas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 ] Conclusiones individuales: una por integrante, ≥200 palabras cada una</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 ] Reflexión ética: ≥½ página con referencia al Código de Ética ACM/IEEE-CS</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 ] Repositorio GitHub: ≥5 commits por integrante</w:t>
      </w:r>
    </w:p>
    <w:p>
      <w:pPr>
        <w:pStyle w:val="ListParagraph"/>
        <w:numPr>
          <w:ilvl w:val="0"/>
          <w:numId w:val="3"/>
        </w:numPr>
        <w:spacing w:after="60" w:before="0" w:line="276" w:lineRule="auto"/>
      </w:pPr>
      <w:r>
        <w:rPr>
          <w:rFonts w:ascii="Arial" w:cs="Arial" w:eastAsia="Arial" w:hAnsi="Arial"/>
          <w:b w:val="false"/>
          <w:bCs w:val="false"/>
          <w:i w:val="false"/>
          <w:iCs w:val="false"/>
          <w:color w:val="000000"/>
          <w:sz w:val="20"/>
          <w:szCs w:val="20"/>
        </w:rPr>
        <w:t xml:space="preserve">[ ] README.md actualizado con instrucciones completas de ejecución</w:t>
      </w:r>
    </w:p>
    <w:p>
      <w:pPr>
        <w:spacing w:after="60"/>
      </w:pPr>
      <w:r>
        <w:rPr>
          <w:rFonts w:ascii="Arial" w:cs="Arial" w:eastAsia="Arial" w:hAnsi="Arial"/>
          <w:sz w:val="20"/>
          <w:szCs w:val="20"/>
        </w:rPr>
        <w:t xml:space="preserve"/>
      </w:r>
    </w:p>
    <w:sectPr>
      <w:headerReference w:type="default" r:id="rId7"/>
      <w:footerReference w:type="default" r:id="rId8"/>
      <w:pgSz w:w="11906" w:h="16838" w:orient="portrait"/>
      <w:pgMar w:top="1417"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E9E9E" w:sz="4" w:space="4"/>
      </w:pBdr>
      <w:tabs>
        <w:tab w:val="right" w:pos="9072"/>
      </w:tabs>
      <w:spacing w:after="0" w:before="60"/>
    </w:pPr>
    <w:r>
      <w:rPr>
        <w:rFonts w:ascii="Arial" w:cs="Arial" w:eastAsia="Arial" w:hAnsi="Arial"/>
        <w:b w:val="false"/>
        <w:bCs w:val="false"/>
        <w:i w:val="false"/>
        <w:iCs w:val="false"/>
        <w:color w:val="9E9E9E"/>
        <w:sz w:val="16"/>
        <w:szCs w:val="16"/>
      </w:rPr>
      <w:t xml:space="preserve">Universidad Técnica Estatal de Quevedo · 2025-2026</w:t>
    </w:r>
    <w:r>
      <w:rPr>
        <w:rFonts w:ascii="Arial" w:cs="Arial" w:eastAsia="Arial" w:hAnsi="Arial"/>
        <w:sz w:val="16"/>
        <w:szCs w:val="16"/>
      </w:rPr>
      <w:t xml:space="preserve">	</w:t>
    </w:r>
    <w:r>
      <w:rPr>
        <w:rFonts w:ascii="Arial" w:cs="Arial" w:eastAsia="Arial" w:hAnsi="Arial"/>
        <w:b w:val="false"/>
        <w:bCs w:val="false"/>
        <w:i w:val="false"/>
        <w:iCs w:val="false"/>
        <w:color w:val="9E9E9E"/>
        <w:sz w:val="16"/>
        <w:szCs w:val="16"/>
      </w:rPr>
      <w:t xml:space="preserve">Universidad Técnica Estatal de Quevedo · 2025-2026 | pág.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1A" w:sz="6" w:space="4"/>
      </w:pBdr>
      <w:tabs>
        <w:tab w:val="right" w:pos="9072"/>
      </w:tabs>
      <w:spacing w:after="0"/>
    </w:pPr>
    <w:r>
      <w:rPr>
        <w:rFonts w:ascii="Arial" w:cs="Arial" w:eastAsia="Arial" w:hAnsi="Arial"/>
        <w:b/>
        <w:bCs/>
        <w:i w:val="false"/>
        <w:iCs w:val="false"/>
        <w:color w:val="1A5C1A"/>
        <w:sz w:val="18"/>
        <w:szCs w:val="18"/>
      </w:rPr>
      <w:t xml:space="preserve">UTEQ — Ingeniería de Software</w:t>
    </w:r>
    <w:r>
      <w:rPr>
        <w:rFonts w:ascii="Arial" w:cs="Arial" w:eastAsia="Arial" w:hAnsi="Arial"/>
        <w:sz w:val="18"/>
        <w:szCs w:val="18"/>
      </w:rPr>
      <w:t xml:space="preserve">	</w:t>
    </w:r>
    <w:r>
      <w:rPr>
        <w:rFonts w:ascii="Arial" w:cs="Arial" w:eastAsia="Arial" w:hAnsi="Arial"/>
        <w:b w:val="false"/>
        <w:bCs w:val="false"/>
        <w:i w:val="false"/>
        <w:iCs w:val="false"/>
        <w:color w:val="9E9E9E"/>
        <w:sz w:val="17"/>
        <w:szCs w:val="17"/>
      </w:rPr>
      <w:t xml:space="preserve">Guías de Práctica Experimental — Aplicaciones Distribuidas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2026-04-29T18:29:09.898Z</dcterms:created>
  <dcterms:modified xsi:type="dcterms:W3CDTF">2026-04-29T18:29:09.899Z</dcterms:modified>
</cp:coreProperties>
</file>

<file path=docProps/custom.xml><?xml version="1.0" encoding="utf-8"?>
<Properties xmlns="http://schemas.openxmlformats.org/officeDocument/2006/custom-properties" xmlns:vt="http://schemas.openxmlformats.org/officeDocument/2006/docPropsVTypes"/>
</file>