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2"/>
        <w:jc w:val="left"/>
      </w:pPr>
      <w:r>
        <w:t xml:space="preserve">4.3 Discusión</w:t>
      </w:r>
    </w:p>
    <w:p>
      <w:pPr>
        <w:spacing w:after="200" w:line="360" w:lineRule="auto"/>
        <w:ind w:firstLine="567"/>
        <w:jc w:val="both"/>
      </w:pPr>
      <w:r>
        <w:t xml:space="preserve">Los hallazgos obtenidos en la evaluación de FitKids permiten posicionar el sistema dentro del panorama actual de las aplicaciones móviles orientadas a la promoción de actividad física infantil. La discusión se estructura en cinco ejes que reflejan el orden lógico de la investigación: la usabilidad alcanzada en el modo niño, la aceptabilidad observada por los padres, la efectividad de la generación de contenido mediante inteligencia artificial generativa con validación profesional, la adherencia conductual reportada y, finalmente, las limitaciones metodológicas que delimitan el alcance de los resultados.</w:t>
      </w:r>
    </w:p>
    <w:p>
      <w:pPr>
        <w:spacing w:after="200" w:line="360" w:lineRule="auto"/>
        <w:ind w:firstLine="567"/>
        <w:jc w:val="both"/>
      </w:pPr>
      <w:r>
        <w:t xml:space="preserve">La puntuación obtenida en la Escala de Usabilidad del Sistema (SUS = 81,17 puntos) supera en 13 puntos la media normativa global de 68 establecida por Lewis </w:t>
      </w:r>
      <w:sdt>
        <w:sdtPr>
          <w:tag w:val="MENDELEY_CITATIONS_v3{&quot;citationID&quot;: &quot;MENDELEY_CITATION_b95b85fd-b46c-4ab0-be82-33a26558ae90&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1001"/>
        </w:sdtPr>
        <w:sdtContent>
          <w:r>
            <w:t xml:space="preserve">[51]</w:t>
          </w:r>
        </w:sdtContent>
      </w:sdt>
      <w:r>
        <w:t xml:space="preserve"> y se ubica en la categoría “excelente” dentro del rango adjetivo de Bangor et al. </w:t>
      </w:r>
      <w:sdt>
        <w:sdtPr>
          <w:tag w:val="MENDELEY_CITATIONS_v3{&quot;citationID&quot;: &quot;MENDELEY_CITATION_2de48f60-72e8-46e3-b101-040b0e4b8fa5&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1002"/>
        </w:sdtPr>
        <w:sdtContent>
          <w:r>
            <w:t xml:space="preserve">[49]</w:t>
          </w:r>
        </w:sdtContent>
      </w:sdt>
      <w:r>
        <w:t xml:space="preserve">. Este resultado es comparable al reportado por la aplicación KIJANI evaluada por Willinger et al. </w:t>
      </w:r>
      <w:sdt>
        <w:sdtPr>
          <w:tag w:val="MENDELEY_CITATIONS_v3{&quot;citationID&quot;: &quot;MENDELEY_CITATION_2a8bfa9b-90f3-400e-897f-f28ca830c5c2&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1003"/>
        </w:sdtPr>
        <w:sdtContent>
          <w:r>
            <w:t xml:space="preserve">[25]</w:t>
          </w:r>
        </w:sdtContent>
      </w:sdt>
      <w:r>
        <w:t xml:space="preserve">, cuyo análisis con el cuestionario UEQ obtuvo valores muy favorables en perspicuidad (2,15) y atractividad (1,78), aunque con menor consistencia entre dimensiones. Una explicación plausible para el desempeño relativo de FitKids reside en la incorporación de un lector de voz integrado y de una personalización dinámica de las rutinas, dos atributos que la literatura sobre evaluación de experiencia de usuario con menores identifica como críticos para sostener la usabilidad infantil </w:t>
      </w:r>
      <w:sdt>
        <w:sdtPr>
          <w:tag w:val="MENDELEY_CITATIONS_v3{&quot;citationID&quot;: &quot;MENDELEY_CITATION_8ae0b592-6483-4e68-8810-ae0293d4dc8e&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1004"/>
        </w:sdtPr>
        <w:sdtContent>
          <w:r>
            <w:t xml:space="preserve">[50]</w:t>
          </w:r>
        </w:sdtContent>
      </w:sdt>
      <w:r>
        <w:t xml:space="preserve">. La estabilidad del puntaje en la muestra evaluada (rango 70–95, sin valores críticos) sugiere además una experiencia consistente entre participantes, hallazgo que contrasta con el de Mateo-Orcajada et al. </w:t>
      </w:r>
      <w:sdt>
        <w:sdtPr>
          <w:tag w:val="MENDELEY_CITATIONS_v3{&quot;citationID&quot;: &quot;MENDELEY_CITATION_087cb344-921f-400e-879f-21d25e49f80a&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1005"/>
        </w:sdtPr>
        <w:sdtContent>
          <w:r>
            <w:t xml:space="preserve">[26]</w:t>
          </w:r>
        </w:sdtContent>
      </w:sdt>
      <w:r>
        <w:t xml:space="preserve">, quienes reportaron una variabilidad mayor en aplicaciones de seguimiento de pasos sin elementos de personalización adaptativa.</w:t>
      </w:r>
    </w:p>
    <w:p>
      <w:pPr>
        <w:spacing w:after="200" w:line="360" w:lineRule="auto"/>
        <w:ind w:firstLine="567"/>
        <w:jc w:val="both"/>
      </w:pPr>
      <w:r>
        <w:t xml:space="preserve">En cuanto a la aceptabilidad medida con el modelo de Davis </w:t>
      </w:r>
      <w:sdt>
        <w:sdtPr>
          <w:tag w:val="MENDELEY_CITATIONS_v3{&quot;citationID&quot;: &quot;MENDELEY_CITATION_9c809423-6cb3-44d9-bdd8-afef8df48b31&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1006"/>
        </w:sdtPr>
        <w:sdtContent>
          <w:r>
            <w:t xml:space="preserve">[44]</w:t>
          </w:r>
        </w:sdtContent>
      </w:sdt>
      <w:r>
        <w:t xml:space="preserve">, los valores obtenidos en utilidad percibida (4,37) y facilidad de uso (4,25) reflejan una valoración alta y simétrica entre ambas dimensiones. La proximidad de ambas medias (diferencia de 0,12 puntos) sugiere un equilibrio funcional escasamente reportado en estudios previos sobre aplicaciones móviles infantiles, donde la utilidad suele superar marcadamente a la facilidad de uso </w:t>
      </w:r>
      <w:sdt>
        <w:sdtPr>
          <w:tag w:val="MENDELEY_CITATIONS_v3{&quot;citationID&quot;: &quot;MENDELEY_CITATION_70b824dc-c913-462a-9f67-f4a0393228d4&quot;, &quot;citationItems&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6], [8]&quot;, &quot;manualOverrideText&quot;: &quot;&quot;}}"/>
          <w:id w:val="1007"/>
        </w:sdtPr>
        <w:sdtContent>
          <w:r>
            <w:t xml:space="preserve">[6], [8]</w:t>
          </w:r>
        </w:sdtContent>
      </w:sdt>
      <w:r>
        <w:t xml:space="preserve">. Esta convergencia adquiere especial relevancia en el contexto de los padres como usuarios primarios, ya que la literatura sobre adherencia parental a intervenciones digitales identifica la simplicidad de interacción como un factor con mayor capacidad predictiva de uso sostenido que la utilidad percibida </w:t>
      </w:r>
      <w:sdt>
        <w:sdtPr>
          <w:tag w:val="MENDELEY_CITATIONS_v3{&quot;citationID&quot;: &quot;MENDELEY_CITATION_d2133b14-2af1-489f-9f3a-5cc19e082a30&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1], [22]&quot;, &quot;manualOverrideText&quot;: &quot;&quot;}}"/>
          <w:id w:val="1008"/>
        </w:sdtPr>
        <w:sdtContent>
          <w:r>
            <w:t xml:space="preserve">[21], [22]</w:t>
          </w:r>
        </w:sdtContent>
      </w:sdt>
      <w:r>
        <w:t xml:space="preserve">. A diferencia de propuestas previas centradas en catálogos predefinidos, como las evaluadas por Zhang et al. </w:t>
      </w:r>
      <w:sdt>
        <w:sdtPr>
          <w:tag w:val="MENDELEY_CITATIONS_v3{&quot;citationID&quot;: &quot;MENDELEY_CITATION_95c1771b-ee93-4a4e-90f1-5d0b28fbdbd8&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1009"/>
        </w:sdtPr>
        <w:sdtContent>
          <w:r>
            <w:t xml:space="preserve">[23]</w:t>
          </w:r>
        </w:sdtContent>
      </w:sdt>
      <w:r>
        <w:t xml:space="preserve"> y Papastergiou et al. </w:t>
      </w:r>
      <w:sdt>
        <w:sdtPr>
          <w:tag w:val="MENDELEY_CITATIONS_v3{&quot;citationID&quot;: &quot;MENDELEY_CITATION_ea8a9e40-144e-4b1d-83b3-6f6216267821&quot;, &quot;citationItems&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4]&quot;, &quot;manualOverrideText&quot;: &quot;&quot;}}"/>
          <w:id w:val="1010"/>
        </w:sdtPr>
        <w:sdtContent>
          <w:r>
            <w:t xml:space="preserve">[24]</w:t>
          </w:r>
        </w:sdtContent>
      </w:sdt>
      <w:r>
        <w:t xml:space="preserve">, el sistema desarrollado introduce una capa adicional de personalización mediante inteligencia artificial generativa, característica que puede explicar parte de la valoración positiva de utilidad reportada.</w:t>
      </w:r>
    </w:p>
    <w:p>
      <w:pPr>
        <w:spacing w:after="200" w:line="360" w:lineRule="auto"/>
        <w:ind w:firstLine="567"/>
        <w:jc w:val="both"/>
      </w:pPr>
      <w:r>
        <w:t xml:space="preserve">La validación clínica del contenido generado por IA constituye, posiblemente, el aporte más distintivo del proyecto. La tasa de aprobación del 84 % sobre los ejercicios generados por Gemini, junto con el 16 % de rechazos atribuidos principalmente a intensidad excesiva e instrucciones poco claras, ofrece evidencia empírica congruente con los hallazgos recientes de Zaleski et al. </w:t>
      </w:r>
      <w:sdt>
        <w:sdtPr>
          <w:tag w:val="MENDELEY_CITATIONS_v3{&quot;citationID&quot;: &quot;MENDELEY_CITATION_9cb6cc7d-0cbb-49ce-b821-3ab907289e0b&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1011"/>
        </w:sdtPr>
        <w:sdtContent>
          <w:r>
            <w:t xml:space="preserve">[27]</w:t>
          </w:r>
        </w:sdtContent>
      </w:sdt>
      <w:r>
        <w:t xml:space="preserve">, quienes evaluaron prescripciones de ejercicio generadas por modelos de lenguaje en poblaciones de riesgo y reportaron una seguridad razonable acompañada de una personalización limitada que requiere supervisión profesional. De manera similar, Dergaa et al. </w:t>
      </w:r>
      <w:sdt>
        <w:sdtPr>
          <w:tag w:val="MENDELEY_CITATIONS_v3{&quot;citationID&quot;: &quot;MENDELEY_CITATION_f8ff2fed-83ca-4708-9f77-be028925b585&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1012"/>
        </w:sdtPr>
        <w:sdtContent>
          <w:r>
            <w:t xml:space="preserve">[28]</w:t>
          </w:r>
        </w:sdtContent>
      </w:sdt>
      <w:r>
        <w:t xml:space="preserve">, al evaluar críticamente las prescripciones de GPT-4 sobre cinco perfiles clínicos, concluyeron que la adherencia a los principios FITT (frecuencia, intensidad, tiempo y tipo) era moderada y que las recomendaciones carecían de progresión, lo que refuerza la pertinencia del filtro humano profesional implementado en FitKids. Este modelo híbrido de generación automática + validación experta es coherente con las recomendaciones de la literatura más reciente sobre uso responsable de IA generativa en contextos sensibles </w:t>
      </w:r>
      <w:sdt>
        <w:sdtPr>
          <w:tag w:val="MENDELEY_CITATIONS_v3{&quot;citationID&quot;: &quot;MENDELEY_CITATION_ca8cae13-e9b6-46de-83bc-c71897d3e86a&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1013"/>
        </w:sdtPr>
        <w:sdtContent>
          <w:r>
            <w:t xml:space="preserve">[14], [18]</w:t>
          </w:r>
        </w:sdtContent>
      </w:sdt>
      <w:r>
        <w:t xml:space="preserve">, y constituye una diferencia sustantiva frente a los estudios que han aplicado estos modelos directamente sobre los usuarios sin filtro intermedio.</w:t>
      </w:r>
    </w:p>
    <w:p>
      <w:pPr>
        <w:spacing w:after="200" w:line="360" w:lineRule="auto"/>
        <w:ind w:firstLine="567"/>
        <w:jc w:val="both"/>
      </w:pPr>
      <w:r>
        <w:t xml:space="preserve">Cabe resaltar que ningún trabajo previo de la muestra revisada combina simultáneamente personalización dinámica mediante IA generativa, filtro profesional pre-publicación y eje de supervisión parental como componente estructural del sistema. Las propuestas centradas en niños con respaldo JCR </w:t>
      </w:r>
      <w:sdt>
        <w:sdtPr>
          <w:tag w:val="MENDELEY_CITATIONS_v3{&quot;citationID&quot;: &quot;MENDELEY_CITATION_cc70df24-e609-489a-9cf4-793db8156273&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 [23]–[26], [56]&quot;, &quot;manualOverrideText&quot;: &quot;&quot;}}"/>
          <w:id w:val="1014"/>
        </w:sdtPr>
        <w:sdtContent>
          <w:r>
            <w:t xml:space="preserve">[5], [23]–[26], [56]</w:t>
          </w:r>
        </w:sdtContent>
      </w:sdt>
      <w:r>
        <w:t xml:space="preserve"> operan con catálogos fijos o semifijos, mientras que los trabajos sobre IA generativa para prescripción de ejercicio </w:t>
      </w:r>
      <w:sdt>
        <w:sdtPr>
          <w:tag w:val="MENDELEY_CITATIONS_v3{&quot;citationID&quot;: &quot;MENDELEY_CITATION_a4d317a0-df2e-4894-81fd-96498797e86b&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27], [28]&quot;, &quot;manualOverrideText&quot;: &quot;&quot;}}"/>
          <w:id w:val="1015"/>
        </w:sdtPr>
        <w:sdtContent>
          <w:r>
            <w:t xml:space="preserve">[11], [27], [28]</w:t>
          </w:r>
        </w:sdtContent>
      </w:sdt>
      <w:r>
        <w:t xml:space="preserve"> se han desarrollado fundamentalmente sobre población adulta o clínica. Esta intersección no cubierta por la literatura previa constituye, por lo tanto, el espacio conceptual donde se inserta el aporte tecnológico de FitKids.</w:t>
      </w:r>
    </w:p>
    <w:p>
      <w:pPr>
        <w:spacing w:after="200" w:line="360" w:lineRule="auto"/>
        <w:ind w:firstLine="567"/>
        <w:jc w:val="both"/>
      </w:pPr>
      <w:r>
        <w:t xml:space="preserve">En relación con la efectividad conductual, la observación de uso durante cuatro semanas mostró un promedio de 5,3 sesiones por niño por semana y una adherencia del 68 %, con un incremento medio de 0,7 puntos en el cuestionario PAQ-C </w:t>
      </w:r>
      <w:sdt>
        <w:sdtPr>
          <w:tag w:val="MENDELEY_CITATIONS_v3{&quot;citationID&quot;: &quot;MENDELEY_CITATION_6da59cb9-cf7b-4318-9b1e-d51b24fa1edb&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53]&quot;, &quot;manualOverrideText&quot;: &quot;&quot;}}"/>
          <w:id w:val="1016"/>
        </w:sdtPr>
        <w:sdtContent>
          <w:r>
            <w:t xml:space="preserve">[53]</w:t>
          </w:r>
        </w:sdtContent>
      </w:sdt>
      <w:r>
        <w:t xml:space="preserve">. Estos valores son consistentes con los reportados por Gómez-Cuesta et al. </w:t>
      </w:r>
      <w:sdt>
        <w:sdtPr>
          <w:tag w:val="MENDELEY_CITATIONS_v3{&quot;citationID&quot;: &quot;MENDELEY_CITATION_c7b2d520-b91d-46fe-9960-c52ba1352d9d&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1017"/>
        </w:sdtPr>
        <w:sdtContent>
          <w:r>
            <w:t xml:space="preserve">[5]</w:t>
          </w:r>
        </w:sdtContent>
      </w:sdt>
      <w:r>
        <w:t xml:space="preserve"> en su ensayo controlado aleatorizado de 10 semanas con 462 adolescentes, donde se observaron mejoras significativas en composición corporal y condición física, y son superiores en términos de frecuencia semanal a los del estudio piloto de Domin et al. </w:t>
      </w:r>
      <w:sdt>
        <w:sdtPr>
          <w:tag w:val="MENDELEY_CITATIONS_v3{&quot;citationID&quot;: &quot;MENDELEY_CITATION_3a766242-ef8d-4521-bf5f-6aafbdd1a7a1&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1018"/>
        </w:sdtPr>
        <w:sdtContent>
          <w:r>
            <w:t xml:space="preserve">[56]</w:t>
          </w:r>
        </w:sdtContent>
      </w:sdt>
      <w:r>
        <w:t xml:space="preserve"> en adolescentes de 16–18 años. No obstante, conviene matizar la interpretación: el ensayo de Mateo-Orcajada et al. </w:t>
      </w:r>
      <w:sdt>
        <w:sdtPr>
          <w:tag w:val="MENDELEY_CITATIONS_v3{&quot;citationID&quot;: &quot;MENDELEY_CITATION_c46cd281-789d-479f-a91e-0b45ce5687e1&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1019"/>
        </w:sdtPr>
        <w:sdtContent>
          <w:r>
            <w:t xml:space="preserve">[26]</w:t>
          </w:r>
        </w:sdtContent>
      </w:sdt>
      <w:r>
        <w:t xml:space="preserve"> sobre 50 adolescentes con sobrepeso no encontró cambios significativos en BMI ni en estado psicológico tras 10 semanas de uso de aplicaciones de seguimiento de pasos, lo que refuerza la idea de que la mera disponibilidad tecnológica no garantiza el cambio conductual sostenido. La heterogeneidad observada en la adherencia (40 % alta, 33 % moderada, 27 % baja) es coherente con los meta-análisis sobre intervenciones mHealth en niños y adolescentes </w:t>
      </w:r>
      <w:sdt>
        <w:sdtPr>
          <w:tag w:val="MENDELEY_CITATIONS_v3{&quot;citationID&quot;: &quot;MENDELEY_CITATION_d16924c1-d7c1-4651-b8d7-c53e13dfbd1d&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1020"/>
        </w:sdtPr>
        <w:sdtContent>
          <w:r>
            <w:t xml:space="preserve">[1], [6], [8]</w:t>
          </w:r>
        </w:sdtContent>
      </w:sdt>
      <w:r>
        <w:t xml:space="preserve">, y sugiere que el acompañamiento parental sostenido es una condición necesaria para evitar el abandono temprano, hallazgo respaldado por la revisión sistemática de Yao et al. </w:t>
      </w:r>
      <w:sdt>
        <w:sdtPr>
          <w:tag w:val="MENDELEY_CITATIONS_v3{&quot;citationID&quot;: &quot;MENDELEY_CITATION_7c0fe422-1b7a-4efe-8283-cb2e0aff3d96&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1021"/>
        </w:sdtPr>
        <w:sdtContent>
          <w:r>
            <w:t xml:space="preserve">[22]</w:t>
          </w:r>
        </w:sdtContent>
      </w:sdt>
      <w:r>
        <w:t xml:space="preserve"> sobre correlatos parentales de la actividad física infantil.</w:t>
      </w:r>
    </w:p>
    <w:p>
      <w:pPr>
        <w:spacing w:after="200" w:line="360" w:lineRule="auto"/>
        <w:ind w:firstLine="567"/>
        <w:jc w:val="both"/>
      </w:pPr>
      <w:r>
        <w:t xml:space="preserve">Las limitaciones del estudio deben enunciarse con claridad para preservar la validez de las conclusiones. En primer lugar, el tamaño muestral (15 padres, 15 niños y dos especialistas) es apropiado para un estudio formativo de evaluación de software </w:t>
      </w:r>
      <w:sdt>
        <w:sdtPr>
          <w:tag w:val="MENDELEY_CITATIONS_v3{&quot;citationID&quot;: &quot;MENDELEY_CITATION_16e46913-deb9-47df-b9fb-921dee85b3a0&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1022"/>
        </w:sdtPr>
        <w:sdtContent>
          <w:r>
            <w:t xml:space="preserve">[50]</w:t>
          </w:r>
        </w:sdtContent>
      </w:sdt>
      <w:r>
        <w:t xml:space="preserve"> pero insuficiente para establecer conclusiones generalizables sobre el impacto poblacional del sistema. En segundo lugar, la ausencia de un grupo de control impide atribuir con certeza las mejoras observadas en el PAQ-C exclusivamente al uso de FitKids. En tercer lugar, el período de observación de cuatro semanas, aunque suficiente para evaluar adherencia inicial, resulta corto para apreciar cambios sostenibles en hábitos de vida, en línea con las recomendaciones de la OMS sobre seguimiento de la actividad física infantil </w:t>
      </w:r>
      <w:sdt>
        <w:sdtPr>
          <w:tag w:val="MENDELEY_CITATIONS_v3{&quot;citationID&quot;: &quot;MENDELEY_CITATION_df5aabc5-5628-4417-8af5-97c5b3bf4645&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1023"/>
        </w:sdtPr>
        <w:sdtContent>
          <w:r>
            <w:t xml:space="preserve">[7]</w:t>
          </w:r>
        </w:sdtContent>
      </w:sdt>
      <w:r>
        <w:t xml:space="preserve">. Estas limitaciones no invalidan el aporte tecnológico, pero delimitan su alcance: FitKids demuestra potencial como herramienta de apoyo para fomentar la actividad física infantil, y futuras investigaciones deberán ampliar la muestra, incorporar grupos de control y aplicar diseños longitudinales para confirmar y precisar este potencial, en consonancia con las prácticas reconocidas en evaluación de intervenciones digitales pediátricas </w:t>
      </w:r>
      <w:sdt>
        <w:sdtPr>
          <w:tag w:val="MENDELEY_CITATIONS_v3{&quot;citationID&quot;: &quot;MENDELEY_CITATION_5d445cb9-290d-4b44-8dec-264cdab65a0a&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9], [12]&quot;, &quot;manualOverrideText&quot;: &quot;&quot;}}"/>
          <w:id w:val="1024"/>
        </w:sdtPr>
        <w:sdtContent>
          <w:r>
            <w:t xml:space="preserve">[9], [12]</w:t>
          </w:r>
        </w:sdtContent>
      </w:sdt>
      <w:r>
        <w:t xml:space="preserve">.</w:t>
      </w:r>
    </w:p>
    <w:p>
      <w:r>
        <w:br w:type="page"/>
      </w:r>
    </w:p>
    <w:p>
      <w:pPr>
        <w:pStyle w:val="Heading1"/>
        <w:jc w:val="center"/>
      </w:pPr>
      <w:r>
        <w:t xml:space="preserve">CAPÍTULO V. CONCLUSIONES Y RECOMENDACIONES</w:t>
      </w:r>
    </w:p>
    <w:p>
      <w:pPr>
        <w:pStyle w:val="Heading2"/>
        <w:jc w:val="left"/>
      </w:pPr>
      <w:r>
        <w:t xml:space="preserve">5.1 Conclusiones</w:t>
      </w:r>
    </w:p>
    <w:p>
      <w:pPr>
        <w:spacing w:after="200" w:line="360" w:lineRule="auto"/>
        <w:ind w:firstLine="567"/>
        <w:jc w:val="both"/>
      </w:pPr>
      <w:r>
        <w:t xml:space="preserve">El presente trabajo ha desarrollado y evaluado FitKids, un sistema tecnológico integral que combina una aplicación móvil con modos diferenciados para padres y niños, un módulo web de validación profesional y un mecanismo de generación de rutinas de actividad física personalizadas mediante inteligencia artificial generativa. La evaluación se condujo siguiendo las once fases de la metodología TDDM4IoTS </w:t>
      </w:r>
      <w:sdt>
        <w:sdtPr>
          <w:tag w:val="MENDELEY_CITATIONS_v3{&quot;citationID&quot;: &quot;MENDELEY_CITATION_90a1b6ff-be6c-4bab-8db0-6232582c68c6&quot;, &quot;citationItems&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29], [30]&quot;, &quot;manualOverrideText&quot;: &quot;&quot;}}"/>
          <w:id w:val="1025"/>
        </w:sdtPr>
        <w:sdtContent>
          <w:r>
            <w:t xml:space="preserve">[29], [30]</w:t>
          </w:r>
        </w:sdtContent>
      </w:sdt>
      <w:r>
        <w:t xml:space="preserve">, lo que permitió articular la verificación técnica con la validación de usuarios bajo un marco metodológico reconocido para sistemas IoT. A continuación se presentan las conclusiones organizadas según los objetivos específicos del proyecto.</w:t>
      </w:r>
    </w:p>
    <w:p>
      <w:pPr>
        <w:spacing w:after="200" w:line="360" w:lineRule="auto"/>
        <w:ind w:firstLine="567"/>
        <w:jc w:val="both"/>
      </w:pPr>
      <w:r>
        <w:t xml:space="preserve">Respecto al primer objetivo, relativo al análisis de los factores determinantes de la adherencia infantil a la actividad física, la triangulación de la revisión sistemática de literatura con las entrevistas a especialistas y padres permitió identificar tres ejes críticos: la personalización de las rutinas según edad y condición física, la supervisión parental como mecanismo de acompañamiento sostenido, y la incorporación de elementos motivacionales que mantengan el interés del menor en el tiempo. Estos hallazgos son coherentes con las evidencias consolidadas por Zhang et al. </w:t>
      </w:r>
      <w:sdt>
        <w:sdtPr>
          <w:tag w:val="MENDELEY_CITATIONS_v3{&quot;citationID&quot;: &quot;MENDELEY_CITATION_df99123a-b45b-45a1-b565-28086d415d47&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1026"/>
        </w:sdtPr>
        <w:sdtContent>
          <w:r>
            <w:t xml:space="preserve">[23]</w:t>
          </w:r>
        </w:sdtContent>
      </w:sdt>
      <w:r>
        <w:t xml:space="preserve"> y por las revisiones sistemáticas de Yao et al. </w:t>
      </w:r>
      <w:sdt>
        <w:sdtPr>
          <w:tag w:val="MENDELEY_CITATIONS_v3{&quot;citationID&quot;: &quot;MENDELEY_CITATION_6ab68f41-a129-4d61-b32a-a4e688be69c9&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1027"/>
        </w:sdtPr>
        <w:sdtContent>
          <w:r>
            <w:t xml:space="preserve">[22]</w:t>
          </w:r>
        </w:sdtContent>
      </w:sdt>
      <w:r>
        <w:t xml:space="preserve"> y Rodrigues et al. </w:t>
      </w:r>
      <w:sdt>
        <w:sdtPr>
          <w:tag w:val="MENDELEY_CITATIONS_v3{&quot;citationID&quot;: &quot;MENDELEY_CITATION_d455b284-5faa-46e3-b613-070faf1e1796&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21]&quot;, &quot;manualOverrideText&quot;: &quot;&quot;}}"/>
          <w:id w:val="1028"/>
        </w:sdtPr>
        <w:sdtContent>
          <w:r>
            <w:t xml:space="preserve">[21]</w:t>
          </w:r>
        </w:sdtContent>
      </w:sdt>
      <w:r>
        <w:t xml:space="preserve">, que reconocen la participación familiar como factor estructural en la formación de hábitos saludables durante la infancia. Adicionalmente, los hallazgos coinciden con las barreras y facilitadores documentados por Hesketh et al. </w:t>
      </w:r>
      <w:sdt>
        <w:sdtPr>
          <w:tag w:val="MENDELEY_CITATIONS_v3{&quot;citationID&quot;: &quot;MENDELEY_CITATION_af70fb88-7d99-4abe-b142-5ae00d7d9bb7&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1029"/>
        </w:sdtPr>
        <w:sdtContent>
          <w:r>
            <w:t xml:space="preserve">[12]</w:t>
          </w:r>
        </w:sdtContent>
      </w:sdt>
      <w:r>
        <w:t xml:space="preserve"> en su revisión sistemática cualitativa, lo que refuerza la validez externa de los criterios funcionales adoptados.</w:t>
      </w:r>
    </w:p>
    <w:p>
      <w:pPr>
        <w:spacing w:after="200" w:line="360" w:lineRule="auto"/>
        <w:ind w:firstLine="567"/>
        <w:jc w:val="both"/>
      </w:pPr>
      <w:r>
        <w:t xml:space="preserve">En relación con el segundo objetivo, referido al diseño e implementación tecnológica del sistema, se construyó una solución basada en una arquitectura distribuida de tres capas, articulada mediante un backend en FastAPI, una aplicación móvil multiplataforma en React Native y un entorno web administrativo para los especialistas. La cobertura de pruebas alcanzó el 100 % de los 44 casos definidos (38 unitarios y 6 de integración), valor que supera el umbral de aceptación establecido y se ubica dentro de los estándares de calidad de producto definidos por la norma ISO/IEC 25010 </w:t>
      </w:r>
      <w:sdt>
        <w:sdtPr>
          <w:tag w:val="MENDELEY_CITATIONS_v3{&quot;citationID&quot;: &quot;MENDELEY_CITATION_72540244-a1d3-4974-ab2f-5f257d2ad89f&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1030"/>
        </w:sdtPr>
        <w:sdtContent>
          <w:r>
            <w:t xml:space="preserve">[40]</w:t>
          </w:r>
        </w:sdtContent>
      </w:sdt>
      <w:r>
        <w:t xml:space="preserve">. El cumplimiento de requisitos también alcanzó el 100 % sobre los 16 requisitos formalizados en la matriz de trazabilidad </w:t>
      </w:r>
      <w:sdt>
        <w:sdtPr>
          <w:tag w:val="MENDELEY_CITATIONS_v3{&quot;citationID&quot;: &quot;MENDELEY_CITATION_eb9fb914-97c4-4479-bdda-bee0b3823abf&quot;, &quot;citationItems&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46]&quot;, &quot;manualOverrideText&quot;: &quot;&quot;}}"/>
          <w:id w:val="1031"/>
        </w:sdtPr>
        <w:sdtContent>
          <w:r>
            <w:t xml:space="preserve">[46]</w:t>
          </w:r>
        </w:sdtContent>
      </w:sdt>
      <w:r>
        <w:t xml:space="preserve">, lo cual evidencia que el alcance comprometido se cumplió íntegramente.</w:t>
      </w:r>
    </w:p>
    <w:p>
      <w:pPr>
        <w:spacing w:after="200" w:line="360" w:lineRule="auto"/>
        <w:ind w:firstLine="567"/>
        <w:jc w:val="both"/>
      </w:pPr>
      <w:r>
        <w:t xml:space="preserve">En cuanto al tercer objetivo, vinculado a la generación de planes de ejercicio personalizados mediante inteligencia artificial, se logró implementar un mecanismo basado en el modelo Gemini que produce rutinas adaptadas a la edad, el peso, las condiciones médicas y los intereses del niño. La tasa de aprobación profesional del 84 % sobre los 50 ejercicios evaluados confirma la viabilidad técnica del enfoque, mientras que el 16 % de rechazos justifica la permanencia obligatoria del filtro humano. Este resultado se inserta en la línea de hallazgos reportados por Zaleski et al. </w:t>
      </w:r>
      <w:sdt>
        <w:sdtPr>
          <w:tag w:val="MENDELEY_CITATIONS_v3{&quot;citationID&quot;: &quot;MENDELEY_CITATION_c0dc22d7-f57a-4127-9e90-379fc63be8f4&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1032"/>
        </w:sdtPr>
        <w:sdtContent>
          <w:r>
            <w:t xml:space="preserve">[27]</w:t>
          </w:r>
        </w:sdtContent>
      </w:sdt>
      <w:r>
        <w:t xml:space="preserve"> y Dergaa et al. </w:t>
      </w:r>
      <w:sdt>
        <w:sdtPr>
          <w:tag w:val="MENDELEY_CITATIONS_v3{&quot;citationID&quot;: &quot;MENDELEY_CITATION_3f6902ee-18e4-4295-ab28-bc13e472221d&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1033"/>
        </w:sdtPr>
        <w:sdtContent>
          <w:r>
            <w:t xml:space="preserve">[28]</w:t>
          </w:r>
        </w:sdtContent>
      </w:sdt>
      <w:r>
        <w:t xml:space="preserve">, quienes identificaron limitaciones similares en la individualización y la progresión de las prescripciones generadas por modelos de lenguaje, y aporta evidencia inicial específica para población infantil, segmento etario hasta ahora poco representado en la literatura sobre IA generativa para prescripción de ejercicio </w:t>
      </w:r>
      <w:sdt>
        <w:sdtPr>
          <w:tag w:val="MENDELEY_CITATIONS_v3{&quot;citationID&quot;: &quot;MENDELEY_CITATION_cc295b92-b5f3-4b54-a145-580d592f1338&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1034"/>
        </w:sdtPr>
        <w:sdtContent>
          <w:r>
            <w:t xml:space="preserve">[14], [18]</w:t>
          </w:r>
        </w:sdtContent>
      </w:sdt>
      <w:r>
        <w:t xml:space="preserve">.</w:t>
      </w:r>
    </w:p>
    <w:p>
      <w:pPr>
        <w:spacing w:after="200" w:line="360" w:lineRule="auto"/>
        <w:ind w:firstLine="567"/>
        <w:jc w:val="both"/>
      </w:pPr>
      <w:r>
        <w:t xml:space="preserve">Respecto al cuarto objetivo, relativo a la evaluación con usuarios reales, los resultados obtenidos evidencian un comportamiento favorable del sistema en las dimensiones analizadas. La puntuación SUS de 81,17 puntos supera en 13 puntos la media normativa global de Lewis </w:t>
      </w:r>
      <w:sdt>
        <w:sdtPr>
          <w:tag w:val="MENDELEY_CITATIONS_v3{&quot;citationID&quot;: &quot;MENDELEY_CITATION_a8da3bac-520d-4f11-9e83-972523ab1003&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1035"/>
        </w:sdtPr>
        <w:sdtContent>
          <w:r>
            <w:t xml:space="preserve">[51]</w:t>
          </w:r>
        </w:sdtContent>
      </w:sdt>
      <w:r>
        <w:t xml:space="preserve"> y ubica al sistema en la categoría “excelente” según Bangor et al. </w:t>
      </w:r>
      <w:sdt>
        <w:sdtPr>
          <w:tag w:val="MENDELEY_CITATIONS_v3{&quot;citationID&quot;: &quot;MENDELEY_CITATION_b750008f-fed4-435b-8aa1-1c4fc37c71f6&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1036"/>
        </w:sdtPr>
        <w:sdtContent>
          <w:r>
            <w:t xml:space="preserve">[49]</w:t>
          </w:r>
        </w:sdtContent>
      </w:sdt>
      <w:r>
        <w:t xml:space="preserve">. Las medias TAM (UP = 4,37; FU = 4,25) superan ampliamente el umbral de aceptación de 4,0 establecido por Davis </w:t>
      </w:r>
      <w:sdt>
        <w:sdtPr>
          <w:tag w:val="MENDELEY_CITATIONS_v3{&quot;citationID&quot;: &quot;MENDELEY_CITATION_6eb4ccc5-44e2-43e0-9362-87ede672d9e6&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1037"/>
        </w:sdtPr>
        <w:sdtContent>
          <w:r>
            <w:t xml:space="preserve">[44]</w:t>
          </w:r>
        </w:sdtContent>
      </w:sdt>
      <w:r>
        <w:t xml:space="preserve">. Estos valores son comparables con los reportados por aplicaciones similares en la literatura JCR especializada, como las evaluadas por Zhang et al. </w:t>
      </w:r>
      <w:sdt>
        <w:sdtPr>
          <w:tag w:val="MENDELEY_CITATIONS_v3{&quot;citationID&quot;: &quot;MENDELEY_CITATION_6e31269f-1d80-49a4-93aa-017a9fd5a19f&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1038"/>
        </w:sdtPr>
        <w:sdtContent>
          <w:r>
            <w:t xml:space="preserve">[23]</w:t>
          </w:r>
        </w:sdtContent>
      </w:sdt>
      <w:r>
        <w:t xml:space="preserve">, Willinger et al. </w:t>
      </w:r>
      <w:sdt>
        <w:sdtPr>
          <w:tag w:val="MENDELEY_CITATIONS_v3{&quot;citationID&quot;: &quot;MENDELEY_CITATION_f40756a4-c598-4457-9eae-b6a7a76609e9&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1039"/>
        </w:sdtPr>
        <w:sdtContent>
          <w:r>
            <w:t xml:space="preserve">[25]</w:t>
          </w:r>
        </w:sdtContent>
      </w:sdt>
      <w:r>
        <w:t xml:space="preserve"> y Gómez-Cuesta et al. </w:t>
      </w:r>
      <w:sdt>
        <w:sdtPr>
          <w:tag w:val="MENDELEY_CITATIONS_v3{&quot;citationID&quot;: &quot;MENDELEY_CITATION_b383edce-4708-42fd-b12e-196c42ee97e8&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1040"/>
        </w:sdtPr>
        <w:sdtContent>
          <w:r>
            <w:t xml:space="preserve">[5]</w:t>
          </w:r>
        </w:sdtContent>
      </w:sdt>
      <w:r>
        <w:t xml:space="preserve">, y son superiores en términos de simetría entre dimensiones a los habitualmente documentados para aplicaciones de salud digital infantil.</w:t>
      </w:r>
    </w:p>
    <w:p>
      <w:pPr>
        <w:spacing w:after="200" w:line="360" w:lineRule="auto"/>
        <w:ind w:firstLine="567"/>
        <w:jc w:val="both"/>
      </w:pPr>
      <w:r>
        <w:t xml:space="preserve">En cuanto al quinto objetivo, referido al impacto conductual del sistema, la observación de uso durante cuatro semanas reportó una adherencia promedio del 68 % y un incremento medio de 0,7 puntos en el cuestionario PAQ-C </w:t>
      </w:r>
      <w:sdt>
        <w:sdtPr>
          <w:tag w:val="MENDELEY_CITATIONS_v3{&quot;citationID&quot;: &quot;MENDELEY_CITATION_241c94b4-7eed-42d8-a443-59cd9f16555f&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53], [55]&quot;, &quot;manualOverrideText&quot;: &quot;&quot;}}"/>
          <w:id w:val="1041"/>
        </w:sdtPr>
        <w:sdtContent>
          <w:r>
            <w:t xml:space="preserve">[53], [55]</w:t>
          </w:r>
        </w:sdtContent>
      </w:sdt>
      <w:r>
        <w:t xml:space="preserve">, indicador validado para evaluar el nivel general de actividad física en niños en edad escolar. Si bien estos resultados sugieren un efecto inicial favorable, deben interpretarse con cautela debido al tamaño reducido de la muestra y a la ausencia de un grupo de control, en consistencia con las consideraciones metodológicas de los meta-análisis sobre intervenciones mHealth pediátricas </w:t>
      </w:r>
      <w:sdt>
        <w:sdtPr>
          <w:tag w:val="MENDELEY_CITATIONS_v3{&quot;citationID&quot;: &quot;MENDELEY_CITATION_8066e850-faa7-4652-84af-44e4c463b733&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 [6]&quot;, &quot;manualOverrideText&quot;: &quot;&quot;}}"/>
          <w:id w:val="1042"/>
        </w:sdtPr>
        <w:sdtContent>
          <w:r>
            <w:t xml:space="preserve">[1], [6]</w:t>
          </w:r>
        </w:sdtContent>
      </w:sdt>
      <w:r>
        <w:t xml:space="preserve">.</w:t>
      </w:r>
    </w:p>
    <w:p>
      <w:pPr>
        <w:spacing w:after="200" w:line="360" w:lineRule="auto"/>
        <w:ind w:firstLine="567"/>
        <w:jc w:val="both"/>
      </w:pPr>
      <w:r>
        <w:t xml:space="preserve">La principal aportación científico-tecnológica del trabajo radica en la integración, dentro de un único sistema, de tres atributos que la literatura previa había abordado de manera aislada: la personalización dinámica mediante IA generativa, la validación profesional pre-publicación de cada ejercicio, y un eje de supervisión parental con capacidades de monitoreo y configuración. Esta combinación responde directamente a las recomendaciones de la Organización Mundial de la Salud sobre actividad física y comportamiento sedentario en menores </w:t>
      </w:r>
      <w:sdt>
        <w:sdtPr>
          <w:tag w:val="MENDELEY_CITATIONS_v3{&quot;citationID&quot;: &quot;MENDELEY_CITATION_8d21b5a4-66ca-4842-acf9-c581c0e0ae23&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9]&quot;, &quot;manualOverrideText&quot;: &quot;&quot;}}"/>
          <w:id w:val="1043"/>
        </w:sdtPr>
        <w:sdtContent>
          <w:r>
            <w:t xml:space="preserve">[7], [9]</w:t>
          </w:r>
        </w:sdtContent>
      </w:sdt>
      <w:r>
        <w:t xml:space="preserve"> y constituye una contribución específica al estado del arte de las aplicaciones mHealth para infancia.</w:t>
      </w:r>
    </w:p>
    <w:p>
      <w:pPr>
        <w:spacing w:after="200" w:line="360" w:lineRule="auto"/>
        <w:ind w:firstLine="567"/>
        <w:jc w:val="both"/>
      </w:pPr>
      <w:r>
        <w:t xml:space="preserve">Finalmente, el sistema se concibe como un prototipo funcional con potencial de escalamiento. La arquitectura adoptada y el plan de mantenimiento documentado permiten proyectar su evolución mediante actividades correctivas, adaptativas, evolutivas y preventivas. No obstante, su implementación en un entorno real requeriría considerar aspectos adicionales como la infraestructura de despliegue, los costos operativos a escala y la ampliación de la cobertura a otras plataformas, lo cual abre líneas de trabajo futuro detalladas en la siguiente sección.</w:t>
      </w:r>
    </w:p>
    <w:p>
      <w:pPr>
        <w:pStyle w:val="Heading2"/>
        <w:jc w:val="left"/>
      </w:pPr>
      <w:r>
        <w:t xml:space="preserve">5.2 Recomendaciones</w:t>
      </w:r>
    </w:p>
    <w:p>
      <w:pPr>
        <w:spacing w:after="200" w:line="360" w:lineRule="auto"/>
        <w:ind w:firstLine="567"/>
        <w:jc w:val="both"/>
      </w:pPr>
      <w:r>
        <w:t xml:space="preserve">A partir de las limitaciones identificadas y de los hallazgos discutidos en la sección anterior, se formulan las siguientes líneas de trabajo futuro, organizadas en cuatro dimensiones: metodológica, técnica, clínica y de inclusión.</w:t>
      </w:r>
    </w:p>
    <w:p>
      <w:pPr>
        <w:spacing w:after="200" w:line="360" w:lineRule="auto"/>
        <w:ind w:firstLine="567"/>
        <w:jc w:val="both"/>
      </w:pPr>
      <w:r>
        <w:t xml:space="preserve">Desde la perspectiva metodológica, se recomienda ampliar el tamaño muestral e incorporar diseños cuasi-experimentales o experimentales con seguimiento longitudinal de al menos 12 semanas, lo cual permitiría evaluar el impacto real del sistema sobre la reducción del sedentarismo y la mejora sostenida de hábitos de actividad física. Esta extensión metodológica respondería a las recomendaciones consolidadas en revisiones sistemáticas y meta-análisis sobre intervenciones mHealth pediátricas </w:t>
      </w:r>
      <w:sdt>
        <w:sdtPr>
          <w:tag w:val="MENDELEY_CITATIONS_v3{&quot;citationID&quot;: &quot;MENDELEY_CITATION_bec9395f-35ce-4bdc-8aed-9cabdcd29fa3&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1044"/>
        </w:sdtPr>
        <w:sdtContent>
          <w:r>
            <w:t xml:space="preserve">[1], [6], [8]</w:t>
          </w:r>
        </w:sdtContent>
      </w:sdt>
      <w:r>
        <w:t xml:space="preserve">, e incorporaría grupos de control que permitan establecer relaciones causales más sólidas. Adicionalmente, sería pertinente integrar mediciones objetivas de actividad mediante acelerometría, en línea con las prácticas adoptadas por Domin et al. </w:t>
      </w:r>
      <w:sdt>
        <w:sdtPr>
          <w:tag w:val="MENDELEY_CITATIONS_v3{&quot;citationID&quot;: &quot;MENDELEY_CITATION_c7eea787-db06-45d6-89cd-e1e2929ea8c6&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1045"/>
        </w:sdtPr>
        <w:sdtContent>
          <w:r>
            <w:t xml:space="preserve">[56]</w:t>
          </w:r>
        </w:sdtContent>
      </w:sdt>
      <w:r>
        <w:t xml:space="preserve"> y Mateo-Orcajada et al. </w:t>
      </w:r>
      <w:sdt>
        <w:sdtPr>
          <w:tag w:val="MENDELEY_CITATIONS_v3{&quot;citationID&quot;: &quot;MENDELEY_CITATION_06e443d7-e464-451a-80e0-256ab8c82762&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1046"/>
        </w:sdtPr>
        <w:sdtContent>
          <w:r>
            <w:t xml:space="preserve">[26]</w:t>
          </w:r>
        </w:sdtContent>
      </w:sdt>
      <w:r>
        <w:t xml:space="preserve">.</w:t>
      </w:r>
    </w:p>
    <w:p>
      <w:pPr>
        <w:spacing w:after="200" w:line="360" w:lineRule="auto"/>
        <w:ind w:firstLine="567"/>
        <w:jc w:val="both"/>
      </w:pPr>
      <w:r>
        <w:t xml:space="preserve">Desde la dimensión técnica, se recomienda fortalecer la documentación del sistema para garantizar su mantenibilidad y reproducibilidad: definición explícita de versiones de dependencias, formalización del modelo de datos mediante diagramas entidad-relación completos y publicación del código fuente en un repositorio accesible, prácticas alineadas con los principios de ingeniería de software contemporáneos </w:t>
      </w:r>
      <w:sdt>
        <w:sdtPr>
          <w:tag w:val="MENDELEY_CITATIONS_v3{&quot;citationID&quot;: &quot;MENDELEY_CITATION_dedb2ccc-b72e-44c2-862b-0f38e08d6d03&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1047"/>
        </w:sdtPr>
        <w:sdtContent>
          <w:r>
            <w:t xml:space="preserve">[40]</w:t>
          </w:r>
        </w:sdtContent>
      </w:sdt>
      <w:r>
        <w:t xml:space="preserve">. Asimismo, conviene ampliar la cobertura tecnológica del sistema mediante el desarrollo de versiones compatibles con iOS o de una aplicación web progresiva, lo cual extendería el acceso a un mayor número de usuarios y reduciría las barreras tecnológicas asociadas al sistema operativo.</w:t>
      </w:r>
    </w:p>
    <w:p>
      <w:pPr>
        <w:spacing w:after="200" w:line="360" w:lineRule="auto"/>
        <w:ind w:firstLine="567"/>
        <w:jc w:val="both"/>
      </w:pPr>
      <w:r>
        <w:t xml:space="preserve">Desde la dimensión clínica y de IA generativa, se recomienda desarrollar evaluaciones sistemáticas que comparen formalmente la calidad de las rutinas generadas por modelos de lenguaje con planes diseñados directamente por profesionales, considerando criterios clínicos y pedagógicos alineados con las guías internacionales en salud infantil </w:t>
      </w:r>
      <w:sdt>
        <w:sdtPr>
          <w:tag w:val="MENDELEY_CITATIONS_v3{&quot;citationID&quot;: &quot;MENDELEY_CITATION_9998e093-04da-41f4-92d1-ca752494bb55&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1048"/>
        </w:sdtPr>
        <w:sdtContent>
          <w:r>
            <w:t xml:space="preserve">[7]</w:t>
          </w:r>
        </w:sdtContent>
      </w:sdt>
      <w:r>
        <w:t xml:space="preserve">. Igualmente, sería conveniente explorar mecanismos de ajuste fino del modelo generativo sobre corpus específicos de actividad física pediátrica, así como la integración de interfaces conversacionales que permitan a los padres interactuar de forma más natural con el sistema </w:t>
      </w:r>
      <w:sdt>
        <w:sdtPr>
          <w:tag w:val="MENDELEY_CITATIONS_v3{&quot;citationID&quot;: &quot;MENDELEY_CITATION_457ec44d-0aa4-46a5-ba80-8d3c19913cc5&quot;, &quot;citationItems&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18]&quot;, &quot;manualOverrideText&quot;: &quot;&quot;}}"/>
          <w:id w:val="1049"/>
        </w:sdtPr>
        <w:sdtContent>
          <w:r>
            <w:t xml:space="preserve">[11], [18]</w:t>
          </w:r>
        </w:sdtContent>
      </w:sdt>
      <w:r>
        <w:t xml:space="preserve">. Estas líneas se anticipan especialmente prometedoras a la luz de los avances recientes en evaluación de IA generativa para prescripción de ejercicio </w:t>
      </w:r>
      <w:sdt>
        <w:sdtPr>
          <w:tag w:val="MENDELEY_CITATIONS_v3{&quot;citationID&quot;: &quot;MENDELEY_CITATION_bf173443-58ce-4d3a-bda7-ae08de1cd059&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7], [28]&quot;, &quot;manualOverrideText&quot;: &quot;&quot;}}"/>
          <w:id w:val="1050"/>
        </w:sdtPr>
        <w:sdtContent>
          <w:r>
            <w:t xml:space="preserve">[27], [28]</w:t>
          </w:r>
        </w:sdtContent>
      </w:sdt>
      <w:r>
        <w:t xml:space="preserve">.</w:t>
      </w:r>
    </w:p>
    <w:p>
      <w:pPr>
        <w:spacing w:after="200" w:line="360" w:lineRule="auto"/>
        <w:ind w:firstLine="567"/>
        <w:jc w:val="both"/>
      </w:pPr>
      <w:r>
        <w:t xml:space="preserve">Desde la dimensión de inclusión y adherencia, se sugiere incorporar mecanismos de gamificación cuya efectividad ha sido respaldada por meta-análisis recientes </w:t>
      </w:r>
      <w:sdt>
        <w:sdtPr>
          <w:tag w:val="MENDELEY_CITATIONS_v3{&quot;citationID&quot;: &quot;MENDELEY_CITATION_cc9227fb-0cff-4ad4-8d8e-618a23c9ebc1&quot;, &quot;citationItems&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9], [20]&quot;, &quot;manualOverrideText&quot;: &quot;&quot;}}"/>
          <w:id w:val="1051"/>
        </w:sdtPr>
        <w:sdtContent>
          <w:r>
            <w:t xml:space="preserve">[19], [20]</w:t>
          </w:r>
        </w:sdtContent>
      </w:sdt>
      <w:r>
        <w:t xml:space="preserve">, siempre y cuando estén complementados con el eje de validación profesional para evitar el conflicto entre entretenimiento y rigor clínico que la propia literatura señala. Asimismo, se recomienda profundizar en la dimensión cultural y socioeconómica de la muestra mediante estudios multicéntricos que abarquen distintos contextos del Ecuador y de la región latinoamericana, atendiendo las observaciones de Hesketh et al. </w:t>
      </w:r>
      <w:sdt>
        <w:sdtPr>
          <w:tag w:val="MENDELEY_CITATIONS_v3{&quot;citationID&quot;: &quot;MENDELEY_CITATION_4a9c53e7-e5a4-4a77-a270-9904afc423ed&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1052"/>
        </w:sdtPr>
        <w:sdtContent>
          <w:r>
            <w:t xml:space="preserve">[12]</w:t>
          </w:r>
        </w:sdtContent>
      </w:sdt>
      <w:r>
        <w:t xml:space="preserve"> sobre la pertinencia de considerar variables contextuales (espacio en el hogar, seguridad del entorno, clima) en el diseño de intervenciones digitales para población infantil.</w:t>
      </w:r>
    </w:p>
    <w:p>
      <w:pPr>
        <w:spacing w:after="200" w:line="360" w:lineRule="auto"/>
        <w:ind w:firstLine="567"/>
        <w:jc w:val="both"/>
      </w:pPr>
      <w:r>
        <w:t xml:space="preserve">Finalmente, desde la perspectiva de presentación y estructura del documento, se sugiere realizar una revisión editorial integral en futuras versiones del trabajo y reorganizar el manual de funcionamiento del sistema en un anexo independiente, lo cual permitiría diferenciar con mayor claridad entre los resultados de la evaluación y la documentación operativa de la herramienta desarrollada.</w:t>
      </w:r>
    </w:p>
    <w:p>
      <w:r>
        <w:br w:type="page"/>
      </w:r>
    </w:p>
    <w:p>
      <w:pPr>
        <w:pStyle w:val="Heading1"/>
        <w:jc w:val="center"/>
      </w:pPr>
      <w:r>
        <w:t xml:space="preserve">CAPÍTULO VI. BIBLIOGRAFÍA</w:t>
      </w:r>
    </w:p>
    <w:p>
      <w:pPr>
        <w:spacing w:after="200" w:line="360" w:lineRule="auto"/>
        <w:ind w:firstLine="567"/>
        <w:jc w:val="both"/>
      </w:pPr>
      <w:r>
        <w:t xml:space="preserve">La siguiente bibliografía está gestionada por Mendeley Cite y se presenta en estilo IEEE, ordenada según el orden de primera aparición de cada referencia en el documento. Al abrir el archivo con el plugin Mendeley Cite instalado, la lista se actualizará automáticamente y mantendrá la coherencia con todos los campos de cita insertados en el cuerpo del documento.</w:t>
      </w:r>
    </w:p>
    <w:sdt>
      <w:sdtPr>
        <w:tag w:val="MENDELEY_BIBLIOGRAPHY_v3{&quot;bibliographyType&quot;: &quot;MENDELEY_BIBLIOGRAPHY_v1&quot;, &quot;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c7297754-347d-40d3-954a-a055e7b51f7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485602c0-7137-4708-9698-345262befa41&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8198f633-cb2b-4544-9679-774dc3ae2d8c&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id&quot;: &quot;05ad85d9-3aff-4d0b-953f-0a6d2c174d41&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55282ba-f3db-407f-bae5-2fb5d35c053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466bc52d-ce4b-455d-852f-bc1179995103&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a87039e3-f1f1-43b6-9e85-e48118e9ab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cf08211-18c1-4c31-84ea-5f183325fb39&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327a811-c59b-4d62-bec0-8303207e52cf&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id&quot;: &quot;99383a2c-ee6b-4291-ac0a-5a6a6aac7051&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af940a96-062a-4e27-8c95-b3c7f5fc2145&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382f6feb-d789-4949-b7ee-8a31d3003609&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df49126c-a870-4e92-92e4-e0ae38691c3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2fa62f3c-0b64-4017-a0fc-b8897987420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01faa23-41c2-491d-a1c3-7624ce53066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9c184ac4-a959-4cbf-a9f1-7a04eeb7101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c4158f74-5941-49b9-91bf-35dbcd72cc40&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f77449c9-c3cc-475c-961e-d42256a2fefa&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4a833f06-52f7-46b1-9999-c8612f47f37c&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id&quot;: &quot;4317cce3-576f-4925-b464-eed55479aed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b89c6ae-7dc0-4c5b-8d99-58a6963f3e20&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6126ff7c-0907-46af-ae70-671651b17f47&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id&quot;: &quot;93b4ac48-bb78-48c1-9903-98db1b5dbf99&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id&quot;: &quot;99be7c6b-d23e-4517-8576-20f0f44728e8&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410023e-016d-45c1-ab31-a9d9fb9851a7&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91aded12-d1cc-4c5b-97a1-1fa62c9496f9&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w:id w:val="1053"/>
      </w:sdtPr>
      <w:sdtContent>
        <w:p>
          <w:pPr>
            <w:spacing w:after="240" w:line="320" w:lineRule="auto"/>
            <w:ind w:left="720" w:hanging="720"/>
            <w:jc w:val="both"/>
          </w:pPr>
          <w:r>
            <w:t xml:space="preserve">[1]	J. Chaput et al., “2020 WHO guidelines on physical activity and sedentary behaviour for children and adolescents aged 5-17 years: summary of the evidence,” International Journal of Behavioral Nutrition and Physical Activity, vol. 17, no. 1, art. 141, 2020, doi: 10.1186/s12966-020-01037-z.</w:t>
          </w:r>
        </w:p>
        <w:p>
          <w:pPr>
            <w:spacing w:after="240" w:line="320" w:lineRule="auto"/>
            <w:ind w:left="720" w:hanging="720"/>
            <w:jc w:val="both"/>
          </w:pPr>
          <w:r>
            <w:t xml:space="preserve">[2]	S. Musa, R. Elyamani and I. Dergaa, “COVID-19 and screen-based sedentary behaviour: Systematic review of digital screen time and metabolic syndrome in adolescents,” PLOS ONE, vol. 17, no. 3, art. e0265560, 2022, doi: 10.1371/journal.pone.0265560.</w:t>
          </w:r>
        </w:p>
        <w:p>
          <w:pPr>
            <w:spacing w:after="240" w:line="320" w:lineRule="auto"/>
            <w:ind w:left="720" w:hanging="720"/>
            <w:jc w:val="both"/>
          </w:pPr>
          <w:r>
            <w:t xml:space="preserve">[3]	T.J. Saunders et al., “Combinations of physical activity, sedentary behavior, and sleep duration and their associations with physical, psychological, and educational outcomes in children and adolescents: A systematic review,” Applied Physiology, Nutrition, and Metabolism, vol. 47, no. 4, pp. 396-410, 2022, doi: 10.1139/apnm-2021-0529.</w:t>
          </w:r>
        </w:p>
        <w:p>
          <w:pPr>
            <w:spacing w:after="240" w:line="320" w:lineRule="auto"/>
            <w:ind w:left="720" w:hanging="720"/>
            <w:jc w:val="both"/>
          </w:pPr>
          <w:r>
            <w:t xml:space="preserve">[4]	Y. Zhu, Y. Long, H. Wang, K.P. Lee, L. Zhang and S.J. Wang, “Digital behavior change intervention designs for habit formation: Systematic review,” Journal of Medical Internet Research, vol. 26, art. e54375, 2024, doi: 10.2196/54375.</w:t>
          </w:r>
        </w:p>
        <w:p>
          <w:pPr>
            <w:spacing w:after="240" w:line="320" w:lineRule="auto"/>
            <w:ind w:left="720" w:hanging="720"/>
            <w:jc w:val="both"/>
          </w:pPr>
          <w:r>
            <w:t xml:space="preserve">[5]	N. Gomez-Cuesta, A. Mateo-Orcajada, L. Merono, L. Abenza-Cano and R. Vaquero-Cristobal, “A mobile app-based intervention improves anthropometry, body composition and fitness, regardless of previous active-inactive status: A randomized controlled trial,” Frontiers in Public Health, vol. 12, art. 1380621, 2024, doi: 10.3389/fpubh.2024.1380621.</w:t>
          </w:r>
        </w:p>
        <w:p>
          <w:pPr>
            <w:spacing w:after="240" w:line="320" w:lineRule="auto"/>
            <w:ind w:left="720" w:hanging="720"/>
            <w:jc w:val="both"/>
          </w:pPr>
          <w:r>
            <w:t xml:space="preserve">[6]	A. Direito, E. Carraca, J. Rawstorn, R. Whittaker and R. Maddison, “mHealth technologies to influence physical activity and sedentary behaviors: Behavior change techniques, systematic review and meta-analysis of randomized controlled trials,” Annals of Behavioral Medicine, vol. 51, no. 2, pp. 226-239, 2017, doi: 10.1007/s12160-016-9846-0.</w:t>
          </w:r>
        </w:p>
        <w:p>
          <w:pPr>
            <w:spacing w:after="240" w:line="320" w:lineRule="auto"/>
            <w:ind w:left="720" w:hanging="720"/>
            <w:jc w:val="both"/>
          </w:pPr>
          <w:r>
            <w:t xml:space="preserve">[7]	F.C. Bull et al., “World Health Organization 2020 guidelines on physical activity and sedentary behaviour,” British Journal of Sports Medicine, vol. 54, no. 24, pp. 1451-1462, 2020, doi: 10.1136/bjsports-2020-102955.</w:t>
          </w:r>
        </w:p>
        <w:p>
          <w:pPr>
            <w:spacing w:after="240" w:line="320" w:lineRule="auto"/>
            <w:ind w:left="720" w:hanging="720"/>
            <w:jc w:val="both"/>
          </w:pPr>
          <w:r>
            <w:t xml:space="preserve">[8]	G. Mueller et al., “A refined mobile health intervention (SMARTFAMILY2.0) to promote physical activity and healthy eating in a family setting: Randomized controlled trial,” JMIR mHealth and uHealth, vol. 12, art. e54669, 2024, doi: 10.2196/54669.</w:t>
          </w:r>
        </w:p>
        <w:p>
          <w:pPr>
            <w:spacing w:after="240" w:line="320" w:lineRule="auto"/>
            <w:ind w:left="720" w:hanging="720"/>
            <w:jc w:val="both"/>
          </w:pPr>
          <w:r>
            <w:t xml:space="preserve">[9]	R. Guthold, G.A. Stevens, L.M. Riley and F.C. Bull, “Global trends in insufficient physical activity among adolescents: a pooled analysis of 298 population-based surveys with 1.6 million participants,” The Lancet Child &amp; Adolescent Health, vol. 4, no. 1, pp. 23-35, 2020, doi: 10.1016/S2352-4642(19)30323-2.</w:t>
          </w:r>
        </w:p>
        <w:p>
          <w:pPr>
            <w:spacing w:after="240" w:line="320" w:lineRule="auto"/>
            <w:ind w:left="720" w:hanging="720"/>
            <w:jc w:val="both"/>
          </w:pPr>
          <w:r>
            <w:t xml:space="preserve">[10]	A.L. Zaleski, R. Berkowsky and L.S. Pescatello, “Using artificial intelligence for exercise prescription in personalised health promotion: A critical evaluation of OpenAI's GPT-4 model,” Frontiers in Public Health, vol. 12, art. 1360869, 2024, doi: 10.3389/fpubh.2024.1360869.</w:t>
          </w:r>
        </w:p>
        <w:p>
          <w:pPr>
            <w:spacing w:after="240" w:line="320" w:lineRule="auto"/>
            <w:ind w:left="720" w:hanging="720"/>
            <w:jc w:val="both"/>
          </w:pPr>
          <w:r>
            <w:t xml:space="preserve">[11]	A. Pareek, N.A. Chiarlitti and T.O. Smith, “Harnessing generative artificial intelligence for exercise and training prescription: Applications and implications in sports and physical activity—A systematic literature review,” Applied Sciences, vol. 15, no. 7, art. 3497, 2025, doi: 10.3390/app15073497.</w:t>
          </w:r>
        </w:p>
        <w:p>
          <w:pPr>
            <w:spacing w:after="240" w:line="320" w:lineRule="auto"/>
            <w:ind w:left="720" w:hanging="720"/>
            <w:jc w:val="both"/>
          </w:pPr>
          <w:r>
            <w:t xml:space="preserve">[12]	K.R. Hesketh, R. Lakshman and E.M.F. van Sluijs, “Barriers and facilitators to young children's physical activity and sedentary behaviour: a systematic review and synthesis of qualitative literature,” Obesity Reviews, vol. 18, no. 9, pp. 987-1017, 2017, doi: 10.1111/obr.12562.</w:t>
          </w:r>
        </w:p>
        <w:p>
          <w:pPr>
            <w:spacing w:after="240" w:line="320" w:lineRule="auto"/>
            <w:ind w:left="720" w:hanging="720"/>
            <w:jc w:val="both"/>
          </w:pPr>
          <w:r>
            <w:t xml:space="preserve">[13]	United Nations, “Transforming our world: the 2030 Agenda for Sustainable Development,” United Nations General Assembly, New York, 2015. [Online]. Available: https://sdgs.un.org/2030agenda.</w:t>
          </w:r>
        </w:p>
        <w:p>
          <w:pPr>
            <w:spacing w:after="240" w:line="320" w:lineRule="auto"/>
            <w:ind w:left="720" w:hanging="720"/>
            <w:jc w:val="both"/>
          </w:pPr>
          <w:r>
            <w:t xml:space="preserve">[14]	A. Bandi, P.V.S.R. Adapa and Y.E.V.P.K. Kuchi, “The power of generative AI: A review of requirements, models, input–output formats, evaluation metrics, and challenges,” Future Internet, vol. 15, no. 8, art. 260, 2023, doi: 10.3390/fi15080260.</w:t>
          </w:r>
        </w:p>
        <w:p>
          <w:pPr>
            <w:spacing w:after="240" w:line="320" w:lineRule="auto"/>
            <w:ind w:left="720" w:hanging="720"/>
            <w:jc w:val="both"/>
          </w:pPr>
          <w:r>
            <w:t xml:space="preserve">[15]	Y. Cao et al., “A comprehensive survey of AI-Generated Content (AIGC): A history of generative AI from GAN to ChatGPT,” arXiv preprint, art. arXiv:2303.04226, 2023, doi: 10.48550/arXiv.2303.04226.</w:t>
          </w:r>
        </w:p>
        <w:p>
          <w:pPr>
            <w:spacing w:after="240" w:line="320" w:lineRule="auto"/>
            <w:ind w:left="720" w:hanging="720"/>
            <w:jc w:val="both"/>
          </w:pPr>
          <w:r>
            <w:t xml:space="preserve">[16]	S. Singh, M. Sharma and B. Singh, “Generative artificial intelligence: a systematic review and applications,” Multimedia Tools and Applications, vol. 84, pp. 16021-16064, 2024, doi: 10.1007/s11042-024-20016-1.</w:t>
          </w:r>
        </w:p>
        <w:p>
          <w:pPr>
            <w:spacing w:after="240" w:line="320" w:lineRule="auto"/>
            <w:ind w:left="720" w:hanging="720"/>
            <w:jc w:val="both"/>
          </w:pPr>
          <w:r>
            <w:t xml:space="preserve">[17]	J.H. Lee and S.M. Park, “Balancing personalization, privacy, and value: A systematic literature review of AI-enabled customer experience management,” Information, vol. 17, no. 2, art. 115, 2026, doi: 10.3390/info17020115.</w:t>
          </w:r>
        </w:p>
        <w:p>
          <w:pPr>
            <w:spacing w:after="240" w:line="320" w:lineRule="auto"/>
            <w:ind w:left="720" w:hanging="720"/>
            <w:jc w:val="both"/>
          </w:pPr>
          <w:r>
            <w:t xml:space="preserve">[18]	D. Yim, J. Khuntia, V. Parameswaran and A. Meyers, “Preliminary evidence of the use of generative AI in health care clinical services: Systematic narrative review,” JMIR Medical Informatics, vol. 12, art. e52073, 2024, doi: 10.2196/52073.</w:t>
          </w:r>
        </w:p>
        <w:p>
          <w:pPr>
            <w:spacing w:after="240" w:line="320" w:lineRule="auto"/>
            <w:ind w:left="720" w:hanging="720"/>
            <w:jc w:val="both"/>
          </w:pPr>
          <w:r>
            <w:t xml:space="preserve">[19]	M. Wang, J. Xu, X. Zhou, X. Li and Y. Zheng, “Effectiveness of gamification interventions to improve physical activity and sedentary behavior in children and adolescents: Systematic review and meta-analysis,” JMIR Serious Games, vol. 13, art. e68151, 2025, doi: 10.2196/68151.</w:t>
          </w:r>
        </w:p>
        <w:p>
          <w:pPr>
            <w:spacing w:after="240" w:line="320" w:lineRule="auto"/>
            <w:ind w:left="720" w:hanging="720"/>
            <w:jc w:val="both"/>
          </w:pPr>
          <w:r>
            <w:t xml:space="preserve">[20]	L. Xu, H. Shi, M. Shen, Y. Ni and X. Zhang, “The effects of mHealth-based gamification interventions on participation in physical activity: Systematic review,” JMIR mHealth and uHealth, vol. 10, no. 2, art. e27794, 2022, doi: 10.2196/27794.</w:t>
          </w:r>
        </w:p>
        <w:p>
          <w:pPr>
            <w:spacing w:after="240" w:line="320" w:lineRule="auto"/>
            <w:ind w:left="720" w:hanging="720"/>
            <w:jc w:val="both"/>
          </w:pPr>
          <w:r>
            <w:t xml:space="preserve">[21]	D. Rodrigues, C. Padez and A.M. Machado-Rodrigues, “Influence of parental involvement and parenting styles in children's active lifestyle: A systematic review,” PeerJ, vol. 11, art. e16668, 2023, doi: 10.7717/peerj.16668.</w:t>
          </w:r>
        </w:p>
        <w:p>
          <w:pPr>
            <w:spacing w:after="240" w:line="320" w:lineRule="auto"/>
            <w:ind w:left="720" w:hanging="720"/>
            <w:jc w:val="both"/>
          </w:pPr>
          <w:r>
            <w:t xml:space="preserve">[22]	C.A. Yao and R.E. Rhodes, “Parental correlates in child and adolescent physical activity: a meta-analysis,” International Journal of Behavioral Nutrition and Physical Activity, vol. 12, no. 1, art. 10, 2015, doi: 10.1186/s12966-015-0163-y.</w:t>
          </w:r>
        </w:p>
        <w:p>
          <w:pPr>
            <w:spacing w:after="240" w:line="320" w:lineRule="auto"/>
            <w:ind w:left="720" w:hanging="720"/>
            <w:jc w:val="both"/>
          </w:pPr>
          <w:r>
            <w:t xml:space="preserve">[23]	Y. Zhang et al., “MiniMovers: An Initial Pilot and Feasibility Study to Investigate the Impact of a Mobile Application on Children's Motor Skills and Parent Support for Physical Development,” Children, vol. 11, no. 1, art. 99, 2024, doi: 10.3390/children11010099.</w:t>
          </w:r>
        </w:p>
        <w:p>
          <w:pPr>
            <w:spacing w:after="240" w:line="320" w:lineRule="auto"/>
            <w:ind w:left="720" w:hanging="720"/>
            <w:jc w:val="both"/>
          </w:pPr>
          <w:r>
            <w:t xml:space="preserve">[24]	M. Papastergiou, P. Natsis, N. Vernadakis and P. Antoniou, “Introducing tablets and a mobile fitness application into primary school physical education,” Education and Information Technologies, vol. 26, no. 1, pp. 799-816, 2021, doi: 10.1007/s10639-020-10289-y.</w:t>
          </w:r>
        </w:p>
        <w:p>
          <w:pPr>
            <w:spacing w:after="240" w:line="320" w:lineRule="auto"/>
            <w:ind w:left="720" w:hanging="720"/>
            <w:jc w:val="both"/>
          </w:pPr>
          <w:r>
            <w:t xml:space="preserve">[25]	L. Willinger et al., “Evaluation of the gamified application KIJANI to promote physical activity in children and adolescents: A multimethod study,” Digital Health, vol. 10, art. 20552076241271861, 2024, doi: 10.1177/20552076241271861.</w:t>
          </w:r>
        </w:p>
        <w:p>
          <w:pPr>
            <w:spacing w:after="240" w:line="320" w:lineRule="auto"/>
            <w:ind w:left="720" w:hanging="720"/>
            <w:jc w:val="both"/>
          </w:pPr>
          <w:r>
            <w:t xml:space="preserve">[26]	A. Mateo-Orcajada, C.M. Ponce-Ramírez, L. Abenza-Cano and R. Vaquero-Cristóbal, “Effects of 10 Weeks of Walking With Mobile Step-Tracking Apps on Body Composition, Fitness, and Psychological State in Adolescents Who Are Overweight and Obese: Randomized Controlled Trial,” JMIR mHealth and uHealth, vol. 12, art. e55243, 2024, doi: 10.2196/55243.</w:t>
          </w:r>
        </w:p>
        <w:p>
          <w:pPr>
            <w:spacing w:after="240" w:line="320" w:lineRule="auto"/>
            <w:ind w:left="720" w:hanging="720"/>
            <w:jc w:val="both"/>
          </w:pPr>
          <w:r>
            <w:t xml:space="preserve">[27]	A.L. Zaleski, R. Berkowsky, K.J.T. Craig and L.S. Pescatello, “AI-Generated Exercise Prescriptions for At-Risk Populations: Safety and Feasibility of a Large Language Model Assessed by Expert Evaluation,” Journal of Clinical Medicine, vol. 15, no. 6, art. 2457, 2026, doi: 10.3390/jcm15062457.</w:t>
          </w:r>
        </w:p>
        <w:p>
          <w:pPr>
            <w:spacing w:after="240" w:line="320" w:lineRule="auto"/>
            <w:ind w:left="720" w:hanging="720"/>
            <w:jc w:val="both"/>
          </w:pPr>
          <w:r>
            <w:t xml:space="preserve">[28]	I. Dergaa et al., “Using artificial intelligence for exercise prescription in personalised health promotion: A critical evaluation of OpenAI's GPT-4 model,” Biology of Sport, vol. 41, no. 2, pp. 221-241, 2024, doi: 10.5114/biolsport.2024.133661.</w:t>
          </w:r>
        </w:p>
        <w:p>
          <w:pPr>
            <w:spacing w:after="240" w:line="320" w:lineRule="auto"/>
            <w:ind w:left="720" w:hanging="720"/>
            <w:jc w:val="both"/>
          </w:pPr>
          <w:r>
            <w:t xml:space="preserve">[29]	G. Guerrero-Ulloa, M.J. Hornos and C. Rodríguez-Domínguez, “TDDM4IoTS: A test-driven development methodology for Internet of Things (IoT)-based systems,” in Applied Technologies. ICAT 2019. Communications in Computer and Information Science, Cham: Springer, vol. 1193, pp. 41-55, 2020, doi: 10.1007/978-3-030-42517-3_4.</w:t>
          </w:r>
        </w:p>
        <w:p>
          <w:pPr>
            <w:spacing w:after="240" w:line="320" w:lineRule="auto"/>
            <w:ind w:left="720" w:hanging="720"/>
            <w:jc w:val="both"/>
          </w:pPr>
          <w:r>
            <w:t xml:space="preserve">[30]	G. Guerrero-Ulloa, A. Fernández-Loor, F. Moreira, P. Novais, C. Rodríguez-Domínguez and M.J. Hornos, “Validation of a development methodology and tool for IoT-based systems through a case study for visually impaired people,” Internet of Things, vol. 23, art. 100875, 2023, doi: 10.1016/j.iot.2023.100875.</w:t>
          </w:r>
        </w:p>
        <w:p>
          <w:pPr>
            <w:spacing w:after="240" w:line="320" w:lineRule="auto"/>
            <w:ind w:left="720" w:hanging="720"/>
            <w:jc w:val="both"/>
          </w:pPr>
          <w:r>
            <w:t xml:space="preserve">[31]	G. Guerrero-Ulloa, A. Méndez-García, V. Torres-Lindao, V. Zamora-Mecías, C. Rodríguez-Domínguez and M.J. Hornos, “Internet of Things (IoT)-based indoor plant care system,” Journal of Ambient Intelligence and Smart Environments, vol. 15, no. 2, pp. 153-172, 2023, doi: 10.3233/AIS-220483.</w:t>
          </w:r>
        </w:p>
        <w:p>
          <w:pPr>
            <w:spacing w:after="240" w:line="320" w:lineRule="auto"/>
            <w:ind w:left="720" w:hanging="720"/>
            <w:jc w:val="both"/>
          </w:pPr>
          <w:r>
            <w:t xml:space="preserve">[32]	K. Beck, “Test-Driven Development: By Example,” Boston, MA: Addison-Wesley Professional, 2003, ISBN: 978-0321146533.</w:t>
          </w:r>
        </w:p>
        <w:p>
          <w:pPr>
            <w:spacing w:after="240" w:line="320" w:lineRule="auto"/>
            <w:ind w:left="720" w:hanging="720"/>
            <w:jc w:val="both"/>
          </w:pPr>
          <w:r>
            <w:t xml:space="preserve">[33]	M. Brambilla, J. Cabot and M. Wimmer, “Model-Driven Software Engineering in Practice,” 2nd ed. San Rafael, CA: Morgan &amp; Claypool Publishers, 2017.</w:t>
          </w:r>
        </w:p>
        <w:p>
          <w:pPr>
            <w:spacing w:after="240" w:line="320" w:lineRule="auto"/>
            <w:ind w:left="720" w:hanging="720"/>
            <w:jc w:val="both"/>
          </w:pPr>
          <w:r>
            <w:t xml:space="preserve">[34]	K. Schwaber and J. Sutherland, “The Scrum Guide: The Definitive Guide to Scrum: The Rules of the Game,” Scrum.org, Online, 2020. [Online]. Available: https://scrumguides.org/.</w:t>
          </w:r>
        </w:p>
        <w:p>
          <w:pPr>
            <w:spacing w:after="240" w:line="320" w:lineRule="auto"/>
            <w:ind w:left="720" w:hanging="720"/>
            <w:jc w:val="both"/>
          </w:pPr>
          <w:r>
            <w:t xml:space="preserve">[35]	G. Guerrero-Ulloa, C. Rodríguez-Domínguez and M.J. Hornos, “Development methodologies for IoT-based systems: challenges and research directions,” Journal of Reliable Intelligent Environments, vol. 10, pp. 215-244, 2024, doi: 10.1007/s40860-024-00229-9.</w:t>
          </w:r>
        </w:p>
        <w:p>
          <w:pPr>
            <w:spacing w:after="240" w:line="320" w:lineRule="auto"/>
            <w:ind w:left="720" w:hanging="720"/>
            <w:jc w:val="both"/>
          </w:pPr>
          <w:r>
            <w:t xml:space="preserve">[36]	I. Sommerville, “Software Engineering,” 10th ed. Harlow, UK: Pearson, 2016, ISBN: 978-0133943030.</w:t>
          </w:r>
        </w:p>
        <w:p>
          <w:pPr>
            <w:spacing w:after="240" w:line="320" w:lineRule="auto"/>
            <w:ind w:left="720" w:hanging="720"/>
            <w:jc w:val="both"/>
          </w:pPr>
          <w:r>
            <w:t xml:space="preserve">[37]	J. Nielsen, “Enhancing the explanatory power of usability heuristics,” in Proceedings of the SIGCHI Conference on Human Factors in Computing Systems (CHI '94), New York, NY: ACM, pp. 152-158, 1994, doi: 10.1145/191666.191729.</w:t>
          </w:r>
        </w:p>
        <w:p>
          <w:pPr>
            <w:spacing w:after="240" w:line="320" w:lineRule="auto"/>
            <w:ind w:left="720" w:hanging="720"/>
            <w:jc w:val="both"/>
          </w:pPr>
          <w:r>
            <w:t xml:space="preserve">[38]	L. Bass, P. Clements and R. Kazman, “Software Architecture in Practice,” 4th ed. Boston, MA: Addison-Wesley Professional, 2021, ISBN: 978-0136886099.</w:t>
          </w:r>
        </w:p>
        <w:p>
          <w:pPr>
            <w:spacing w:after="240" w:line="320" w:lineRule="auto"/>
            <w:ind w:left="720" w:hanging="720"/>
            <w:jc w:val="both"/>
          </w:pPr>
          <w:r>
            <w:t xml:space="preserve">[39]	R.T. Fielding, “Architectural styles and the design of network-based software architectures,” , 2000.</w:t>
          </w:r>
        </w:p>
        <w:p>
          <w:pPr>
            <w:spacing w:after="240" w:line="320" w:lineRule="auto"/>
            <w:ind w:left="720" w:hanging="720"/>
            <w:jc w:val="both"/>
          </w:pPr>
          <w:r>
            <w:t xml:space="preserve">[40]	International Organization for Standardization, “ISO/IEC 25010:2011 — Systems and software engineering — Systems and software Quality Requirements and Evaluation (SQuaRE) — System and software quality models,” ISO, Geneva, 2011. [Online]. Available: https://www.iso.org/standard/35733.html.</w:t>
          </w:r>
        </w:p>
        <w:p>
          <w:pPr>
            <w:spacing w:after="240" w:line="320" w:lineRule="auto"/>
            <w:ind w:left="720" w:hanging="720"/>
            <w:jc w:val="both"/>
          </w:pPr>
          <w:r>
            <w:t xml:space="preserve">[41]	M. Fowler, “Refactoring: Improving the Design of Existing Code,” 2nd ed. Boston, MA: Addison-Wesley, 2018, ISBN: 978-0134757599.</w:t>
          </w:r>
        </w:p>
        <w:p>
          <w:pPr>
            <w:spacing w:after="240" w:line="320" w:lineRule="auto"/>
            <w:ind w:left="720" w:hanging="720"/>
            <w:jc w:val="both"/>
          </w:pPr>
          <w:r>
            <w:t xml:space="preserve">[42]	Universidad Técnica Estatal de Quevedo, “Estructura y formato institucional de presentación del proyecto tecnológico en la Unidad de Integración Curricular,” UTEQ, Quevedo, Ecuador, 2024. [Online]. Available: https://www.uteq.edu.ec/.</w:t>
          </w:r>
        </w:p>
        <w:p>
          <w:pPr>
            <w:spacing w:after="240" w:line="320" w:lineRule="auto"/>
            <w:ind w:left="720" w:hanging="720"/>
            <w:jc w:val="both"/>
          </w:pPr>
          <w:r>
            <w:t xml:space="preserve">[43]	Project Management Institute, “A Guide to the Project Management Body of Knowledge (PMBOK Guide),” 7th ed. Newtown Square, PA: PMI, 2021, ISBN: 978-1628256642.</w:t>
          </w:r>
        </w:p>
        <w:p>
          <w:pPr>
            <w:spacing w:after="240" w:line="320" w:lineRule="auto"/>
            <w:ind w:left="720" w:hanging="720"/>
            <w:jc w:val="both"/>
          </w:pPr>
          <w:r>
            <w:t xml:space="preserve">[44]	F.D. Davis, “Perceived usefulness, perceived ease of use, and user acceptance of information technology,” MIS Quarterly, vol. 13, no. 3, pp. 319-340, 1989, doi: 10.2307/249008.</w:t>
          </w:r>
        </w:p>
        <w:p>
          <w:pPr>
            <w:spacing w:after="240" w:line="320" w:lineRule="auto"/>
            <w:ind w:left="720" w:hanging="720"/>
            <w:jc w:val="both"/>
          </w:pPr>
          <w:r>
            <w:t xml:space="preserve">[45]	Project Management Institute, “The Standard for Earned Value Management,” PMI, Newtown Square, PA, 2019, ISBN: 978-1628256383.</w:t>
          </w:r>
        </w:p>
        <w:p>
          <w:pPr>
            <w:spacing w:after="240" w:line="320" w:lineRule="auto"/>
            <w:ind w:left="720" w:hanging="720"/>
            <w:jc w:val="both"/>
          </w:pPr>
          <w:r>
            <w:t xml:space="preserve">[46]	O.C.Z. Gotel and A.C.W. Finkelstein, “An analysis of the requirements traceability problem,” in Proceedings of the IEEE International Conference on Requirements Engineering, Colorado Springs, CO: IEEE, pp. 94-101, 1994, doi: 10.1109/ICRE.1994.292398.</w:t>
          </w:r>
        </w:p>
        <w:p>
          <w:pPr>
            <w:spacing w:after="240" w:line="320" w:lineRule="auto"/>
            <w:ind w:left="720" w:hanging="720"/>
            <w:jc w:val="both"/>
          </w:pPr>
          <w:r>
            <w:t xml:space="preserve">[47]	V. Venkatesh, M.G. Morris, G.B. Davis and F.D. Davis, “User acceptance of information technology: Toward a unified view,” MIS Quarterly, vol. 27, no. 3, pp. 425-478, 2003, doi: 10.2307/30036540.</w:t>
          </w:r>
        </w:p>
        <w:p>
          <w:pPr>
            <w:spacing w:after="240" w:line="320" w:lineRule="auto"/>
            <w:ind w:left="720" w:hanging="720"/>
            <w:jc w:val="both"/>
          </w:pPr>
          <w:r>
            <w:t xml:space="preserve">[48]	J. Brooke, “SUS — A quick and dirty usability scale,” in Usability Evaluation in Industry, London: Taylor &amp; Francis, pp. 189-194, 1996.</w:t>
          </w:r>
        </w:p>
        <w:p>
          <w:pPr>
            <w:spacing w:after="240" w:line="320" w:lineRule="auto"/>
            <w:ind w:left="720" w:hanging="720"/>
            <w:jc w:val="both"/>
          </w:pPr>
          <w:r>
            <w:t xml:space="preserve">[49]	A. Bangor, P.T. Kortum and J.T. Miller, “An empirical evaluation of the System Usability Scale,” International Journal of Human–Computer Interaction, vol. 24, no. 6, pp. 574-594, 2008, doi: 10.1080/10447310802205776.</w:t>
          </w:r>
        </w:p>
        <w:p>
          <w:pPr>
            <w:spacing w:after="240" w:line="320" w:lineRule="auto"/>
            <w:ind w:left="720" w:hanging="720"/>
            <w:jc w:val="both"/>
          </w:pPr>
          <w:r>
            <w:t xml:space="preserve">[50]	C. Putnam et al., “Adapting user experience research methods for evaluating user experience with children,” in Proceedings of the Interaction Design and Children Conference (IDC '20), New York, NY: ACM, pp. 401-413, 2020, doi: 10.1145/3392063.3394434.</w:t>
          </w:r>
        </w:p>
        <w:p>
          <w:pPr>
            <w:spacing w:after="240" w:line="320" w:lineRule="auto"/>
            <w:ind w:left="720" w:hanging="720"/>
            <w:jc w:val="both"/>
          </w:pPr>
          <w:r>
            <w:t xml:space="preserve">[51]	J.R. Lewis, “The System Usability Scale: Past, present, and future,” International Journal of Human–Computer Interaction, vol. 34, no. 7, pp. 577-590, 2018, doi: 10.1080/10447318.2018.1455307.</w:t>
          </w:r>
        </w:p>
        <w:p>
          <w:pPr>
            <w:spacing w:after="240" w:line="320" w:lineRule="auto"/>
            <w:ind w:left="720" w:hanging="720"/>
            <w:jc w:val="both"/>
          </w:pPr>
          <w:r>
            <w:t xml:space="preserve">[52]	M. de Onis, A.W. Onyango, E. Borghi, A. Siyam, C. Nishida and J. Siekmann, “Development of a WHO growth reference for school-aged children and adolescents,” Bulletin of the World Health Organization, vol. 85, no. 9, pp. 660-667, 2007, doi: 10.2471/BLT.07.043497.</w:t>
          </w:r>
        </w:p>
        <w:p>
          <w:pPr>
            <w:spacing w:after="240" w:line="320" w:lineRule="auto"/>
            <w:ind w:left="720" w:hanging="720"/>
            <w:jc w:val="both"/>
          </w:pPr>
          <w:r>
            <w:t xml:space="preserve">[53]	P.R.E. Crocker, D.A. Bailey, R.A. Faulkner, K.C. Kowalski and R. McGrath, “Measuring general levels of physical activity: preliminary evidence for the Physical Activity Questionnaire for Older Children,” Medicine &amp; Science in Sports &amp; Exercise, vol. 29, no. 10, pp. 1344-1349, 1997, doi: 10.1097/00005768-199710000-00011.</w:t>
          </w:r>
        </w:p>
        <w:p>
          <w:pPr>
            <w:spacing w:after="240" w:line="320" w:lineRule="auto"/>
            <w:ind w:left="720" w:hanging="720"/>
            <w:jc w:val="both"/>
          </w:pPr>
          <w:r>
            <w:t xml:space="preserve">[54]	K.C. Kowalski, P.R.E. Crocker and R.M. Donen, “The Physical Activity Questionnaire for Older Children (PAQ-C) and Adolescents (PAQ-A) Manual,” College of Kinesiology, University of Saskatchewan, Saskatoon, Canada, 2004. [Online]. Available: https://www.researchgate.net/publication/228441462.</w:t>
          </w:r>
        </w:p>
        <w:p>
          <w:pPr>
            <w:spacing w:after="240" w:line="320" w:lineRule="auto"/>
            <w:ind w:left="720" w:hanging="720"/>
            <w:jc w:val="both"/>
          </w:pPr>
          <w:r>
            <w:t xml:space="preserve">[55]	J. Benítez-Porres, I. López-Fernández, J.F. Raya, S.Á. Carnero, J.R. Alvero-Cruz and E.A. Carnero, “Reliability and Validity of the PAQ-C Questionnaire to Assess Physical Activity in Children,” Journal of School Health, vol. 86, no. 9, pp. 677-685, 2016, doi: 10.1111/josh.12418.</w:t>
          </w:r>
        </w:p>
        <w:p>
          <w:pPr>
            <w:spacing w:after="240" w:line="320" w:lineRule="auto"/>
            <w:ind w:left="720" w:hanging="720"/>
            <w:jc w:val="both"/>
          </w:pPr>
          <w:r>
            <w:t xml:space="preserve">[56]	A. Domin, A. Uslu, A. Schulz, Y. Ouzzahra and C. Vögele, “A Theory-Informed, Personalized mHealth Intervention for Adolescents (Mobile App for Physical Activity): Development and Pilot Study,” JMIR mHealth and uHealth, vol. 10, no. 6, art. e35118, 2022, doi: 10.2196/35118.</w:t>
          </w:r>
        </w:p>
        <w:p>
          <w:pPr>
            <w:spacing w:after="240" w:line="320" w:lineRule="auto"/>
            <w:ind w:left="720" w:hanging="720"/>
            <w:jc w:val="both"/>
          </w:pPr>
          <w:r>
            <w:t xml:space="preserve">[57]	International Organization for Standardization, “ISO/IEC/IEEE 29148:2018 — Systems and software engineering — Life cycle processes — Requirements engineering,” ISO, Geneva, 2018. [Online]. Available: https://www.iso.org/standard/72089.html.</w:t>
          </w:r>
        </w:p>
      </w:sdtContent>
    </w:sdt>
    <w:sectPr>
      <w:pgSz w:w="11906" w:h="16838"/>
      <w:pgMar w:top="1418" w:right="1418" w:bottom="1418"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320" w:after="200"/>
      <w:outlineLvl w:val="0"/>
    </w:pPr>
    <w:rPr>
      <w:b/>
      <w:sz w:val="28"/>
      <w:caps/>
    </w:rPr>
  </w:style>
  <w:style w:type="paragraph" w:styleId="Heading2">
    <w:name w:val="heading 2"/>
    <w:basedOn w:val="Normal"/>
    <w:next w:val="Normal"/>
    <w:qFormat/>
    <w:pPr>
      <w:spacing w:before="280" w:after="180"/>
      <w:outlineLvl w:val="1"/>
    </w:pPr>
    <w:rPr>
      <w:b/>
      <w:sz w:val="26"/>
    </w:rPr>
  </w:style>
  <w:style w:type="paragraph" w:styleId="Heading3">
    <w:name w:val="heading 3"/>
    <w:basedOn w:val="Normal"/>
    <w:next w:val="Normal"/>
    <w:qFormat/>
    <w:pPr>
      <w:spacing w:before="240" w:after="160"/>
      <w:outlineLvl w:val="2"/>
    </w:pPr>
    <w:rPr>
      <w:b/>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Discusion Conclusiones Bibliografia FitKids</dc:title>
  <dc:creator>Claude</dc:creator>
  <cp:lastModifiedBy>Claude</cp:lastModifiedBy>
  <dcterms:created xsi:type="dcterms:W3CDTF">2026-05-07T08:07:13Z</dcterms:created>
  <dcterms:modified xsi:type="dcterms:W3CDTF">2026-05-07T08:07:13Z</dcterms:modified>
</cp:coreProperties>
</file>