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2"/>
        <w:jc w:val="left"/>
      </w:pPr>
      <w:r>
        <w:t xml:space="preserve">3.5 Indicadores de evaluación</w:t>
      </w:r>
    </w:p>
    <w:p>
      <w:pPr>
        <w:spacing w:after="200" w:line="360" w:lineRule="auto"/>
        <w:jc w:val="both"/>
      </w:pPr>
      <w:r>
        <w:t xml:space="preserve">De acuerdo con el reglamento institucional para el Proyecto Tecnológico de la Unidad de Integración Curricular de la Universidad Técnica Estatal de Quevedo, esta sección describe las pruebas a las que fue sometido el sistema, presenta el análisis crítico del producto obtenido y registra las modificaciones y mejoras adoptadas durante el proceso de verificación y validación </w:t>
      </w:r>
      <w:sdt>
        <w:sdtPr>
          <w:tag w:val="MENDELEY_CITATIONS_v3{&quot;citationID&quot;: &quot;MENDELEY_CITATION_0b22f816-b93e-4d9f-aeac-6b7db8f1b231&quot;, &quot;citationItems&quot;: [{&quot;id&quot;: &quot;535d7039-a3df-46d0-908e-9f961eb0bc0d&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001"/>
        </w:sdtPr>
        <w:sdtContent>
          <w:r>
            <w:t xml:space="preserve">[13]</w:t>
          </w:r>
        </w:sdtContent>
      </w:sdt>
      <w:r>
        <w:t xml:space="preserve">. Los indicadores aquí reportados se han seleccionado entre los recomendados por el reglamento (cumplimiento de cronograma, presupuesto, alcance, calidad del producto, satisfacción del usuario, adopción tecnológica, rendimiento del sistema y mantenibilidad) </w:t>
      </w:r>
      <w:sdt>
        <w:sdtPr>
          <w:tag w:val="MENDELEY_CITATIONS_v3{&quot;citationID&quot;: &quot;MENDELEY_CITATION_c8810d17-2375-40a2-8b60-721f45b3e072&quot;, &quot;citationItems&quot;: [{&quot;id&quot;: &quot;f0d41be4-6ab0-4d32-8484-04c53298e88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33de4a1c-1063-4615-9eed-991ef910ebc5&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002"/>
        </w:sdtPr>
        <w:sdtContent>
          <w:r>
            <w:t xml:space="preserve">[7], [13]</w:t>
          </w:r>
        </w:sdtContent>
      </w:sdt>
      <w:r>
        <w:t xml:space="preserve">, y se complementan con instrumentos validados para evaluar específicamente un sistema de salud digital orientado al público infantil </w:t>
      </w:r>
      <w:sdt>
        <w:sdtPr>
          <w:tag w:val="MENDELEY_CITATIONS_v3{&quot;citationID&quot;: &quot;MENDELEY_CITATION_b29ccee6-5e87-43c5-ab85-383e9cbaffd8&quot;, &quot;citationItems&quot;: [{&quot;id&quot;: &quot;3d699e09-e751-4f1c-b079-26fea9e19f8c&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e4cb8f8-b3e4-4330-98d2-c17123d1b52c&quot;, &quot;itemData&quot;: {&quot;id&quot;: &quot;39acf9e5-937e-493e-8b3f-d064865d407c&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2], [14]&quot;, &quot;manualOverrideText&quot;: &quot;&quot;}}"/>
          <w:id w:val="1003"/>
        </w:sdtPr>
        <w:sdtContent>
          <w:r>
            <w:t xml:space="preserve">[2], [14]</w:t>
          </w:r>
        </w:sdtContent>
      </w:sdt>
      <w:r>
        <w:t xml:space="preserve">.</w:t>
      </w:r>
    </w:p>
    <w:p>
      <w:pPr>
        <w:spacing w:after="200" w:line="360" w:lineRule="auto"/>
        <w:jc w:val="both"/>
      </w:pPr>
      <w:r>
        <w:t xml:space="preserve">La evaluación contempla, de forma articulada, dos planos: un plano de verificación, dirigido a comprobar que el producto cumple con las especificaciones técnicas y funcionales declaradas, y un plano de validación, orientado a confirmar que el sistema satisface las necesidades reales de los usuarios finales y resuelve el problema planteado </w:t>
      </w:r>
      <w:sdt>
        <w:sdtPr>
          <w:tag w:val="MENDELEY_CITATIONS_v3{&quot;citationID&quot;: &quot;MENDELEY_CITATION_f15b55c1-a734-4d80-a220-f58e31639dbd&quot;, &quot;citationItems&quot;: [{&quot;id&quot;: &quot;8e11d962-c7be-4a91-b154-99d1f32e733b&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a4d59082-9f6a-4342-a3fa-1b01f9b0c3c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004"/>
        </w:sdtPr>
        <w:sdtContent>
          <w:r>
            <w:t xml:space="preserve">[6], [7]</w:t>
          </w:r>
        </w:sdtContent>
      </w:sdt>
      <w:r>
        <w:t xml:space="preserve">. Esta distinción es coherente con el modelo de calidad de producto de software propuesto por la norma ISO/IEC 25010, que separa la calidad interna y externa del producto de la calidad en uso percibida por sus usuarios </w:t>
      </w:r>
      <w:sdt>
        <w:sdtPr>
          <w:tag w:val="MENDELEY_CITATIONS_v3{&quot;citationID&quot;: &quot;MENDELEY_CITATION_7c7d6c76-8032-4246-a176-3a6f34974b86&quot;, &quot;citationItems&quot;: [{&quot;id&quot;: &quot;88d32aa1-f32b-454a-8ecc-ec616a23967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005"/>
        </w:sdtPr>
        <w:sdtContent>
          <w:r>
            <w:t xml:space="preserve">[1]</w:t>
          </w:r>
        </w:sdtContent>
      </w:sdt>
      <w:r>
        <w:t xml:space="preserve">, y se alinea con la fase de evaluación de entregables establecida por la metodología TDDM4IoTS adoptada en el presente proyecto </w:t>
      </w:r>
      <w:sdt>
        <w:sdtPr>
          <w:tag w:val="MENDELEY_CITATIONS_v3{&quot;citationID&quot;: &quot;MENDELEY_CITATION_b831b0e1-855f-4911-bec9-ae8fdea17381&quot;, &quot;citationItems&quot;: [{&quot;id&quot;: &quot;8fc90502-e286-471e-a727-b38227071503&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4230e59-f548-4ba9-82a6-0755bb322eee&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1006"/>
        </w:sdtPr>
        <w:sdtContent>
          <w:r>
            <w:t xml:space="preserve">[11], [12]</w:t>
          </w:r>
        </w:sdtContent>
      </w:sdt>
      <w:r>
        <w:t xml:space="preserve">.</w:t>
      </w:r>
    </w:p>
    <w:p>
      <w:pPr>
        <w:pStyle w:val="Heading3"/>
        <w:jc w:val="left"/>
      </w:pPr>
      <w:r>
        <w:t xml:space="preserve">3.5.1 Categorías de indicadores adoptadas</w:t>
      </w:r>
    </w:p>
    <w:p>
      <w:pPr>
        <w:spacing w:after="200" w:line="360" w:lineRule="auto"/>
        <w:jc w:val="both"/>
      </w:pPr>
      <w:r>
        <w:t xml:space="preserve">Para una evaluación integral del proyecto se adoptan tres categorías complementarias de indicadores, cuya elección obedece tanto a las directrices del reglamento institucional como a la naturaleza del producto desarrollado </w:t>
      </w:r>
      <w:sdt>
        <w:sdtPr>
          <w:tag w:val="MENDELEY_CITATIONS_v3{&quot;citationID&quot;: &quot;MENDELEY_CITATION_e93300f5-6269-442a-a8a2-c90a6c710277&quot;, &quot;citationItems&quot;: [{&quot;id&quot;: &quot;281ee496-8f67-4217-b81b-246b8571a4f9&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820deff-d21c-447b-9e4e-fe0a9f422ec1&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007"/>
        </w:sdtPr>
        <w:sdtContent>
          <w:r>
            <w:t xml:space="preserve">[7], [13]</w:t>
          </w:r>
        </w:sdtContent>
      </w:sdt>
      <w:r>
        <w:t xml:space="preserve">:</w:t>
      </w:r>
    </w:p>
    <w:p>
      <w:pPr>
        <w:numPr>
          <w:ilvl w:val="0"/>
          <w:numId w:val="1"/>
        </w:numPr>
        <w:spacing w:after="160" w:line="360" w:lineRule="auto"/>
        <w:jc w:val="both"/>
      </w:pPr>
      <w:r>
        <w:rPr>
          <w:b/>
        </w:rPr>
        <w:t xml:space="preserve">Indicadores de gestión del proyecto: </w:t>
      </w:r>
      <w:r>
        <w:t xml:space="preserve">comprenden el cumplimiento del alcance, del cronograma y del presupuesto, en correspondencia con las prácticas estándar de gestión de proyectos </w:t>
      </w:r>
      <w:sdt>
        <w:sdtPr>
          <w:tag w:val="MENDELEY_CITATIONS_v3{&quot;citationID&quot;: &quot;MENDELEY_CITATION_5b748692-0f63-42cd-b702-4734cab6fec4&quot;, &quot;citationItems&quot;: [{&quot;id&quot;: &quot;1771a640-06de-486b-8adf-bc52d8310f8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50f15d59-9fe1-4009-bd49-d583a6127f77&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1008"/>
        </w:sdtPr>
        <w:sdtContent>
          <w:r>
            <w:t xml:space="preserve">[7], [16]</w:t>
          </w:r>
        </w:sdtContent>
      </w:sdt>
      <w:r>
        <w:t xml:space="preserve">.</w:t>
      </w:r>
    </w:p>
    <w:p>
      <w:pPr>
        <w:numPr>
          <w:ilvl w:val="0"/>
          <w:numId w:val="1"/>
        </w:numPr>
        <w:spacing w:after="160" w:line="360" w:lineRule="auto"/>
        <w:jc w:val="both"/>
      </w:pPr>
      <w:r>
        <w:rPr>
          <w:b/>
        </w:rPr>
        <w:t xml:space="preserve">Indicadores de calidad técnica del producto: </w:t>
      </w:r>
      <w:r>
        <w:t xml:space="preserve">evalúan los atributos funcionales y no funcionales del software (funcionalidad, fiabilidad, eficiencia, mantenibilidad y seguridad), tomando como referencia la norma ISO/IEC 25010 </w:t>
      </w:r>
      <w:sdt>
        <w:sdtPr>
          <w:tag w:val="MENDELEY_CITATIONS_v3{&quot;citationID&quot;: &quot;MENDELEY_CITATION_eb6d8de7-d5a6-4ebf-a9e1-121db34d9234&quot;, &quot;citationItems&quot;: [{&quot;id&quot;: &quot;8084043d-e9be-4fb3-824e-7943a92f0f2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009"/>
        </w:sdtPr>
        <w:sdtContent>
          <w:r>
            <w:t xml:space="preserve">[1]</w:t>
          </w:r>
        </w:sdtContent>
      </w:sdt>
      <w:r>
        <w:t xml:space="preserve"> y operacionalizándolos mediante pruebas unitarias, pruebas de integración y verificación del cumplimiento de requisitos </w:t>
      </w:r>
      <w:sdt>
        <w:sdtPr>
          <w:tag w:val="MENDELEY_CITATIONS_v3{&quot;citationID&quot;: &quot;MENDELEY_CITATION_f17586f3-99ec-41c2-bce7-18290f752eec&quot;, &quot;citationItems&quot;: [{&quot;id&quot;: &quot;3a65ca35-9c17-4d6a-8f44-d3e40a23ebb4&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e36f58d4-99f4-4149-9548-344cb2bf9487&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010"/>
        </w:sdtPr>
        <w:sdtContent>
          <w:r>
            <w:t xml:space="preserve">[5], [6]</w:t>
          </w:r>
        </w:sdtContent>
      </w:sdt>
      <w:r>
        <w:t xml:space="preserve">.</w:t>
      </w:r>
    </w:p>
    <w:p>
      <w:pPr>
        <w:numPr>
          <w:ilvl w:val="0"/>
          <w:numId w:val="1"/>
        </w:numPr>
        <w:spacing w:after="160" w:line="360" w:lineRule="auto"/>
        <w:jc w:val="both"/>
      </w:pPr>
      <w:r>
        <w:rPr>
          <w:b/>
        </w:rPr>
        <w:t xml:space="preserve">Indicadores de calidad en uso: </w:t>
      </w:r>
      <w:r>
        <w:t xml:space="preserve">miden la aceptación, la usabilidad y la pertinencia del sistema desde la perspectiva de los usuarios finales mediante instrumentos validados como el Modelo de Aceptación Tecnológica (TAM) </w:t>
      </w:r>
      <w:sdt>
        <w:sdtPr>
          <w:tag w:val="MENDELEY_CITATIONS_v3{&quot;citationID&quot;: &quot;MENDELEY_CITATION_be1fa68b-fbe9-45bd-9cd4-866d49b857d4&quot;, &quot;citationItems&quot;: [{&quot;id&quot;: &quot;5c8c9453-0ee3-42f3-b9c5-6b19ad90981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3cc0ce6d-9494-4b98-9c33-15e3a6446871&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1011"/>
        </w:sdtPr>
        <w:sdtContent>
          <w:r>
            <w:t xml:space="preserve">[2], [9]</w:t>
          </w:r>
        </w:sdtContent>
      </w:sdt>
      <w:r>
        <w:t xml:space="preserve"> y la Escala de Usabilidad del Sistema (SUS) </w:t>
      </w:r>
      <w:sdt>
        <w:sdtPr>
          <w:tag w:val="MENDELEY_CITATIONS_v3{&quot;citationID&quot;: &quot;MENDELEY_CITATION_55c8ebd5-2423-437b-abb9-5ba215d7281d&quot;, &quot;citationItems&quot;: [{&quot;id&quot;: &quot;a2921470-2205-40cd-9741-675b95bd6d4f&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1211120f-bcff-4b36-8fec-5dc6fc372104&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 [4]&quot;, &quot;manualOverrideText&quot;: &quot;&quot;}}"/>
          <w:id w:val="1012"/>
        </w:sdtPr>
        <w:sdtContent>
          <w:r>
            <w:t xml:space="preserve">[3], [4]</w:t>
          </w:r>
        </w:sdtContent>
      </w:sdt>
      <w:r>
        <w:t xml:space="preserve">.</w:t>
      </w:r>
    </w:p>
    <w:p>
      <w:pPr>
        <w:pStyle w:val="Heading3"/>
        <w:jc w:val="left"/>
      </w:pPr>
      <w:r>
        <w:t xml:space="preserve">3.5.2 Instrumentos de medición y formalización matemática</w:t>
      </w:r>
    </w:p>
    <w:p>
      <w:pPr>
        <w:spacing w:after="200" w:line="360" w:lineRule="auto"/>
        <w:jc w:val="both"/>
      </w:pPr>
      <w:r>
        <w:t xml:space="preserve">Cada indicador se evalúa mediante un instrumento específico, acorde con el aspecto analizado del sistema FitKids, y se cuantifica con una expresión matemática asociada que permite obtener un valor objetivo y verificable </w:t>
      </w:r>
      <w:sdt>
        <w:sdtPr>
          <w:tag w:val="MENDELEY_CITATIONS_v3{&quot;citationID&quot;: &quot;MENDELEY_CITATION_1991dcf4-9d43-4603-9d2b-ef7f560e7c62&quot;, &quot;citationItems&quot;: [{&quot;id&quot;: &quot;b1906615-93f3-404e-8d2a-ad0fb3222c5e&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7baca3ff-ae51-4f92-9fb0-c478ed2e47ed&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013"/>
        </w:sdtPr>
        <w:sdtContent>
          <w:r>
            <w:t xml:space="preserve">[6], [7]</w:t>
          </w:r>
        </w:sdtContent>
      </w:sdt>
      <w:r>
        <w:t xml:space="preserve">. Las ecuaciones se presentan numeradas consecutivamente conforme al formato institucional </w:t>
      </w:r>
      <w:sdt>
        <w:sdtPr>
          <w:tag w:val="MENDELEY_CITATIONS_v3{&quot;citationID&quot;: &quot;MENDELEY_CITATION_b92d6a90-ebc7-46f6-bc44-efcf01faade9&quot;, &quot;citationItems&quot;: [{&quot;id&quot;: &quot;5d2f3f19-01cc-4fdf-a069-8e1f27066737&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014"/>
        </w:sdtPr>
        <w:sdtContent>
          <w:r>
            <w:t xml:space="preserve">[13]</w:t>
          </w:r>
        </w:sdtContent>
      </w:sdt>
      <w:r>
        <w:t xml:space="preserve">, y los símbolos empleados se definen inmediatamente después de cada expresión.</w:t>
      </w:r>
    </w:p>
    <w:p>
      <w:pPr>
        <w:pStyle w:val="Heading4"/>
        <w:jc w:val="left"/>
      </w:pPr>
      <w:r>
        <w:t xml:space="preserve">3.5.2.1 Cumplimiento de requisitos (CR)</w:t>
      </w:r>
    </w:p>
    <w:p>
      <w:pPr>
        <w:spacing w:after="200" w:line="360" w:lineRule="auto"/>
        <w:jc w:val="both"/>
      </w:pPr>
      <w:r>
        <w:t xml:space="preserve">La verificación del alcance del sistema se realiza mediante una matriz de trazabilidad que vincula cada requisito con los componentes desarrollados y con las pruebas que lo validan </w:t>
      </w:r>
      <w:sdt>
        <w:sdtPr>
          <w:tag w:val="MENDELEY_CITATIONS_v3{&quot;citationID&quot;: &quot;MENDELEY_CITATION_274e081c-3117-4698-a1ba-83e0fccc10d7&quot;, &quot;citationItems&quot;: [{&quot;id&quot;: &quot;d4884def-595f-4985-b045-19486adca0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03fdb716-2c36-48e3-a6f4-6f4e4cee8d4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015"/>
        </w:sdtPr>
        <w:sdtContent>
          <w:r>
            <w:t xml:space="preserve">[5], [6]</w:t>
          </w:r>
        </w:sdtContent>
      </w:sdt>
      <w:r>
        <w:t xml:space="preserve">. El cumplimiento de requisitos se calcula como la razón entre los requisitos satisfactoriamente cubiertos y el total de requisitos definidos:</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CR</w:t>
            </w:r>
            <w:r>
              <w:t xml:space="preserve"> = (</w:t>
            </w:r>
            <w:r>
              <w:rPr>
                <w:i/>
              </w:rPr>
              <w:t xml:space="preserve">R</w:t>
            </w:r>
            <w:r>
              <w:rPr>
                <w:i/>
                <w:vertAlign w:val="subscript"/>
              </w:rPr>
              <w:t xml:space="preserve">c</w:t>
            </w:r>
            <w:r>
              <w:t xml:space="preserve"> / </w:t>
            </w:r>
            <w:r>
              <w:rPr>
                <w:i/>
              </w:rPr>
              <w:t xml:space="preserve">R</w:t>
            </w:r>
            <w:r>
              <w:rPr>
                <w:i/>
                <w:vertAlign w:val="subscript"/>
              </w:rPr>
              <w:t xml:space="preserve">t</w:t>
            </w:r>
            <w:r>
              <w:t xml:space="preserve">) × 100 %</w:t>
            </w:r>
          </w:p>
        </w:tc>
        <w:tc>
          <w:tcPr>
            <w:tcW w:w="1700" w:type="dxa"/>
            <w:tcBorders>
              <w:top w:val="nil"/>
              <w:left w:val="nil"/>
              <w:bottom w:val="nil"/>
              <w:right w:val="nil"/>
            </w:tcBorders>
          </w:tcPr>
          <w:p>
            <w:pPr>
              <w:spacing w:before="160" w:after="160" w:line="360" w:lineRule="auto"/>
              <w:jc w:val="right"/>
            </w:pPr>
            <w:r>
              <w:t xml:space="preserve">(1)</w:t>
            </w:r>
          </w:p>
        </w:tc>
      </w:tr>
    </w:tbl>
    <w:p>
      <w:pPr>
        <w:spacing w:after="200" w:line="360" w:lineRule="auto"/>
        <w:jc w:val="both"/>
      </w:pPr>
      <w:r>
        <w:t xml:space="preserve">donde </w:t>
      </w:r>
      <w:r>
        <w:rPr>
          <w:i/>
        </w:rPr>
        <w:t xml:space="preserve">CR</w:t>
      </w:r>
      <w:r>
        <w:t xml:space="preserve"> representa el porcentaje de cumplimiento de requisitos; </w:t>
      </w:r>
      <w:r>
        <w:rPr>
          <w:i/>
        </w:rPr>
        <w:t xml:space="preserve">R</w:t>
      </w:r>
      <w:r>
        <w:rPr>
          <w:i/>
          <w:vertAlign w:val="subscript"/>
        </w:rPr>
        <w:t xml:space="preserve">c</w:t>
      </w:r>
      <w:r>
        <w:t xml:space="preserve"> es el número de requisitos cubiertos y verificados; y </w:t>
      </w:r>
      <w:r>
        <w:rPr>
          <w:i/>
        </w:rPr>
        <w:t xml:space="preserve">R</w:t>
      </w:r>
      <w:r>
        <w:rPr>
          <w:i/>
          <w:vertAlign w:val="subscript"/>
        </w:rPr>
        <w:t xml:space="preserve">t</w:t>
      </w:r>
      <w:r>
        <w:t xml:space="preserve"> es el número total de requisitos definidos en la fase de análisis. El criterio de aceptación adoptado para este indicador es </w:t>
      </w:r>
      <w:r>
        <w:rPr>
          <w:i/>
        </w:rPr>
        <w:t xml:space="preserve">CR</w:t>
      </w:r>
      <w:r>
        <w:t xml:space="preserve"> ≥ 95 %, en línea con las prácticas habituales de aseguramiento de calidad en proyectos de ingeniería de software </w:t>
      </w:r>
      <w:sdt>
        <w:sdtPr>
          <w:tag w:val="MENDELEY_CITATIONS_v3{&quot;citationID&quot;: &quot;MENDELEY_CITATION_69264e9c-d9b0-4d71-9b20-a8c365e62840&quot;, &quot;citationItems&quot;: [{&quot;id&quot;: &quot;b01fa8b6-0f30-4632-9283-f6c577abc910&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0680106d-e8ea-4f4f-87e1-cbe122afd42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016"/>
        </w:sdtPr>
        <w:sdtContent>
          <w:r>
            <w:t xml:space="preserve">[6], [7]</w:t>
          </w:r>
        </w:sdtContent>
      </w:sdt>
      <w:r>
        <w:t xml:space="preserve">.</w:t>
      </w:r>
    </w:p>
    <w:p>
      <w:pPr>
        <w:pStyle w:val="Heading4"/>
        <w:jc w:val="left"/>
      </w:pPr>
      <w:r>
        <w:t xml:space="preserve">3.5.2.2 Variación del cronograma (VC) e índice SPI</w:t>
      </w:r>
    </w:p>
    <w:p>
      <w:pPr>
        <w:spacing w:after="200" w:line="360" w:lineRule="auto"/>
        <w:jc w:val="both"/>
      </w:pPr>
      <w:r>
        <w:t xml:space="preserve">La puntualidad de la ejecución se evalúa mediante un diagrama de Gantt comparativo que confronta la planificación inicial con la ejecución real </w:t>
      </w:r>
      <w:sdt>
        <w:sdtPr>
          <w:tag w:val="MENDELEY_CITATIONS_v3{&quot;citationID&quot;: &quot;MENDELEY_CITATION_de03e258-0de7-48f4-913d-091a58f8b0d3&quot;, &quot;citationItems&quot;: [{&quot;id&quot;: &quot;8401c5c1-13bd-477c-be9e-a784fdc71b40&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7]&quot;, &quot;manualOverrideText&quot;: &quot;&quot;}}"/>
          <w:id w:val="1017"/>
        </w:sdtPr>
        <w:sdtContent>
          <w:r>
            <w:t xml:space="preserve">[7]</w:t>
          </w:r>
        </w:sdtContent>
      </w:sdt>
      <w:r>
        <w:t xml:space="preserve">. Para cuantificar la desviación se emplea el método del valor ganado descrito en el </w:t>
      </w:r>
      <w:r>
        <w:rPr>
          <w:i/>
        </w:rPr>
        <w:t xml:space="preserve">PMBOK Guide</w:t>
      </w:r>
      <w:r>
        <w:t xml:space="preserve"> </w:t>
      </w:r>
      <w:sdt>
        <w:sdtPr>
          <w:tag w:val="MENDELEY_CITATIONS_v3{&quot;citationID&quot;: &quot;MENDELEY_CITATION_a451044a-b567-4416-b8c6-d53e018fd108&quot;, &quot;citationItems&quot;: [{&quot;id&quot;: &quot;9178a034-96d3-4ae2-9dbe-ac996bec5e8a&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75b3464-e02e-4973-8a42-711e12aa064c&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1018"/>
        </w:sdtPr>
        <w:sdtContent>
          <w:r>
            <w:t xml:space="preserve">[7], [16]</w:t>
          </w:r>
        </w:sdtContent>
      </w:sdt>
      <w:r>
        <w:t xml:space="preserve">, calculando la variación del cronograma (</w:t>
      </w:r>
      <w:r>
        <w:rPr>
          <w:i/>
        </w:rPr>
        <w:t xml:space="preserve">VC</w:t>
      </w:r>
      <w:r>
        <w:t xml:space="preserve">) como porcentaje y el índice de desempeño del cronograma (</w:t>
      </w:r>
      <w:r>
        <w:rPr>
          <w:i/>
        </w:rPr>
        <w:t xml:space="preserve">SPI</w:t>
      </w:r>
      <w:r>
        <w:t xml:space="preserve">):</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VC</w:t>
            </w:r>
            <w:r>
              <w:t xml:space="preserve"> = (</w:t>
            </w:r>
            <w:r>
              <w:rPr>
                <w:i/>
              </w:rPr>
              <w:t xml:space="preserve">T</w:t>
            </w:r>
            <w:r>
              <w:rPr>
                <w:i/>
                <w:vertAlign w:val="subscript"/>
              </w:rPr>
              <w:t xml:space="preserve">r</w:t>
            </w:r>
            <w:r>
              <w:t xml:space="preserve"> − </w:t>
            </w:r>
            <w:r>
              <w:rPr>
                <w:i/>
              </w:rPr>
              <w:t xml:space="preserve">T</w:t>
            </w:r>
            <w:r>
              <w:rPr>
                <w:i/>
                <w:vertAlign w:val="subscript"/>
              </w:rPr>
              <w:t xml:space="preserve">p</w:t>
            </w:r>
            <w:r>
              <w:t xml:space="preserve">) / </w:t>
            </w:r>
            <w:r>
              <w:rPr>
                <w:i/>
              </w:rPr>
              <w:t xml:space="preserve">T</w:t>
            </w:r>
            <w:r>
              <w:rPr>
                <w:i/>
                <w:vertAlign w:val="subscript"/>
              </w:rPr>
              <w:t xml:space="preserve">p</w:t>
            </w:r>
            <w:r>
              <w:t xml:space="preserve"> × 100 %</w:t>
            </w:r>
          </w:p>
        </w:tc>
        <w:tc>
          <w:tcPr>
            <w:tcW w:w="1700" w:type="dxa"/>
            <w:tcBorders>
              <w:top w:val="nil"/>
              <w:left w:val="nil"/>
              <w:bottom w:val="nil"/>
              <w:right w:val="nil"/>
            </w:tcBorders>
          </w:tcPr>
          <w:p>
            <w:pPr>
              <w:spacing w:before="160" w:after="160" w:line="360" w:lineRule="auto"/>
              <w:jc w:val="right"/>
            </w:pPr>
            <w:r>
              <w:t xml:space="preserve">(2)</w:t>
            </w:r>
          </w:p>
        </w:tc>
      </w:tr>
    </w:tbl>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SPI</w:t>
            </w:r>
            <w:r>
              <w:t xml:space="preserve"> = </w:t>
            </w:r>
            <w:r>
              <w:rPr>
                <w:i/>
              </w:rPr>
              <w:t xml:space="preserve">T</w:t>
            </w:r>
            <w:r>
              <w:rPr>
                <w:i/>
                <w:vertAlign w:val="subscript"/>
              </w:rPr>
              <w:t xml:space="preserve">p</w:t>
            </w:r>
            <w:r>
              <w:t xml:space="preserve"> / </w:t>
            </w:r>
            <w:r>
              <w:rPr>
                <w:i/>
              </w:rPr>
              <w:t xml:space="preserve">T</w:t>
            </w:r>
            <w:r>
              <w:rPr>
                <w:i/>
                <w:vertAlign w:val="subscript"/>
              </w:rPr>
              <w:t xml:space="preserve">r</w:t>
            </w:r>
          </w:p>
        </w:tc>
        <w:tc>
          <w:tcPr>
            <w:tcW w:w="1700" w:type="dxa"/>
            <w:tcBorders>
              <w:top w:val="nil"/>
              <w:left w:val="nil"/>
              <w:bottom w:val="nil"/>
              <w:right w:val="nil"/>
            </w:tcBorders>
          </w:tcPr>
          <w:p>
            <w:pPr>
              <w:spacing w:before="160" w:after="160" w:line="360" w:lineRule="auto"/>
              <w:jc w:val="right"/>
            </w:pPr>
            <w:r>
              <w:t xml:space="preserve">(3)</w:t>
            </w:r>
          </w:p>
        </w:tc>
      </w:tr>
    </w:tbl>
    <w:p>
      <w:pPr>
        <w:spacing w:after="200" w:line="360" w:lineRule="auto"/>
        <w:jc w:val="both"/>
      </w:pPr>
      <w:r>
        <w:t xml:space="preserve">donde </w:t>
      </w:r>
      <w:r>
        <w:rPr>
          <w:i/>
        </w:rPr>
        <w:t xml:space="preserve">T</w:t>
      </w:r>
      <w:r>
        <w:rPr>
          <w:i/>
          <w:vertAlign w:val="subscript"/>
        </w:rPr>
        <w:t xml:space="preserve">p</w:t>
      </w:r>
      <w:r>
        <w:t xml:space="preserve"> es la duración planificada (en días) y </w:t>
      </w:r>
      <w:r>
        <w:rPr>
          <w:i/>
        </w:rPr>
        <w:t xml:space="preserve">T</w:t>
      </w:r>
      <w:r>
        <w:rPr>
          <w:i/>
          <w:vertAlign w:val="subscript"/>
        </w:rPr>
        <w:t xml:space="preserve">r</w:t>
      </w:r>
      <w:r>
        <w:t xml:space="preserve"> es la duración realmente ejecutada. Un valor de </w:t>
      </w:r>
      <w:r>
        <w:rPr>
          <w:i/>
        </w:rPr>
        <w:t xml:space="preserve">VC</w:t>
      </w:r>
      <w:r>
        <w:t xml:space="preserve"> positivo indica retraso, mientras que un valor negativo indica adelanto respecto a la planificación. Se establece como criterio de aceptación |</w:t>
      </w:r>
      <w:r>
        <w:rPr>
          <w:i/>
        </w:rPr>
        <w:t xml:space="preserve">VC</w:t>
      </w:r>
      <w:r>
        <w:t xml:space="preserve">| ≤ 10 % y </w:t>
      </w:r>
      <w:r>
        <w:rPr>
          <w:i/>
        </w:rPr>
        <w:t xml:space="preserve">SPI</w:t>
      </w:r>
      <w:r>
        <w:t xml:space="preserve"> ≥ 0,9, valores considerados aceptables en la literatura de gestión de proyectos </w:t>
      </w:r>
      <w:sdt>
        <w:sdtPr>
          <w:tag w:val="MENDELEY_CITATIONS_v3{&quot;citationID&quot;: &quot;MENDELEY_CITATION_a047a7ec-4d25-423b-87f4-f0b0723b478b&quot;, &quot;citationItems&quot;: [{&quot;id&quot;: &quot;c2494538-b4b1-4471-ad7c-012168e7f02b&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019"/>
        </w:sdtPr>
        <w:sdtContent>
          <w:r>
            <w:t xml:space="preserve">[16]</w:t>
          </w:r>
        </w:sdtContent>
      </w:sdt>
      <w:r>
        <w:t xml:space="preserve">.</w:t>
      </w:r>
    </w:p>
    <w:p>
      <w:pPr>
        <w:pStyle w:val="Heading4"/>
        <w:jc w:val="left"/>
      </w:pPr>
      <w:r>
        <w:t xml:space="preserve">3.5.2.3 Variación del presupuesto (VP) e índice CPI</w:t>
      </w:r>
    </w:p>
    <w:p>
      <w:pPr>
        <w:spacing w:after="200" w:line="360" w:lineRule="auto"/>
        <w:jc w:val="both"/>
      </w:pPr>
      <w:r>
        <w:t xml:space="preserve">El control financiero del proyecto se evalúa mediante la comparación entre el costo proyectado en la fase de planificación y el costo realmente incurrido durante la ejecución, conforme al formato sugerido por el reglamento </w:t>
      </w:r>
      <w:sdt>
        <w:sdtPr>
          <w:tag w:val="MENDELEY_CITATIONS_v3{&quot;citationID&quot;: &quot;MENDELEY_CITATION_b9cffd87-3d4b-4fbe-8511-0b495759e628&quot;, &quot;citationItems&quot;: [{&quot;id&quot;: &quot;7d474767-ae54-4beb-9b15-79b455acf953&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020"/>
        </w:sdtPr>
        <w:sdtContent>
          <w:r>
            <w:t xml:space="preserve">[13]</w:t>
          </w:r>
        </w:sdtContent>
      </w:sdt>
      <w:r>
        <w:t xml:space="preserve">. De forma análoga al indicador anterior, se aplica la variación del presupuesto (</w:t>
      </w:r>
      <w:r>
        <w:rPr>
          <w:i/>
        </w:rPr>
        <w:t xml:space="preserve">VP</w:t>
      </w:r>
      <w:r>
        <w:t xml:space="preserve">) y el índice de desempeño del costo (</w:t>
      </w:r>
      <w:r>
        <w:rPr>
          <w:i/>
        </w:rPr>
        <w:t xml:space="preserve">CPI</w:t>
      </w:r>
      <w:r>
        <w:t xml:space="preserve">) definidos por la gestión por valor ganado </w:t>
      </w:r>
      <w:sdt>
        <w:sdtPr>
          <w:tag w:val="MENDELEY_CITATIONS_v3{&quot;citationID&quot;: &quot;MENDELEY_CITATION_6fb48b5e-16f6-486f-ba0a-1c29f4b3dfdb&quot;, &quot;citationItems&quot;: [{&quot;id&quot;: &quot;dbf05789-859c-45d7-a30e-6dd6af6e92d5&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021"/>
        </w:sdtPr>
        <w:sdtContent>
          <w:r>
            <w:t xml:space="preserve">[16]</w:t>
          </w:r>
        </w:sdtContent>
      </w:sdt>
      <w:r>
        <w:t xml:space="preserve">:</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VP</w:t>
            </w:r>
            <w:r>
              <w:t xml:space="preserve"> = (</w:t>
            </w:r>
            <w:r>
              <w:rPr>
                <w:i/>
              </w:rPr>
              <w:t xml:space="preserve">C</w:t>
            </w:r>
            <w:r>
              <w:rPr>
                <w:i/>
                <w:vertAlign w:val="subscript"/>
              </w:rPr>
              <w:t xml:space="preserve">r</w:t>
            </w:r>
            <w:r>
              <w:t xml:space="preserve"> − </w:t>
            </w:r>
            <w:r>
              <w:rPr>
                <w:i/>
              </w:rPr>
              <w:t xml:space="preserve">C</w:t>
            </w:r>
            <w:r>
              <w:rPr>
                <w:i/>
                <w:vertAlign w:val="subscript"/>
              </w:rPr>
              <w:t xml:space="preserve">p</w:t>
            </w:r>
            <w:r>
              <w:t xml:space="preserve">) / </w:t>
            </w:r>
            <w:r>
              <w:rPr>
                <w:i/>
              </w:rPr>
              <w:t xml:space="preserve">C</w:t>
            </w:r>
            <w:r>
              <w:rPr>
                <w:i/>
                <w:vertAlign w:val="subscript"/>
              </w:rPr>
              <w:t xml:space="preserve">p</w:t>
            </w:r>
            <w:r>
              <w:t xml:space="preserve"> × 100 %</w:t>
            </w:r>
          </w:p>
        </w:tc>
        <w:tc>
          <w:tcPr>
            <w:tcW w:w="1700" w:type="dxa"/>
            <w:tcBorders>
              <w:top w:val="nil"/>
              <w:left w:val="nil"/>
              <w:bottom w:val="nil"/>
              <w:right w:val="nil"/>
            </w:tcBorders>
          </w:tcPr>
          <w:p>
            <w:pPr>
              <w:spacing w:before="160" w:after="160" w:line="360" w:lineRule="auto"/>
              <w:jc w:val="right"/>
            </w:pPr>
            <w:r>
              <w:t xml:space="preserve">(4)</w:t>
            </w:r>
          </w:p>
        </w:tc>
      </w:tr>
    </w:tbl>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CPI</w:t>
            </w:r>
            <w:r>
              <w:t xml:space="preserve"> = </w:t>
            </w:r>
            <w:r>
              <w:rPr>
                <w:i/>
              </w:rPr>
              <w:t xml:space="preserve">C</w:t>
            </w:r>
            <w:r>
              <w:rPr>
                <w:i/>
                <w:vertAlign w:val="subscript"/>
              </w:rPr>
              <w:t xml:space="preserve">p</w:t>
            </w:r>
            <w:r>
              <w:t xml:space="preserve"> / </w:t>
            </w:r>
            <w:r>
              <w:rPr>
                <w:i/>
              </w:rPr>
              <w:t xml:space="preserve">C</w:t>
            </w:r>
            <w:r>
              <w:rPr>
                <w:i/>
                <w:vertAlign w:val="subscript"/>
              </w:rPr>
              <w:t xml:space="preserve">r</w:t>
            </w:r>
          </w:p>
        </w:tc>
        <w:tc>
          <w:tcPr>
            <w:tcW w:w="1700" w:type="dxa"/>
            <w:tcBorders>
              <w:top w:val="nil"/>
              <w:left w:val="nil"/>
              <w:bottom w:val="nil"/>
              <w:right w:val="nil"/>
            </w:tcBorders>
          </w:tcPr>
          <w:p>
            <w:pPr>
              <w:spacing w:before="160" w:after="160" w:line="360" w:lineRule="auto"/>
              <w:jc w:val="right"/>
            </w:pPr>
            <w:r>
              <w:t xml:space="preserve">(5)</w:t>
            </w:r>
          </w:p>
        </w:tc>
      </w:tr>
    </w:tbl>
    <w:p>
      <w:pPr>
        <w:spacing w:after="200" w:line="360" w:lineRule="auto"/>
        <w:jc w:val="both"/>
      </w:pPr>
      <w:r>
        <w:t xml:space="preserve">donde </w:t>
      </w:r>
      <w:r>
        <w:rPr>
          <w:i/>
        </w:rPr>
        <w:t xml:space="preserve">C</w:t>
      </w:r>
      <w:r>
        <w:rPr>
          <w:i/>
          <w:vertAlign w:val="subscript"/>
        </w:rPr>
        <w:t xml:space="preserve">p</w:t>
      </w:r>
      <w:r>
        <w:t xml:space="preserve"> es el costo planificado (en USD) y </w:t>
      </w:r>
      <w:r>
        <w:rPr>
          <w:i/>
        </w:rPr>
        <w:t xml:space="preserve">C</w:t>
      </w:r>
      <w:r>
        <w:rPr>
          <w:i/>
          <w:vertAlign w:val="subscript"/>
        </w:rPr>
        <w:t xml:space="preserve">r</w:t>
      </w:r>
      <w:r>
        <w:t xml:space="preserve"> es el costo real ejecutado al cierre del proyecto. Se establece como criterio de aceptación |</w:t>
      </w:r>
      <w:r>
        <w:rPr>
          <w:i/>
        </w:rPr>
        <w:t xml:space="preserve">VP</w:t>
      </w:r>
      <w:r>
        <w:t xml:space="preserve">| ≤ 10 % y </w:t>
      </w:r>
      <w:r>
        <w:rPr>
          <w:i/>
        </w:rPr>
        <w:t xml:space="preserve">CPI</w:t>
      </w:r>
      <w:r>
        <w:t xml:space="preserve"> ≥ 0,9.</w:t>
      </w:r>
    </w:p>
    <w:p>
      <w:pPr>
        <w:pStyle w:val="Heading4"/>
        <w:jc w:val="left"/>
      </w:pPr>
      <w:r>
        <w:t xml:space="preserve">3.5.2.4 Cobertura de pruebas (CP)</w:t>
      </w:r>
    </w:p>
    <w:p>
      <w:pPr>
        <w:spacing w:after="200" w:line="360" w:lineRule="auto"/>
        <w:jc w:val="both"/>
      </w:pPr>
      <w:r>
        <w:t xml:space="preserve">La calidad técnica del producto se mide mediante la ejecución de pruebas unitarias y de integración orientadas a verificar la funcionalidad, la fiabilidad y la eficiencia del software, según el modelo de calidad ISO/IEC 25010 </w:t>
      </w:r>
      <w:sdt>
        <w:sdtPr>
          <w:tag w:val="MENDELEY_CITATIONS_v3{&quot;citationID&quot;: &quot;MENDELEY_CITATION_dcfa7eee-c3a7-4943-867a-80516fab6e68&quot;, &quot;citationItems&quot;: [{&quot;id&quot;: &quot;f1334754-9ef4-4027-967b-5c98c43f75f6&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2b89d49f-ec86-4ec0-af0e-4c533cf3f65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6]&quot;, &quot;manualOverrideText&quot;: &quot;&quot;}}"/>
          <w:id w:val="1022"/>
        </w:sdtPr>
        <w:sdtContent>
          <w:r>
            <w:t xml:space="preserve">[1], [6]</w:t>
          </w:r>
        </w:sdtContent>
      </w:sdt>
      <w:r>
        <w:t xml:space="preserve">. La cobertura de pruebas se calcula como:</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CP</w:t>
            </w:r>
            <w:r>
              <w:t xml:space="preserve"> = (</w:t>
            </w:r>
            <w:r>
              <w:rPr>
                <w:i/>
              </w:rPr>
              <w:t xml:space="preserve">N</w:t>
            </w:r>
            <w:r>
              <w:rPr>
                <w:i/>
                <w:vertAlign w:val="subscript"/>
              </w:rPr>
              <w:t xml:space="preserve">a</w:t>
            </w:r>
            <w:r>
              <w:t xml:space="preserve"> / </w:t>
            </w:r>
            <w:r>
              <w:rPr>
                <w:i/>
              </w:rPr>
              <w:t xml:space="preserve">N</w:t>
            </w:r>
            <w:r>
              <w:rPr>
                <w:i/>
                <w:vertAlign w:val="subscript"/>
              </w:rPr>
              <w:t xml:space="preserve">t</w:t>
            </w:r>
            <w:r>
              <w:t xml:space="preserve">) × 100 %</w:t>
            </w:r>
          </w:p>
        </w:tc>
        <w:tc>
          <w:tcPr>
            <w:tcW w:w="1700" w:type="dxa"/>
            <w:tcBorders>
              <w:top w:val="nil"/>
              <w:left w:val="nil"/>
              <w:bottom w:val="nil"/>
              <w:right w:val="nil"/>
            </w:tcBorders>
          </w:tcPr>
          <w:p>
            <w:pPr>
              <w:spacing w:before="160" w:after="160" w:line="360" w:lineRule="auto"/>
              <w:jc w:val="right"/>
            </w:pPr>
            <w:r>
              <w:t xml:space="preserve">(6)</w:t>
            </w:r>
          </w:p>
        </w:tc>
      </w:tr>
    </w:tbl>
    <w:p>
      <w:pPr>
        <w:spacing w:after="200" w:line="360" w:lineRule="auto"/>
        <w:jc w:val="both"/>
      </w:pPr>
      <w:r>
        <w:t xml:space="preserve">donde </w:t>
      </w:r>
      <w:r>
        <w:rPr>
          <w:i/>
        </w:rPr>
        <w:t xml:space="preserve">CP</w:t>
      </w:r>
      <w:r>
        <w:t xml:space="preserve"> es la cobertura de pruebas expresada en porcentaje; </w:t>
      </w:r>
      <w:r>
        <w:rPr>
          <w:i/>
        </w:rPr>
        <w:t xml:space="preserve">N</w:t>
      </w:r>
      <w:r>
        <w:rPr>
          <w:i/>
          <w:vertAlign w:val="subscript"/>
        </w:rPr>
        <w:t xml:space="preserve">a</w:t>
      </w:r>
      <w:r>
        <w:t xml:space="preserve"> es el número de pruebas aprobadas; y </w:t>
      </w:r>
      <w:r>
        <w:rPr>
          <w:i/>
        </w:rPr>
        <w:t xml:space="preserve">N</w:t>
      </w:r>
      <w:r>
        <w:rPr>
          <w:i/>
          <w:vertAlign w:val="subscript"/>
        </w:rPr>
        <w:t xml:space="preserve">t</w:t>
      </w:r>
      <w:r>
        <w:t xml:space="preserve"> es el número total de pruebas ejecutadas. Se establece como criterio de aceptación </w:t>
      </w:r>
      <w:r>
        <w:rPr>
          <w:i/>
        </w:rPr>
        <w:t xml:space="preserve">CP</w:t>
      </w:r>
      <w:r>
        <w:t xml:space="preserve"> ≥ 90 %, valor consistente con la fase de generación y ejecución de pruebas establecida por la metodología TDDM4IoTS adoptada </w:t>
      </w:r>
      <w:sdt>
        <w:sdtPr>
          <w:tag w:val="MENDELEY_CITATIONS_v3{&quot;citationID&quot;: &quot;MENDELEY_CITATION_8f0a0adf-75c7-45b5-9fd5-373de2426135&quot;, &quot;citationItems&quot;: [{&quot;id&quot;: &quot;0eda54c4-d250-4b22-ae9d-25a18416b958&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42369a66-2b93-477a-8441-6bfb4816ffa5&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1023"/>
        </w:sdtPr>
        <w:sdtContent>
          <w:r>
            <w:t xml:space="preserve">[11], [12]</w:t>
          </w:r>
        </w:sdtContent>
      </w:sdt>
      <w:r>
        <w:t xml:space="preserve">.</w:t>
      </w:r>
    </w:p>
    <w:p>
      <w:pPr>
        <w:pStyle w:val="Heading4"/>
        <w:jc w:val="left"/>
      </w:pPr>
      <w:r>
        <w:t xml:space="preserve">3.5.2.5 Aceptación tecnológica (TAM)</w:t>
      </w:r>
    </w:p>
    <w:p>
      <w:pPr>
        <w:spacing w:after="200" w:line="360" w:lineRule="auto"/>
        <w:jc w:val="both"/>
      </w:pPr>
      <w:r>
        <w:t xml:space="preserve">Para evaluar la aceptación del sistema por parte de los padres de familia se aplica el Modelo de Aceptación Tecnológica (TAM), que mide dos dimensiones fundamentales: la utilidad percibida y la facilidad de uso percibida </w:t>
      </w:r>
      <w:sdt>
        <w:sdtPr>
          <w:tag w:val="MENDELEY_CITATIONS_v3{&quot;citationID&quot;: &quot;MENDELEY_CITATION_fbbc5b3c-a324-4d7e-a439-23600a788434&quot;, &quot;citationItems&quot;: [{&quot;id&quot;: &quot;7f63e919-77c9-4b43-b99e-9f7b19a91a12&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875e44e8-f377-4261-9331-3b2f9250993f&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1024"/>
        </w:sdtPr>
        <w:sdtContent>
          <w:r>
            <w:t xml:space="preserve">[2], [9]</w:t>
          </w:r>
        </w:sdtContent>
      </w:sdt>
      <w:r>
        <w:t xml:space="preserve">. El instrumento utiliza una escala Likert de cinco puntos, donde 1 corresponde a “totalmente en desacuerdo” y 5 a “totalmente de acuerdo”. La puntuación media del instrumento se calcula como:</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t xml:space="preserve">x̄</w:t>
            </w:r>
            <w:r>
              <w:rPr>
                <w:i/>
                <w:vertAlign w:val="subscript"/>
              </w:rPr>
              <w:t xml:space="preserve">TAM</w:t>
            </w:r>
            <w:r>
              <w:t xml:space="preserve"> = (1 / </w:t>
            </w:r>
            <w:r>
              <w:rPr>
                <w:i/>
              </w:rPr>
              <w:t xml:space="preserve">n</w:t>
            </w:r>
            <w:r>
              <w:t xml:space="preserve">) · Σ </w:t>
            </w:r>
            <w:r>
              <w:rPr>
                <w:i/>
              </w:rPr>
              <w:t xml:space="preserve">x</w:t>
            </w:r>
            <w:r>
              <w:rPr>
                <w:i/>
                <w:vertAlign w:val="subscript"/>
              </w:rPr>
              <w:t xml:space="preserve">i</w:t>
            </w:r>
            <w:r>
              <w:t xml:space="preserve">    , </w:t>
            </w:r>
            <w:r>
              <w:rPr>
                <w:i/>
              </w:rPr>
              <w:t xml:space="preserve">i</w:t>
            </w:r>
            <w:r>
              <w:t xml:space="preserve"> = 1, 2, …, </w:t>
            </w:r>
            <w:r>
              <w:rPr>
                <w:i/>
              </w:rPr>
              <w:t xml:space="preserve">n</w:t>
            </w:r>
          </w:p>
        </w:tc>
        <w:tc>
          <w:tcPr>
            <w:tcW w:w="1700" w:type="dxa"/>
            <w:tcBorders>
              <w:top w:val="nil"/>
              <w:left w:val="nil"/>
              <w:bottom w:val="nil"/>
              <w:right w:val="nil"/>
            </w:tcBorders>
          </w:tcPr>
          <w:p>
            <w:pPr>
              <w:spacing w:before="160" w:after="160" w:line="360" w:lineRule="auto"/>
              <w:jc w:val="right"/>
            </w:pPr>
            <w:r>
              <w:t xml:space="preserve">(7)</w:t>
            </w:r>
          </w:p>
        </w:tc>
      </w:tr>
    </w:tbl>
    <w:p>
      <w:pPr>
        <w:spacing w:after="200" w:line="360" w:lineRule="auto"/>
        <w:jc w:val="both"/>
      </w:pPr>
      <w:r>
        <w:t xml:space="preserve">donde x̄</w:t>
      </w:r>
      <w:r>
        <w:rPr>
          <w:i/>
          <w:vertAlign w:val="subscript"/>
        </w:rPr>
        <w:t xml:space="preserve">TAM</w:t>
      </w:r>
      <w:r>
        <w:t xml:space="preserve"> es la puntuación media del cuestionario TAM; </w:t>
      </w:r>
      <w:r>
        <w:rPr>
          <w:i/>
        </w:rPr>
        <w:t xml:space="preserve">x</w:t>
      </w:r>
      <w:r>
        <w:rPr>
          <w:i/>
          <w:vertAlign w:val="subscript"/>
        </w:rPr>
        <w:t xml:space="preserve">i</w:t>
      </w:r>
      <w:r>
        <w:t xml:space="preserve"> es la respuesta del </w:t>
      </w:r>
      <w:r>
        <w:rPr>
          <w:i/>
        </w:rPr>
        <w:t xml:space="preserve">i</w:t>
      </w:r>
      <w:r>
        <w:t xml:space="preserve">-ésimo participante en escala 1–5; y </w:t>
      </w:r>
      <w:r>
        <w:rPr>
          <w:i/>
        </w:rPr>
        <w:t xml:space="preserve">n</w:t>
      </w:r>
      <w:r>
        <w:t xml:space="preserve"> es el número total de respuestas válidas. Se considera satisfactoria una puntuación media x̄</w:t>
      </w:r>
      <w:r>
        <w:rPr>
          <w:i/>
          <w:vertAlign w:val="subscript"/>
        </w:rPr>
        <w:t xml:space="preserve">TAM</w:t>
      </w:r>
      <w:r>
        <w:t xml:space="preserve"> ≥ 4,0, valor que indica una percepción positiva mayoritaria sobre la utilidad y la facilidad de uso del sistema </w:t>
      </w:r>
      <w:sdt>
        <w:sdtPr>
          <w:tag w:val="MENDELEY_CITATIONS_v3{&quot;citationID&quot;: &quot;MENDELEY_CITATION_6a10b5e0-30ca-4ea3-aebf-0fa3ab05edf4&quot;, &quot;citationItems&quot;: [{&quot;id&quot;: &quot;3901fbc8-e5ed-4524-ab67-2ac0e8cef5b7&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9]&quot;, &quot;manualOverrideText&quot;: &quot;&quot;}}"/>
          <w:id w:val="1025"/>
        </w:sdtPr>
        <w:sdtContent>
          <w:r>
            <w:t xml:space="preserve">[9]</w:t>
          </w:r>
        </w:sdtContent>
      </w:sdt>
      <w:r>
        <w:t xml:space="preserve">.</w:t>
      </w:r>
    </w:p>
    <w:p>
      <w:pPr>
        <w:pStyle w:val="Heading4"/>
        <w:jc w:val="left"/>
      </w:pPr>
      <w:r>
        <w:t xml:space="preserve">3.5.2.6 Usabilidad infantil (SUS)</w:t>
      </w:r>
    </w:p>
    <w:p>
      <w:pPr>
        <w:spacing w:after="200" w:line="360" w:lineRule="auto"/>
        <w:jc w:val="both"/>
      </w:pPr>
      <w:r>
        <w:t xml:space="preserve">La usabilidad del modo niño se evalúa mediante la Escala de Usabilidad del Sistema (SUS), aplicada con el acompañamiento de los representantes legales y considerando las adaptaciones recomendadas para evaluar usabilidad con menores de edad </w:t>
      </w:r>
      <w:sdt>
        <w:sdtPr>
          <w:tag w:val="MENDELEY_CITATIONS_v3{&quot;citationID&quot;: &quot;MENDELEY_CITATION_55eb1057-b7c9-480e-99d2-c1b71ed48703&quot;, &quot;citationItems&quot;: [{&quot;id&quot;: &quot;8ad6501f-f4ea-4ec3-8f40-bbbafbae8c8d&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9345f233-5308-4c02-b09f-62fe52b210f5&quot;, &quot;itemData&quot;: {&quot;id&quot;: &quot;4cf5b0db-3fdb-4ec8-8e10-37c97d1d7e78&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3], [15]&quot;, &quot;manualOverrideText&quot;: &quot;&quot;}}"/>
          <w:id w:val="1026"/>
        </w:sdtPr>
        <w:sdtContent>
          <w:r>
            <w:t xml:space="preserve">[3], [15]</w:t>
          </w:r>
        </w:sdtContent>
      </w:sdt>
      <w:r>
        <w:t xml:space="preserve">. El instrumento consta de diez preguntas con escala Likert 1–5, alternando entre afirmaciones positivas (ítems impares) y negativas (ítems pares). La puntuación se calcula con la fórmula original propuesta por Brooke </w:t>
      </w:r>
      <w:sdt>
        <w:sdtPr>
          <w:tag w:val="MENDELEY_CITATIONS_v3{&quot;citationID&quot;: &quot;MENDELEY_CITATION_0f2d7e71-e0f0-4d41-9275-af75344dcc41&quot;, &quot;citationItems&quot;: [{&quot;id&quot;: &quot;6feb96c7-1a64-4c98-8338-742fb64f1b53&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165c5fe8-4fab-4b91-9370-d73d3b1f3fee&quot;, &quot;itemData&quot;: {&quot;id&quot;: &quot;914b23c2-08d8-4991-be6f-39c43766660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 [10]&quot;, &quot;manualOverrideText&quot;: &quot;&quot;}}"/>
          <w:id w:val="1027"/>
        </w:sdtPr>
        <w:sdtContent>
          <w:r>
            <w:t xml:space="preserve">[4], [10]</w:t>
          </w:r>
        </w:sdtContent>
      </w:sdt>
      <w:r>
        <w:t xml:space="preserve">:</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SUS</w:t>
            </w:r>
            <w:r>
              <w:t xml:space="preserve"> = 2,5 · [Σ (</w:t>
            </w:r>
            <w:r>
              <w:rPr>
                <w:i/>
              </w:rPr>
              <w:t xml:space="preserve">P</w:t>
            </w:r>
            <w:r>
              <w:rPr>
                <w:i/>
                <w:vertAlign w:val="subscript"/>
              </w:rPr>
              <w:t xml:space="preserve">i</w:t>
            </w:r>
            <w:r>
              <w:t xml:space="preserve"> − 1)</w:t>
            </w:r>
            <w:r>
              <w:rPr>
                <w:i/>
                <w:vertAlign w:val="subscript"/>
              </w:rPr>
              <w:t xml:space="preserve">impar</w:t>
            </w:r>
            <w:r>
              <w:t xml:space="preserve"> + Σ (5 − </w:t>
            </w:r>
            <w:r>
              <w:rPr>
                <w:i/>
              </w:rPr>
              <w:t xml:space="preserve">P</w:t>
            </w:r>
            <w:r>
              <w:rPr>
                <w:i/>
                <w:vertAlign w:val="subscript"/>
              </w:rPr>
              <w:t xml:space="preserve">i</w:t>
            </w:r>
            <w:r>
              <w:t xml:space="preserve">)</w:t>
            </w:r>
            <w:r>
              <w:rPr>
                <w:i/>
                <w:vertAlign w:val="subscript"/>
              </w:rPr>
              <w:t xml:space="preserve">par</w:t>
            </w:r>
            <w:r>
              <w:t xml:space="preserve">]</w:t>
            </w:r>
          </w:p>
        </w:tc>
        <w:tc>
          <w:tcPr>
            <w:tcW w:w="1700" w:type="dxa"/>
            <w:tcBorders>
              <w:top w:val="nil"/>
              <w:left w:val="nil"/>
              <w:bottom w:val="nil"/>
              <w:right w:val="nil"/>
            </w:tcBorders>
          </w:tcPr>
          <w:p>
            <w:pPr>
              <w:spacing w:before="160" w:after="160" w:line="360" w:lineRule="auto"/>
              <w:jc w:val="right"/>
            </w:pPr>
            <w:r>
              <w:t xml:space="preserve">(8)</w:t>
            </w:r>
          </w:p>
        </w:tc>
      </w:tr>
    </w:tbl>
    <w:p>
      <w:pPr>
        <w:spacing w:after="200" w:line="360" w:lineRule="auto"/>
        <w:jc w:val="both"/>
      </w:pPr>
      <w:r>
        <w:t xml:space="preserve">donde </w:t>
      </w:r>
      <w:r>
        <w:rPr>
          <w:i/>
        </w:rPr>
        <w:t xml:space="preserve">SUS</w:t>
      </w:r>
      <w:r>
        <w:t xml:space="preserve"> es la puntuación final del instrumento, expresada en una escala de 0 a 100; </w:t>
      </w:r>
      <w:r>
        <w:rPr>
          <w:i/>
        </w:rPr>
        <w:t xml:space="preserve">P</w:t>
      </w:r>
      <w:r>
        <w:rPr>
          <w:i/>
          <w:vertAlign w:val="subscript"/>
        </w:rPr>
        <w:t xml:space="preserve">i</w:t>
      </w:r>
      <w:r>
        <w:t xml:space="preserve"> es la respuesta del usuario al ítem </w:t>
      </w:r>
      <w:r>
        <w:rPr>
          <w:i/>
        </w:rPr>
        <w:t xml:space="preserve">i</w:t>
      </w:r>
      <w:r>
        <w:t xml:space="preserve">; los subíndices </w:t>
      </w:r>
      <w:r>
        <w:rPr>
          <w:i/>
        </w:rPr>
        <w:t xml:space="preserve">impar</w:t>
      </w:r>
      <w:r>
        <w:t xml:space="preserve"> y </w:t>
      </w:r>
      <w:r>
        <w:rPr>
          <w:i/>
        </w:rPr>
        <w:t xml:space="preserve">par</w:t>
      </w:r>
      <w:r>
        <w:t xml:space="preserve"> indican que la suma se realiza sobre los ítems en posiciones impares y pares respectivamente. Conforme a los rangos empíricos publicados, una puntuación </w:t>
      </w:r>
      <w:r>
        <w:rPr>
          <w:i/>
        </w:rPr>
        <w:t xml:space="preserve">SUS</w:t>
      </w:r>
      <w:r>
        <w:t xml:space="preserve"> ≥ 68 corresponde a una usabilidad considerada aceptable y se establece como criterio de aceptación para este indicador </w:t>
      </w:r>
      <w:sdt>
        <w:sdtPr>
          <w:tag w:val="MENDELEY_CITATIONS_v3{&quot;citationID&quot;: &quot;MENDELEY_CITATION_e8b959c9-9c47-44cd-a452-f8f1058414a2&quot;, &quot;citationItems&quot;: [{&quot;id&quot;: &quot;b4844ce4-fb61-44c1-91d3-70c99d71102c&quot;, &quot;itemData&quot;: {&quot;id&quot;: &quot;914b23c2-08d8-4991-be6f-39c43766660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10]&quot;, &quot;manualOverrideText&quot;: &quot;&quot;}}"/>
          <w:id w:val="1028"/>
        </w:sdtPr>
        <w:sdtContent>
          <w:r>
            <w:t xml:space="preserve">[10]</w:t>
          </w:r>
        </w:sdtContent>
      </w:sdt>
      <w:r>
        <w:t xml:space="preserve">.</w:t>
      </w:r>
    </w:p>
    <w:p>
      <w:pPr>
        <w:pStyle w:val="Heading4"/>
        <w:jc w:val="left"/>
      </w:pPr>
      <w:r>
        <w:t xml:space="preserve">3.5.2.7 Validación clínica</w:t>
      </w:r>
    </w:p>
    <w:p>
      <w:pPr>
        <w:spacing w:after="200" w:line="360" w:lineRule="auto"/>
        <w:jc w:val="both"/>
      </w:pPr>
      <w:r>
        <w:t xml:space="preserve">La pertinencia clínica y la seguridad de las rutinas generadas por el sistema se evalúan mediante un análisis cualitativo conducido por una pediatra colaboradora, quien aplica observación directa y emite comentarios profesionales sobre la adecuación de las actividades a los rangos de edad considerados, el cumplimiento de las recomendaciones de actividad física infantil y la organización general de la información </w:t>
      </w:r>
      <w:sdt>
        <w:sdtPr>
          <w:tag w:val="MENDELEY_CITATIONS_v3{&quot;citationID&quot;: &quot;MENDELEY_CITATION_9e135caf-a854-45d1-b55f-69b857d74b4e&quot;, &quot;citationItems&quot;: [{&quot;id&quot;: &quot;760aecb2-9310-4fa6-9882-6971ff2f7018&quot;, &quot;itemData&quot;: {&quot;id&quot;: &quot;0b481eac-6c5e-44b0-bb36-1ff608821f55&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3441db33-6c1a-436d-a8a2-8ece1e6087fa&quot;, &quot;itemData&quot;: {&quot;id&quot;: &quot;39acf9e5-937e-493e-8b3f-d064865d407c&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8], [14]&quot;, &quot;manualOverrideText&quot;: &quot;&quot;}}"/>
          <w:id w:val="1029"/>
        </w:sdtPr>
        <w:sdtContent>
          <w:r>
            <w:t xml:space="preserve">[8], [14]</w:t>
          </w:r>
        </w:sdtContent>
      </w:sdt>
      <w:r>
        <w:t xml:space="preserve">. Por su naturaleza cualitativa, este indicador no se cuantifica mediante una expresión matemática, sino que se documenta mediante el registro estructurado de observaciones, en línea con la práctica de evaluación heurística complementaria a las pruebas con usuarios </w:t>
      </w:r>
      <w:sdt>
        <w:sdtPr>
          <w:tag w:val="MENDELEY_CITATIONS_v3{&quot;citationID&quot;: &quot;MENDELEY_CITATION_3506ba2f-bfbe-49ed-959b-7bf639fad2e8&quot;, &quot;citationItems&quot;: [{&quot;id&quot;: &quot;de4fbf06-b353-43c9-8061-450d5db636e3&quot;, &quot;itemData&quot;: {&quot;id&quot;: &quot;0b481eac-6c5e-44b0-bb36-1ff608821f55&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8]&quot;, &quot;manualOverrideText&quot;: &quot;&quot;}}"/>
          <w:id w:val="1030"/>
        </w:sdtPr>
        <w:sdtContent>
          <w:r>
            <w:t xml:space="preserve">[8]</w:t>
          </w:r>
        </w:sdtContent>
      </w:sdt>
      <w:r>
        <w:t xml:space="preserve">. El criterio de aceptación adoptado es la ausencia de objeciones críticas relacionadas con la seguridad de las rutinas.</w:t>
      </w:r>
    </w:p>
    <w:p>
      <w:pPr>
        <w:pStyle w:val="Heading4"/>
        <w:jc w:val="left"/>
      </w:pPr>
      <w:r>
        <w:t xml:space="preserve">3.5.2.8 Rendimiento del sistema</w:t>
      </w:r>
    </w:p>
    <w:p>
      <w:pPr>
        <w:spacing w:after="200" w:line="360" w:lineRule="auto"/>
        <w:jc w:val="both"/>
      </w:pPr>
      <w:r>
        <w:t xml:space="preserve">El rendimiento del sistema se evalúa mediante pruebas de carga sobre la API y la aplicación móvil, registrando el tiempo de respuesta de las operaciones críticas (autenticación, generación de rutinas y consulta de progreso). El tiempo medio de respuesta se calcula como:</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t xml:space="preserve">T̄ = (1 / </w:t>
            </w:r>
            <w:r>
              <w:rPr>
                <w:i/>
              </w:rPr>
              <w:t xml:space="preserve">m</w:t>
            </w:r>
            <w:r>
              <w:t xml:space="preserve">) · Σ </w:t>
            </w:r>
            <w:r>
              <w:rPr>
                <w:i/>
              </w:rPr>
              <w:t xml:space="preserve">t</w:t>
            </w:r>
            <w:r>
              <w:rPr>
                <w:i/>
                <w:vertAlign w:val="subscript"/>
              </w:rPr>
              <w:t xml:space="preserve">j</w:t>
            </w:r>
            <w:r>
              <w:t xml:space="preserve">    , </w:t>
            </w:r>
            <w:r>
              <w:rPr>
                <w:i/>
              </w:rPr>
              <w:t xml:space="preserve">j</w:t>
            </w:r>
            <w:r>
              <w:t xml:space="preserve"> = 1, 2, …, </w:t>
            </w:r>
            <w:r>
              <w:rPr>
                <w:i/>
              </w:rPr>
              <w:t xml:space="preserve">m</w:t>
            </w:r>
          </w:p>
        </w:tc>
        <w:tc>
          <w:tcPr>
            <w:tcW w:w="1700" w:type="dxa"/>
            <w:tcBorders>
              <w:top w:val="nil"/>
              <w:left w:val="nil"/>
              <w:bottom w:val="nil"/>
              <w:right w:val="nil"/>
            </w:tcBorders>
          </w:tcPr>
          <w:p>
            <w:pPr>
              <w:spacing w:before="160" w:after="160" w:line="360" w:lineRule="auto"/>
              <w:jc w:val="right"/>
            </w:pPr>
            <w:r>
              <w:t xml:space="preserve">(9)</w:t>
            </w:r>
          </w:p>
        </w:tc>
      </w:tr>
    </w:tbl>
    <w:p>
      <w:pPr>
        <w:spacing w:after="200" w:line="360" w:lineRule="auto"/>
        <w:jc w:val="both"/>
      </w:pPr>
      <w:r>
        <w:t xml:space="preserve">donde T̄ es el tiempo medio de respuesta del sistema (en milisegundos); </w:t>
      </w:r>
      <w:r>
        <w:rPr>
          <w:i/>
        </w:rPr>
        <w:t xml:space="preserve">t</w:t>
      </w:r>
      <w:r>
        <w:rPr>
          <w:i/>
          <w:vertAlign w:val="subscript"/>
        </w:rPr>
        <w:t xml:space="preserve">j</w:t>
      </w:r>
      <w:r>
        <w:t xml:space="preserve"> es el tiempo de respuesta registrado en la </w:t>
      </w:r>
      <w:r>
        <w:rPr>
          <w:i/>
        </w:rPr>
        <w:t xml:space="preserve">j</w:t>
      </w:r>
      <w:r>
        <w:t xml:space="preserve">-ésima ejecución de la prueba; y </w:t>
      </w:r>
      <w:r>
        <w:rPr>
          <w:i/>
        </w:rPr>
        <w:t xml:space="preserve">m</w:t>
      </w:r>
      <w:r>
        <w:t xml:space="preserve"> es el número total de ejecuciones registradas. Se establece como criterio de aceptación T̄ ≤ 2 000 ms para operaciones críticas, valor consistente con los umbrales de eficiencia recomendados por la norma ISO/IEC 25010 </w:t>
      </w:r>
      <w:sdt>
        <w:sdtPr>
          <w:tag w:val="MENDELEY_CITATIONS_v3{&quot;citationID&quot;: &quot;MENDELEY_CITATION_a6673684-885a-4fe5-8462-54269ed7ddc2&quot;, &quot;citationItems&quot;: [{&quot;id&quot;: &quot;ac2d9a3b-71c5-46b7-a5b3-0145bb8dd9e4&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031"/>
        </w:sdtPr>
        <w:sdtContent>
          <w:r>
            <w:t xml:space="preserve">[1]</w:t>
          </w:r>
        </w:sdtContent>
      </w:sdt>
      <w:r>
        <w:t xml:space="preserve">.</w:t>
      </w:r>
    </w:p>
    <w:p>
      <w:pPr>
        <w:pStyle w:val="Heading3"/>
        <w:jc w:val="left"/>
      </w:pPr>
      <w:r>
        <w:t xml:space="preserve">3.5.3 Síntesis de los indicadores adoptados</w:t>
      </w:r>
    </w:p>
    <w:p>
      <w:pPr>
        <w:spacing w:after="200" w:line="360" w:lineRule="auto"/>
        <w:jc w:val="both"/>
      </w:pPr>
      <w:r>
        <w:t xml:space="preserve">La Tabla 1 sintetiza los indicadores adoptados, el aspecto del sistema que cada uno evalúa, el instrumento empleado, la ecuación asociada y el criterio de aceptación definido para considerar satisfactorio el resultado.</w:t>
      </w:r>
    </w:p>
    <w:p>
      <w:pPr>
        <w:spacing w:before="120" w:after="80" w:line="360" w:lineRule="auto"/>
        <w:jc w:val="center"/>
      </w:pPr>
      <w:r>
        <w:rPr>
          <w:b/>
        </w:rPr>
        <w:t xml:space="preserve">Tabla 1. Indicadores de evaluación del sistema FitKids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20" w:type="dxa"/>
          <w:bottom w:w="80" w:type="dxa"/>
          <w:right w:w="120" w:type="dxa"/>
        </w:tblCellMar>
        <w:tblLook w:val="04A0"/>
      </w:tblPr>
      <w:tblGrid>
        <w:gridCol w:w="1700"/>
        <w:gridCol w:w="1900"/>
        <w:gridCol w:w="2000"/>
        <w:gridCol w:w="1900"/>
        <w:gridCol w:w="1860"/>
      </w:tblGrid>
      <w:tr>
        <w:tc>
          <w:tcPr>
            <w:tcW w:w="1700" w:type="dxa"/>
            <w:shd w:val="clear" w:color="auto" w:fill="D5E8F0"/>
          </w:tcPr>
          <w:p>
            <w:pPr>
              <w:spacing w:after="80" w:line="280" w:lineRule="auto"/>
              <w:jc w:val="left"/>
            </w:pPr>
            <w:r>
              <w:rPr>
                <w:b/>
              </w:rPr>
              <w:t xml:space="preserve">Indicador</w:t>
            </w:r>
          </w:p>
        </w:tc>
        <w:tc>
          <w:tcPr>
            <w:tcW w:w="1900" w:type="dxa"/>
            <w:shd w:val="clear" w:color="auto" w:fill="D5E8F0"/>
          </w:tcPr>
          <w:p>
            <w:pPr>
              <w:spacing w:after="80" w:line="280" w:lineRule="auto"/>
              <w:jc w:val="left"/>
            </w:pPr>
            <w:r>
              <w:rPr>
                <w:b/>
              </w:rPr>
              <w:t xml:space="preserve">Aspecto evaluado</w:t>
            </w:r>
          </w:p>
        </w:tc>
        <w:tc>
          <w:tcPr>
            <w:tcW w:w="2000" w:type="dxa"/>
            <w:shd w:val="clear" w:color="auto" w:fill="D5E8F0"/>
          </w:tcPr>
          <w:p>
            <w:pPr>
              <w:spacing w:after="80" w:line="280" w:lineRule="auto"/>
              <w:jc w:val="left"/>
            </w:pPr>
            <w:r>
              <w:rPr>
                <w:b/>
              </w:rPr>
              <w:t xml:space="preserve">Instrumento</w:t>
            </w:r>
          </w:p>
        </w:tc>
        <w:tc>
          <w:tcPr>
            <w:tcW w:w="1900" w:type="dxa"/>
            <w:shd w:val="clear" w:color="auto" w:fill="D5E8F0"/>
          </w:tcPr>
          <w:p>
            <w:pPr>
              <w:spacing w:after="80" w:line="280" w:lineRule="auto"/>
              <w:jc w:val="left"/>
            </w:pPr>
            <w:r>
              <w:rPr>
                <w:b/>
              </w:rPr>
              <w:t xml:space="preserve">Ecuación</w:t>
            </w:r>
          </w:p>
        </w:tc>
        <w:tc>
          <w:tcPr>
            <w:tcW w:w="1860" w:type="dxa"/>
            <w:shd w:val="clear" w:color="auto" w:fill="D5E8F0"/>
          </w:tcPr>
          <w:p>
            <w:pPr>
              <w:spacing w:after="80" w:line="280" w:lineRule="auto"/>
              <w:jc w:val="left"/>
            </w:pPr>
            <w:r>
              <w:rPr>
                <w:b/>
              </w:rPr>
              <w:t xml:space="preserve">Criterio de aceptación</w:t>
            </w:r>
          </w:p>
        </w:tc>
      </w:tr>
      <w:tr>
        <w:tc>
          <w:tcPr>
            <w:tcW w:w="1700" w:type="dxa"/>
          </w:tcPr>
          <w:p>
            <w:pPr>
              <w:spacing w:after="80" w:line="280" w:lineRule="auto"/>
              <w:jc w:val="left"/>
            </w:pPr>
            <w:r>
              <w:rPr>
                <w:b/>
              </w:rPr>
              <w:t xml:space="preserve">Cumplimiento de requisitos</w:t>
            </w:r>
          </w:p>
        </w:tc>
        <w:tc>
          <w:tcPr>
            <w:tcW w:w="1900" w:type="dxa"/>
          </w:tcPr>
          <w:p>
            <w:pPr>
              <w:spacing w:after="80" w:line="280" w:lineRule="auto"/>
              <w:jc w:val="left"/>
            </w:pPr>
            <w:r>
              <w:t xml:space="preserve">Alcance funcional y no funcional</w:t>
            </w:r>
          </w:p>
        </w:tc>
        <w:tc>
          <w:tcPr>
            <w:tcW w:w="2000" w:type="dxa"/>
          </w:tcPr>
          <w:p>
            <w:pPr>
              <w:spacing w:after="80" w:line="280" w:lineRule="auto"/>
              <w:jc w:val="left"/>
            </w:pPr>
            <w:r>
              <w:t xml:space="preserve">Matriz de trazabilidad de requisitos</w:t>
            </w:r>
          </w:p>
        </w:tc>
        <w:tc>
          <w:tcPr>
            <w:tcW w:w="1900" w:type="dxa"/>
          </w:tcPr>
          <w:p>
            <w:pPr>
              <w:spacing w:after="80" w:line="280" w:lineRule="auto"/>
              <w:jc w:val="left"/>
            </w:pPr>
            <w:r>
              <w:t xml:space="preserve">Ec. (1)</w:t>
            </w:r>
          </w:p>
        </w:tc>
        <w:tc>
          <w:tcPr>
            <w:tcW w:w="1860" w:type="dxa"/>
          </w:tcPr>
          <w:p>
            <w:pPr>
              <w:spacing w:after="80" w:line="280" w:lineRule="auto"/>
              <w:jc w:val="left"/>
            </w:pPr>
            <w:r>
              <w:t xml:space="preserve">CR ≥ 95 %</w:t>
            </w:r>
          </w:p>
        </w:tc>
      </w:tr>
      <w:tr>
        <w:tc>
          <w:tcPr>
            <w:tcW w:w="1700" w:type="dxa"/>
          </w:tcPr>
          <w:p>
            <w:pPr>
              <w:spacing w:after="80" w:line="280" w:lineRule="auto"/>
              <w:jc w:val="left"/>
            </w:pPr>
            <w:r>
              <w:rPr>
                <w:b/>
              </w:rPr>
              <w:t xml:space="preserve">Variación del cronograma</w:t>
            </w:r>
          </w:p>
        </w:tc>
        <w:tc>
          <w:tcPr>
            <w:tcW w:w="1900" w:type="dxa"/>
          </w:tcPr>
          <w:p>
            <w:pPr>
              <w:spacing w:after="80" w:line="280" w:lineRule="auto"/>
              <w:jc w:val="left"/>
            </w:pPr>
            <w:r>
              <w:t xml:space="preserve">Puntualidad en hitos y entregables</w:t>
            </w:r>
          </w:p>
        </w:tc>
        <w:tc>
          <w:tcPr>
            <w:tcW w:w="2000" w:type="dxa"/>
          </w:tcPr>
          <w:p>
            <w:pPr>
              <w:spacing w:after="80" w:line="280" w:lineRule="auto"/>
              <w:jc w:val="left"/>
            </w:pPr>
            <w:r>
              <w:t xml:space="preserve">Diagrama de Gantt comparativo</w:t>
            </w:r>
          </w:p>
        </w:tc>
        <w:tc>
          <w:tcPr>
            <w:tcW w:w="1900" w:type="dxa"/>
          </w:tcPr>
          <w:p>
            <w:pPr>
              <w:spacing w:after="80" w:line="280" w:lineRule="auto"/>
              <w:jc w:val="left"/>
            </w:pPr>
            <w:r>
              <w:t xml:space="preserve">Ec. (2) y (3)</w:t>
            </w:r>
          </w:p>
        </w:tc>
        <w:tc>
          <w:tcPr>
            <w:tcW w:w="1860" w:type="dxa"/>
          </w:tcPr>
          <w:p>
            <w:pPr>
              <w:spacing w:after="80" w:line="280" w:lineRule="auto"/>
              <w:jc w:val="left"/>
            </w:pPr>
            <w:r>
              <w:t xml:space="preserve">|VC| ≤ 10 % ; SPI ≥ 0,9</w:t>
            </w:r>
          </w:p>
        </w:tc>
      </w:tr>
      <w:tr>
        <w:tc>
          <w:tcPr>
            <w:tcW w:w="1700" w:type="dxa"/>
          </w:tcPr>
          <w:p>
            <w:pPr>
              <w:spacing w:after="80" w:line="280" w:lineRule="auto"/>
              <w:jc w:val="left"/>
            </w:pPr>
            <w:r>
              <w:rPr>
                <w:b/>
              </w:rPr>
              <w:t xml:space="preserve">Variación del presupuesto</w:t>
            </w:r>
          </w:p>
        </w:tc>
        <w:tc>
          <w:tcPr>
            <w:tcW w:w="1900" w:type="dxa"/>
          </w:tcPr>
          <w:p>
            <w:pPr>
              <w:spacing w:after="80" w:line="280" w:lineRule="auto"/>
              <w:jc w:val="left"/>
            </w:pPr>
            <w:r>
              <w:t xml:space="preserve">Control financiero del proyecto</w:t>
            </w:r>
          </w:p>
        </w:tc>
        <w:tc>
          <w:tcPr>
            <w:tcW w:w="2000" w:type="dxa"/>
          </w:tcPr>
          <w:p>
            <w:pPr>
              <w:spacing w:after="80" w:line="280" w:lineRule="auto"/>
              <w:jc w:val="left"/>
            </w:pPr>
            <w:r>
              <w:t xml:space="preserve">Comparación costo planificado vs. ejecutado</w:t>
            </w:r>
          </w:p>
        </w:tc>
        <w:tc>
          <w:tcPr>
            <w:tcW w:w="1900" w:type="dxa"/>
          </w:tcPr>
          <w:p>
            <w:pPr>
              <w:spacing w:after="80" w:line="280" w:lineRule="auto"/>
              <w:jc w:val="left"/>
            </w:pPr>
            <w:r>
              <w:t xml:space="preserve">Ec. (4) y (5)</w:t>
            </w:r>
          </w:p>
        </w:tc>
        <w:tc>
          <w:tcPr>
            <w:tcW w:w="1860" w:type="dxa"/>
          </w:tcPr>
          <w:p>
            <w:pPr>
              <w:spacing w:after="80" w:line="280" w:lineRule="auto"/>
              <w:jc w:val="left"/>
            </w:pPr>
            <w:r>
              <w:t xml:space="preserve">|VP| ≤ 10 % ; CPI ≥ 0,9</w:t>
            </w:r>
          </w:p>
        </w:tc>
      </w:tr>
      <w:tr>
        <w:tc>
          <w:tcPr>
            <w:tcW w:w="1700" w:type="dxa"/>
          </w:tcPr>
          <w:p>
            <w:pPr>
              <w:spacing w:after="80" w:line="280" w:lineRule="auto"/>
              <w:jc w:val="left"/>
            </w:pPr>
            <w:r>
              <w:rPr>
                <w:b/>
              </w:rPr>
              <w:t xml:space="preserve">Cobertura de pruebas</w:t>
            </w:r>
          </w:p>
        </w:tc>
        <w:tc>
          <w:tcPr>
            <w:tcW w:w="1900" w:type="dxa"/>
          </w:tcPr>
          <w:p>
            <w:pPr>
              <w:spacing w:after="80" w:line="280" w:lineRule="auto"/>
              <w:jc w:val="left"/>
            </w:pPr>
            <w:r>
              <w:t xml:space="preserve">Calidad técnica del producto</w:t>
            </w:r>
          </w:p>
        </w:tc>
        <w:tc>
          <w:tcPr>
            <w:tcW w:w="2000" w:type="dxa"/>
          </w:tcPr>
          <w:p>
            <w:pPr>
              <w:spacing w:after="80" w:line="280" w:lineRule="auto"/>
              <w:jc w:val="left"/>
            </w:pPr>
            <w:r>
              <w:t xml:space="preserve">Pruebas unitarias y de integración (ISO/IEC 25010)</w:t>
            </w:r>
          </w:p>
        </w:tc>
        <w:tc>
          <w:tcPr>
            <w:tcW w:w="1900" w:type="dxa"/>
          </w:tcPr>
          <w:p>
            <w:pPr>
              <w:spacing w:after="80" w:line="280" w:lineRule="auto"/>
              <w:jc w:val="left"/>
            </w:pPr>
            <w:r>
              <w:t xml:space="preserve">Ec. (6)</w:t>
            </w:r>
          </w:p>
        </w:tc>
        <w:tc>
          <w:tcPr>
            <w:tcW w:w="1860" w:type="dxa"/>
          </w:tcPr>
          <w:p>
            <w:pPr>
              <w:spacing w:after="80" w:line="280" w:lineRule="auto"/>
              <w:jc w:val="left"/>
            </w:pPr>
            <w:r>
              <w:t xml:space="preserve">CP ≥ 90 %</w:t>
            </w:r>
          </w:p>
        </w:tc>
      </w:tr>
      <w:tr>
        <w:tc>
          <w:tcPr>
            <w:tcW w:w="1700" w:type="dxa"/>
          </w:tcPr>
          <w:p>
            <w:pPr>
              <w:spacing w:after="80" w:line="280" w:lineRule="auto"/>
              <w:jc w:val="left"/>
            </w:pPr>
            <w:r>
              <w:rPr>
                <w:b/>
              </w:rPr>
              <w:t xml:space="preserve">Aceptación tecnológica</w:t>
            </w:r>
          </w:p>
        </w:tc>
        <w:tc>
          <w:tcPr>
            <w:tcW w:w="1900" w:type="dxa"/>
          </w:tcPr>
          <w:p>
            <w:pPr>
              <w:spacing w:after="80" w:line="280" w:lineRule="auto"/>
              <w:jc w:val="left"/>
            </w:pPr>
            <w:r>
              <w:t xml:space="preserve">Utilidad y facilidad de uso percibidas</w:t>
            </w:r>
          </w:p>
        </w:tc>
        <w:tc>
          <w:tcPr>
            <w:tcW w:w="2000" w:type="dxa"/>
          </w:tcPr>
          <w:p>
            <w:pPr>
              <w:spacing w:after="80" w:line="280" w:lineRule="auto"/>
              <w:jc w:val="left"/>
            </w:pPr>
            <w:r>
              <w:t xml:space="preserve">Cuestionario TAM (Likert 1–5) a padres</w:t>
            </w:r>
          </w:p>
        </w:tc>
        <w:tc>
          <w:tcPr>
            <w:tcW w:w="1900" w:type="dxa"/>
          </w:tcPr>
          <w:p>
            <w:pPr>
              <w:spacing w:after="80" w:line="280" w:lineRule="auto"/>
              <w:jc w:val="left"/>
            </w:pPr>
            <w:r>
              <w:t xml:space="preserve">Ec. (7)</w:t>
            </w:r>
          </w:p>
        </w:tc>
        <w:tc>
          <w:tcPr>
            <w:tcW w:w="1860" w:type="dxa"/>
          </w:tcPr>
          <w:p>
            <w:pPr>
              <w:spacing w:after="80" w:line="280" w:lineRule="auto"/>
              <w:jc w:val="left"/>
            </w:pPr>
            <w:r>
              <w:t xml:space="preserve">x̄_TAM ≥ 4,0</w:t>
            </w:r>
          </w:p>
        </w:tc>
      </w:tr>
      <w:tr>
        <w:tc>
          <w:tcPr>
            <w:tcW w:w="1700" w:type="dxa"/>
          </w:tcPr>
          <w:p>
            <w:pPr>
              <w:spacing w:after="80" w:line="280" w:lineRule="auto"/>
              <w:jc w:val="left"/>
            </w:pPr>
            <w:r>
              <w:rPr>
                <w:b/>
              </w:rPr>
              <w:t xml:space="preserve">Usabilidad infantil</w:t>
            </w:r>
          </w:p>
        </w:tc>
        <w:tc>
          <w:tcPr>
            <w:tcW w:w="1900" w:type="dxa"/>
          </w:tcPr>
          <w:p>
            <w:pPr>
              <w:spacing w:after="80" w:line="280" w:lineRule="auto"/>
              <w:jc w:val="left"/>
            </w:pPr>
            <w:r>
              <w:t xml:space="preserve">Facilidad de uso del modo niño</w:t>
            </w:r>
          </w:p>
        </w:tc>
        <w:tc>
          <w:tcPr>
            <w:tcW w:w="2000" w:type="dxa"/>
          </w:tcPr>
          <w:p>
            <w:pPr>
              <w:spacing w:after="80" w:line="280" w:lineRule="auto"/>
              <w:jc w:val="left"/>
            </w:pPr>
            <w:r>
              <w:t xml:space="preserve">SUS adaptado, niño con representante</w:t>
            </w:r>
          </w:p>
        </w:tc>
        <w:tc>
          <w:tcPr>
            <w:tcW w:w="1900" w:type="dxa"/>
          </w:tcPr>
          <w:p>
            <w:pPr>
              <w:spacing w:after="80" w:line="280" w:lineRule="auto"/>
              <w:jc w:val="left"/>
            </w:pPr>
            <w:r>
              <w:t xml:space="preserve">Ec. (8)</w:t>
            </w:r>
          </w:p>
        </w:tc>
        <w:tc>
          <w:tcPr>
            <w:tcW w:w="1860" w:type="dxa"/>
          </w:tcPr>
          <w:p>
            <w:pPr>
              <w:spacing w:after="80" w:line="280" w:lineRule="auto"/>
              <w:jc w:val="left"/>
            </w:pPr>
            <w:r>
              <w:t xml:space="preserve">SUS ≥ 68</w:t>
            </w:r>
          </w:p>
        </w:tc>
      </w:tr>
      <w:tr>
        <w:tc>
          <w:tcPr>
            <w:tcW w:w="1700" w:type="dxa"/>
          </w:tcPr>
          <w:p>
            <w:pPr>
              <w:spacing w:after="80" w:line="280" w:lineRule="auto"/>
              <w:jc w:val="left"/>
            </w:pPr>
            <w:r>
              <w:rPr>
                <w:b/>
              </w:rPr>
              <w:t xml:space="preserve">Validación clínica</w:t>
            </w:r>
          </w:p>
        </w:tc>
        <w:tc>
          <w:tcPr>
            <w:tcW w:w="1900" w:type="dxa"/>
          </w:tcPr>
          <w:p>
            <w:pPr>
              <w:spacing w:after="80" w:line="280" w:lineRule="auto"/>
              <w:jc w:val="left"/>
            </w:pPr>
            <w:r>
              <w:t xml:space="preserve">Pertinencia y seguridad de las rutinas</w:t>
            </w:r>
          </w:p>
        </w:tc>
        <w:tc>
          <w:tcPr>
            <w:tcW w:w="2000" w:type="dxa"/>
          </w:tcPr>
          <w:p>
            <w:pPr>
              <w:spacing w:after="80" w:line="280" w:lineRule="auto"/>
              <w:jc w:val="left"/>
            </w:pPr>
            <w:r>
              <w:t xml:space="preserve">Análisis cualitativo profesional (pediatra)</w:t>
            </w:r>
          </w:p>
        </w:tc>
        <w:tc>
          <w:tcPr>
            <w:tcW w:w="1900" w:type="dxa"/>
          </w:tcPr>
          <w:p>
            <w:pPr>
              <w:spacing w:after="80" w:line="280" w:lineRule="auto"/>
              <w:jc w:val="left"/>
            </w:pPr>
            <w:r>
              <w:t xml:space="preserve">—</w:t>
            </w:r>
          </w:p>
        </w:tc>
        <w:tc>
          <w:tcPr>
            <w:tcW w:w="1860" w:type="dxa"/>
          </w:tcPr>
          <w:p>
            <w:pPr>
              <w:spacing w:after="80" w:line="280" w:lineRule="auto"/>
              <w:jc w:val="left"/>
            </w:pPr>
            <w:r>
              <w:t xml:space="preserve">Sin objeciones críticas</w:t>
            </w:r>
          </w:p>
        </w:tc>
      </w:tr>
      <w:tr>
        <w:tc>
          <w:tcPr>
            <w:tcW w:w="1700" w:type="dxa"/>
          </w:tcPr>
          <w:p>
            <w:pPr>
              <w:spacing w:after="80" w:line="280" w:lineRule="auto"/>
              <w:jc w:val="left"/>
            </w:pPr>
            <w:r>
              <w:rPr>
                <w:b/>
              </w:rPr>
              <w:t xml:space="preserve">Rendimiento del sistema</w:t>
            </w:r>
          </w:p>
        </w:tc>
        <w:tc>
          <w:tcPr>
            <w:tcW w:w="1900" w:type="dxa"/>
          </w:tcPr>
          <w:p>
            <w:pPr>
              <w:spacing w:after="80" w:line="280" w:lineRule="auto"/>
              <w:jc w:val="left"/>
            </w:pPr>
            <w:r>
              <w:t xml:space="preserve">Tiempo de respuesta y estabilidad</w:t>
            </w:r>
          </w:p>
        </w:tc>
        <w:tc>
          <w:tcPr>
            <w:tcW w:w="2000" w:type="dxa"/>
          </w:tcPr>
          <w:p>
            <w:pPr>
              <w:spacing w:after="80" w:line="280" w:lineRule="auto"/>
              <w:jc w:val="left"/>
            </w:pPr>
            <w:r>
              <w:t xml:space="preserve">Pruebas de carga sobre la API</w:t>
            </w:r>
          </w:p>
        </w:tc>
        <w:tc>
          <w:tcPr>
            <w:tcW w:w="1900" w:type="dxa"/>
          </w:tcPr>
          <w:p>
            <w:pPr>
              <w:spacing w:after="80" w:line="280" w:lineRule="auto"/>
              <w:jc w:val="left"/>
            </w:pPr>
            <w:r>
              <w:t xml:space="preserve">Ec. (9)</w:t>
            </w:r>
          </w:p>
        </w:tc>
        <w:tc>
          <w:tcPr>
            <w:tcW w:w="1860" w:type="dxa"/>
          </w:tcPr>
          <w:p>
            <w:pPr>
              <w:spacing w:after="80" w:line="280" w:lineRule="auto"/>
              <w:jc w:val="left"/>
            </w:pPr>
            <w:r>
              <w:t xml:space="preserve">T̄ ≤ 2 000 ms</w:t>
            </w:r>
          </w:p>
        </w:tc>
      </w:tr>
    </w:tbl>
    <w:p>
      <w:pPr>
        <w:spacing w:before="60" w:after="240" w:line="360" w:lineRule="auto"/>
        <w:jc w:val="center"/>
      </w:pPr>
      <w:r>
        <w:rPr>
          <w:i/>
          <w:sz w:val="20"/>
        </w:rPr>
        <w:t xml:space="preserve">Elaborado por: Autor</w:t>
      </w:r>
    </w:p>
    <w:p>
      <w:pPr>
        <w:spacing w:after="200" w:line="360" w:lineRule="auto"/>
        <w:jc w:val="both"/>
      </w:pPr>
      <w:r>
        <w:t xml:space="preserve">La aplicación articulada de los ocho indicadores cuantitativos y del indicador cualitativo de validación clínica, formalizados a través de las nueve ecuaciones presentadas, permite obtener resultados objetivos y verificables, coherentes con el alcance del proyecto tecnológico y con los lineamientos institucionales para la evaluación de propuestas de la Unidad de Integración Curricular </w:t>
      </w:r>
      <w:sdt>
        <w:sdtPr>
          <w:tag w:val="MENDELEY_CITATIONS_v3{&quot;citationID&quot;: &quot;MENDELEY_CITATION_e5be42c3-2152-4a60-b8f7-b082db9142fe&quot;, &quot;citationItems&quot;: [{&quot;id&quot;: &quot;d9fc27b3-5ceb-4796-a4af-fb6f180b582d&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1dee40f2-12f5-4f05-80bf-285caee3aa2a&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 [13]&quot;, &quot;manualOverrideText&quot;: &quot;&quot;}}"/>
          <w:id w:val="1032"/>
        </w:sdtPr>
        <w:sdtContent>
          <w:r>
            <w:t xml:space="preserve">[1], [13]</w:t>
          </w:r>
        </w:sdtContent>
      </w:sdt>
      <w:r>
        <w:t xml:space="preserve">. Los resultados específicos obtenidos para cada indicador, el análisis crítico correspondiente, las observaciones recibidas y las modificaciones derivadas del proceso de evaluación se presentan en el capítulo de Resultados (sección de Comprobación), tal como prevé el reglamento institucional </w:t>
      </w:r>
      <w:sdt>
        <w:sdtPr>
          <w:tag w:val="MENDELEY_CITATIONS_v3{&quot;citationID&quot;: &quot;MENDELEY_CITATION_4e94f21e-791c-442b-adc2-8fc6b822fcb0&quot;, &quot;citationItems&quot;: [{&quot;id&quot;: &quot;d52b7000-4dc7-447e-8007-523675d15f14&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033"/>
        </w:sdtPr>
        <w:sdtContent>
          <w:r>
            <w:t xml:space="preserve">[13]</w:t>
          </w:r>
        </w:sdtContent>
      </w:sdt>
      <w:r>
        <w:t xml:space="preserve">.</w:t>
      </w:r>
    </w:p>
    <w:p>
      <w:pPr>
        <w:pStyle w:val="Heading3"/>
        <w:jc w:val="left"/>
      </w:pPr>
      <w:r>
        <w:t xml:space="preserve">Referencias</w:t>
      </w:r>
    </w:p>
    <w:p>
      <w:pPr>
        <w:spacing w:after="200" w:line="360" w:lineRule="auto"/>
        <w:jc w:val="both"/>
      </w:pPr>
      <w:r>
        <w:rPr>
          <w:i/>
        </w:rPr>
        <w:t xml:space="preserve">Bibliografía gestionada por Mendeley Cite. Al abrir el documento con el plugin instalado, podrás regenerar la lista, cambiar el estilo de cita y editar las referencias.</w:t>
      </w:r>
    </w:p>
    <w:sdt>
      <w:sdtPr>
        <w:tag w:val="MENDELEY_BIBLIOGRAPHY_v3{&quot;bibliographyType&quot;: &quot;MENDELEY_BIBLIOGRAPHY_v1&quot;, &quot;items&quot;: [{&quot;id&quot;: &quot;e9e4b3cb-b9e6-4ee5-88d7-82b8a1628a3e&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9212e24e-d520-4d8a-84c9-5b7b753dc4a9&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f21c08e1-c638-4365-bb90-bbc44fec13a8&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c28cb05d-4393-447d-bfe5-1a1162cb9b9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321cf433-c932-4116-b54c-41991f3e8b4f&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eeab6660-4928-4658-adcd-5080429289a8&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a8d0272c-842b-428e-b1c5-249c79653375&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7b734877-c25a-4125-9b8d-57a25364dc8c&quot;, &quot;itemData&quot;: {&quot;id&quot;: &quot;0b481eac-6c5e-44b0-bb36-1ff608821f55&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eea13c7d-7e80-4c7d-b89d-a6dcecc93ff8&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id&quot;: &quot;22bf609e-bcd1-4065-9690-8233a17a807b&quot;, &quot;itemData&quot;: {&quot;id&quot;: &quot;914b23c2-08d8-4991-be6f-39c43766660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id&quot;: &quot;e66823bf-b3b9-4211-845a-39b868a2a542&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43f5e7d-97a8-4b8d-a00d-8ed0ef04adef&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30faecff-2c68-4052-b393-569f51896401&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id&quot;: &quot;f76bced8-59a4-43a1-9215-84410b179cbb&quot;, &quot;itemData&quot;: {&quot;id&quot;: &quot;39acf9e5-937e-493e-8b3f-d064865d407c&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22d5997-f499-4290-8b28-97817c46ad9b&quot;, &quot;itemData&quot;: {&quot;id&quot;: &quot;4cf5b0db-3fdb-4ec8-8e10-37c97d1d7e78&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e139e6f0-fe56-4de0-a947-e9178d9f0c0e&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w:id w:val="1034"/>
      </w:sdtPr>
      <w:sdtContent>
        <w:p>
          <w:pPr>
            <w:spacing w:after="240" w:line="360" w:lineRule="auto"/>
            <w:ind w:left="720" w:hanging="720"/>
            <w:jc w:val="both"/>
          </w:pPr>
          <w:r>
            <w:t xml:space="preserve">[1]	International Organization for Standardization, “ISO/IEC 25010:2011 — Systems and software engineering — Systems and software Quality Requirements and Evaluation (SQuaRE) — System and software quality models,” ISO, Geneva, 2011. [Online]. Available: https://www.iso.org/standard/35733.html.</w:t>
          </w:r>
        </w:p>
        <w:p>
          <w:pPr>
            <w:spacing w:after="240" w:line="360" w:lineRule="auto"/>
            <w:ind w:left="720" w:hanging="720"/>
            <w:jc w:val="both"/>
          </w:pPr>
          <w:r>
            <w:t xml:space="preserve">[2]	F.D. Davis, “Perceived usefulness, perceived ease of use, and user acceptance of information technology,” MIS Quarterly, vol. 13, no. 3, pp. 319-340, 1989, doi: 10.2307/249008.</w:t>
          </w:r>
        </w:p>
        <w:p>
          <w:pPr>
            <w:spacing w:after="240" w:line="360" w:lineRule="auto"/>
            <w:ind w:left="720" w:hanging="720"/>
            <w:jc w:val="both"/>
          </w:pPr>
          <w:r>
            <w:t xml:space="preserve">[3]	J. Brooke, “SUS — A quick and dirty usability scale,” in Usability Evaluation in Industry, London: Taylor &amp; Francis, pp. 189-194, 1996.</w:t>
          </w:r>
        </w:p>
        <w:p>
          <w:pPr>
            <w:spacing w:after="240" w:line="360" w:lineRule="auto"/>
            <w:ind w:left="720" w:hanging="720"/>
            <w:jc w:val="both"/>
          </w:pPr>
          <w:r>
            <w:t xml:space="preserve">[4]	A. Bangor, P.T. Kortum and J.T. Miller, “An empirical evaluation of the System Usability Scale,” International Journal of Human–Computer Interaction, vol. 24, no. 6, pp. 574-594, 2008, doi: 10.1080/10447310802205776.</w:t>
          </w:r>
        </w:p>
        <w:p>
          <w:pPr>
            <w:spacing w:after="240" w:line="360" w:lineRule="auto"/>
            <w:ind w:left="720" w:hanging="720"/>
            <w:jc w:val="both"/>
          </w:pPr>
          <w:r>
            <w:t xml:space="preserve">[5]	O.C.Z. Gotel and A.C.W. Finkelstein, “An analysis of the requirements traceability problem,” in Proceedings of the IEEE International Conference on Requirements Engineering, Colorado Springs, CO: IEEE, pp. 94-101, 1994, doi: 10.1109/ICRE.1994.292398.</w:t>
          </w:r>
        </w:p>
        <w:p>
          <w:pPr>
            <w:spacing w:after="240" w:line="360" w:lineRule="auto"/>
            <w:ind w:left="720" w:hanging="720"/>
            <w:jc w:val="both"/>
          </w:pPr>
          <w:r>
            <w:t xml:space="preserve">[6]	I. Sommerville, “Software Engineering,” 10th ed. Harlow, UK: Pearson, 2016, ISBN: 978-0133943030.</w:t>
          </w:r>
        </w:p>
        <w:p>
          <w:pPr>
            <w:spacing w:after="240" w:line="360" w:lineRule="auto"/>
            <w:ind w:left="720" w:hanging="720"/>
            <w:jc w:val="both"/>
          </w:pPr>
          <w:r>
            <w:t xml:space="preserve">[7]	Project Management Institute, “A Guide to the Project Management Body of Knowledge (PMBOK Guide),” 7th ed. Newtown Square, PA: PMI, 2021, ISBN: 978-1628256642.</w:t>
          </w:r>
        </w:p>
        <w:p>
          <w:pPr>
            <w:spacing w:after="240" w:line="360" w:lineRule="auto"/>
            <w:ind w:left="720" w:hanging="720"/>
            <w:jc w:val="both"/>
          </w:pPr>
          <w:r>
            <w:t xml:space="preserve">[8]	J. Nielsen, “Enhancing the explanatory power of usability heuristics,” in Proceedings of the SIGCHI Conference on Human Factors in Computing Systems (CHI '94), New York, NY: ACM, pp. 152-158, 1994, doi: 10.1145/191666.191729.</w:t>
          </w:r>
        </w:p>
        <w:p>
          <w:pPr>
            <w:spacing w:after="240" w:line="360" w:lineRule="auto"/>
            <w:ind w:left="720" w:hanging="720"/>
            <w:jc w:val="both"/>
          </w:pPr>
          <w:r>
            <w:t xml:space="preserve">[9]	V. Venkatesh, M.G. Morris, G.B. Davis and F.D. Davis, “User acceptance of information technology: Toward a unified view,” MIS Quarterly, vol. 27, no. 3, pp. 425-478, 2003, doi: 10.2307/30036540.</w:t>
          </w:r>
        </w:p>
        <w:p>
          <w:pPr>
            <w:spacing w:after="240" w:line="360" w:lineRule="auto"/>
            <w:ind w:left="720" w:hanging="720"/>
            <w:jc w:val="both"/>
          </w:pPr>
          <w:r>
            <w:t xml:space="preserve">[10]	J.R. Lewis, “The System Usability Scale: Past, present, and future,” International Journal of Human–Computer Interaction, vol. 34, no. 7, pp. 577-590, 2018, doi: 10.1080/10447318.2018.1455307.</w:t>
          </w:r>
        </w:p>
        <w:p>
          <w:pPr>
            <w:spacing w:after="240" w:line="360" w:lineRule="auto"/>
            <w:ind w:left="720" w:hanging="720"/>
            <w:jc w:val="both"/>
          </w:pPr>
          <w:r>
            <w:t xml:space="preserve">[11]	G. Guerrero-Ulloa, M.J. Hornos and C. Rodríguez-Domínguez, “TDDM4IoTS: A test-driven development methodology for Internet of Things (IoT)-based systems,” in Applied Technologies. ICAT 2019. Communications in Computer and Information Science, Cham: Springer, vol. 1193, pp. 41-55, 2020, doi: 10.1007/978-3-030-42517-3_4.</w:t>
          </w:r>
        </w:p>
        <w:p>
          <w:pPr>
            <w:spacing w:after="240" w:line="360" w:lineRule="auto"/>
            <w:ind w:left="720" w:hanging="720"/>
            <w:jc w:val="both"/>
          </w:pPr>
          <w:r>
            <w:t xml:space="preserve">[12]	G. Guerrero-Ulloa, A. Fernández-Loor, F. Moreira, P. Novais, C. Rodríguez-Domínguez and M.J. Hornos, “Validation of a development methodology and tool for IoT-based systems through a case study for visually impaired people,” Internet of Things, vol. 23, art. 100875, 2023, doi: 10.1016/j.iot.2023.100875.</w:t>
          </w:r>
        </w:p>
        <w:p>
          <w:pPr>
            <w:spacing w:after="240" w:line="360" w:lineRule="auto"/>
            <w:ind w:left="720" w:hanging="720"/>
            <w:jc w:val="both"/>
          </w:pPr>
          <w:r>
            <w:t xml:space="preserve">[13]	Universidad Técnica Estatal de Quevedo, “Estructura y formato institucional de presentación del proyecto tecnológico en la Unidad de Integración Curricular,” UTEQ, Quevedo, Ecuador, 2024. [Online]. Available: https://www.uteq.edu.ec/.</w:t>
          </w:r>
        </w:p>
        <w:p>
          <w:pPr>
            <w:spacing w:after="240" w:line="360" w:lineRule="auto"/>
            <w:ind w:left="720" w:hanging="720"/>
            <w:jc w:val="both"/>
          </w:pPr>
          <w:r>
            <w:t xml:space="preserve">[14]	K.R. Hesketh, R. Lakshman and E.M.F. van Sluijs, “Barriers and facilitators to young children's physical activity and sedentary behaviour: a systematic review and synthesis of qualitative literature,” Obesity Reviews, vol. 18, no. 9, pp. 987-1017, 2017, doi: 10.1111/obr.12562.</w:t>
          </w:r>
        </w:p>
        <w:p>
          <w:pPr>
            <w:spacing w:after="240" w:line="360" w:lineRule="auto"/>
            <w:ind w:left="720" w:hanging="720"/>
            <w:jc w:val="both"/>
          </w:pPr>
          <w:r>
            <w:t xml:space="preserve">[15]	C. Putnam et al., “Adapting user experience research methods for evaluating user experience with children,” in Proceedings of the Interaction Design and Children Conference (IDC '20), New York, NY: ACM, pp. 401-413, 2020, doi: 10.1145/3392063.3394434.</w:t>
          </w:r>
        </w:p>
        <w:p>
          <w:pPr>
            <w:spacing w:after="240" w:line="360" w:lineRule="auto"/>
            <w:ind w:left="720" w:hanging="720"/>
            <w:jc w:val="both"/>
          </w:pPr>
          <w:r>
            <w:t xml:space="preserve">[16]	Project Management Institute, “The Standard for Earned Value Management,” PMI, Newtown Square, PA, 2019, ISBN: 978-1628256383.</w:t>
          </w:r>
        </w:p>
      </w:sdtContent>
    </w:sdt>
    <w:sectPr>
      <w:pgSz w:w="11906" w:h="16838"/>
      <w:pgMar w:top="1418" w:right="1418" w:bottom="1418" w:left="1701" w:header="708" w:footer="708" w:gutter="0"/>
      <w:cols w:space="708"/>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320" w:after="200"/>
      <w:outlineLvl w:val="0"/>
    </w:pPr>
    <w:rPr>
      <w:b/>
      <w:sz w:val="24"/>
      <w:caps/>
    </w:rPr>
  </w:style>
  <w:style w:type="paragraph" w:styleId="Heading2">
    <w:name w:val="heading 2"/>
    <w:basedOn w:val="Normal"/>
    <w:next w:val="Normal"/>
    <w:qFormat/>
    <w:pPr>
      <w:spacing w:before="280" w:after="180"/>
      <w:outlineLvl w:val="1"/>
    </w:pPr>
    <w:rPr>
      <w:b/>
      <w:sz w:val="24"/>
    </w:rPr>
  </w:style>
  <w:style w:type="paragraph" w:styleId="Heading3">
    <w:name w:val="heading 3"/>
    <w:basedOn w:val="Normal"/>
    <w:next w:val="Normal"/>
    <w:qFormat/>
    <w:pPr>
      <w:spacing w:before="240" w:after="160"/>
      <w:outlineLvl w:val="2"/>
    </w:pPr>
    <w:rPr>
      <w:b/>
      <w:i/>
      <w:sz w:val="24"/>
    </w:rPr>
  </w:style>
  <w:style w:type="paragraph" w:styleId="Heading4">
    <w:name w:val="heading 4"/>
    <w:basedOn w:val="Normal"/>
    <w:next w:val="Normal"/>
    <w:qFormat/>
    <w:pPr>
      <w:spacing w:before="200" w:after="140"/>
      <w:outlineLvl w:val="3"/>
    </w:pPr>
    <w:rPr>
      <w:b/>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3.5 Indicadores de Evaluación con fórmulas - FitKids - UTEQ</dc:title>
  <dc:creator>Claude</dc:creator>
  <cp:lastModifiedBy>Claude</cp:lastModifiedBy>
  <dcterms:created xsi:type="dcterms:W3CDTF">2026-05-07T02:59:18Z</dcterms:created>
  <dcterms:modified xsi:type="dcterms:W3CDTF">2026-05-07T02:59:18Z</dcterms:modified>
</cp:coreProperties>
</file>