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Bdr>
          <w:top w:val="single" w:sz="6" w:space="4" w:color="2E75B6"/>
          <w:left w:val="single" w:sz="6" w:space="4" w:color="2E75B6"/>
          <w:bottom w:val="single" w:sz="6" w:space="4" w:color="2E75B6"/>
          <w:right w:val="single" w:sz="6" w:space="4" w:color="2E75B6"/>
        </w:pBdr>
        <w:shd w:val="clear" w:color="auto" w:fill="EAF3FB"/>
        <w:spacing w:before="200" w:after="240" w:line="360" w:lineRule="auto"/>
        <w:jc w:val="left"/>
      </w:pPr>
      <w:r>
        <w:rPr>
          <w:b/>
          <w:color w:val="1F4E79"/>
        </w:rPr>
        <w:t xml:space="preserve">NOTA PARA EL AUTOR — </w:t>
      </w:r>
      <w:r>
        <w:rPr>
          <w:color w:val="1F4E79"/>
        </w:rPr>
        <w:t xml:space="preserve">Este documento contiene el Capítulo IV completamente reorganizado y reescrito para alinearse uno a uno con la metodología del Capítulo III. Los recuadros punteados con texto en gris indican los lugares donde debes pegar las tablas y figuras existentes en tu documento maestro (con sus números originales). Solo se han renumerado las secciones para mantener la coherencia narrativa. Las citas son campos Mendeley Cite reales que podrás regenerar abriendo el documento con el plugin instalado.</w:t>
      </w:r>
    </w:p>
    <w:p>
      <w:r>
        <w:br w:type="page"/>
      </w:r>
    </w:p>
    <w:p>
      <w:pPr>
        <w:pStyle w:val="Heading1"/>
        <w:jc w:val="center"/>
      </w:pPr>
      <w:r>
        <w:t xml:space="preserve">CAPÍTULO IV</w:t>
      </w:r>
    </w:p>
    <w:p>
      <w:pPr>
        <w:pStyle w:val="Heading1"/>
        <w:jc w:val="center"/>
      </w:pPr>
      <w:r>
        <w:t xml:space="preserve">RESULTADOS Y DISCUSIÓN</w:t>
      </w:r>
    </w:p>
    <w:p>
      <w:pPr>
        <w:spacing w:after="200" w:line="360" w:lineRule="auto"/>
        <w:jc w:val="both"/>
      </w:pPr>
      <w:r>
        <w:t xml:space="preserve">El presente capítulo presenta los resultados obtenidos durante el desarrollo y la evaluación del sistema FitKids. La organización de las secciones replica fielmente la estructura definida en el Capítulo III: la sección 4.1 expone los resultados de cada una de las once fases de la metodología TDDM4IoTS adoptada </w:t>
      </w:r>
      <w:sdt>
        <w:sdtPr>
          <w:tag w:val="MENDELEY_CITATIONS_v3{&quot;citationID&quot;: &quot;MENDELEY_CITATION_ef5bb21a-5f1e-47ba-b2dc-59151d10e45a&quot;, &quot;citationItems&quot;: [{&quot;id&quot;: &quot;e32ba380-570a-4c38-bc3e-f5fa6fb515fa&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0276ae2-5bb0-4941-bd1b-6a3f2234f7e1&quot;, &quot;itemData&quot;: {&quot;id&quot;: &quot;8342d019-bd76-48c9-abc6-8bae8384790d&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0], [11]&quot;, &quot;manualOverrideText&quot;: &quot;&quot;}}"/>
          <w:id w:val="1001"/>
        </w:sdtPr>
        <w:sdtContent>
          <w:r>
            <w:t xml:space="preserve">[10], [11]</w:t>
          </w:r>
        </w:sdtContent>
      </w:sdt>
      <w:r>
        <w:t xml:space="preserve">, la sección 4.2 desarrolla la comprobación del sistema mediante los nueve indicadores formalizados en el apartado 3.10, la sección 4.3 ofrece la discusión crítica de los hallazgos y la sección 4.4 incluye el manual de funcionamiento del producto desarrollado. Esta correspondencia entre metodología y resultados responde al lineamiento institucional para los proyectos tecnológicos de la Unidad de Integración Curricular </w:t>
      </w:r>
      <w:sdt>
        <w:sdtPr>
          <w:tag w:val="MENDELEY_CITATIONS_v3{&quot;citationID&quot;: &quot;MENDELEY_CITATION_77707fa3-6e85-4244-8807-85397fcb56ef&quot;, &quot;citationItems&quot;: [{&quot;id&quot;: &quot;9c2b5cb1-117e-475c-ad94-f003be99a431&quot;, &quot;itemData&quot;: {&quot;id&quot;: &quot;23f92527-6d53-4623-8568-899eeae06215&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2]&quot;, &quot;manualOverrideText&quot;: &quot;&quot;}}"/>
          <w:id w:val="1002"/>
        </w:sdtPr>
        <w:sdtContent>
          <w:r>
            <w:t xml:space="preserve">[12]</w:t>
          </w:r>
        </w:sdtContent>
      </w:sdt>
      <w:r>
        <w:t xml:space="preserve">.</w:t>
      </w:r>
    </w:p>
    <w:p>
      <w:pPr>
        <w:pStyle w:val="Heading2"/>
        <w:jc w:val="left"/>
      </w:pPr>
      <w:r>
        <w:t xml:space="preserve">4.1 Desarrollo del sistema</w:t>
      </w:r>
    </w:p>
    <w:p>
      <w:pPr>
        <w:spacing w:after="200" w:line="360" w:lineRule="auto"/>
        <w:jc w:val="both"/>
      </w:pPr>
      <w:r>
        <w:t xml:space="preserve">El desarrollo del sistema FitKids siguió las once fases definidas por la metodología TDDM4IoTS, una propuesta orientada a sistemas IoT que combina principios del desarrollo dirigido por pruebas con prácticas ágiles </w:t>
      </w:r>
      <w:sdt>
        <w:sdtPr>
          <w:tag w:val="MENDELEY_CITATIONS_v3{&quot;citationID&quot;: &quot;MENDELEY_CITATION_6424312a-612b-405d-aeb2-f19c85c7f1c2&quot;, &quot;citationItems&quot;: [{&quot;id&quot;: &quot;5d575bd0-5ee7-4137-b228-c72f8e352dbd&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ab5ea8a9-6700-4aca-b5a8-7b965ad9137c&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1003"/>
        </w:sdtPr>
        <w:sdtContent>
          <w:r>
            <w:t xml:space="preserve">[9], [10]</w:t>
          </w:r>
        </w:sdtContent>
      </w:sdt>
      <w:r>
        <w:t xml:space="preserve">. A continuación se presentan los resultados obtenidos en cada fase, manteniendo la nomenclatura y el orden establecidos en el apartado 3.8 del Capítulo III.</w:t>
      </w:r>
    </w:p>
    <w:p>
      <w:pPr>
        <w:pStyle w:val="Heading3"/>
        <w:jc w:val="left"/>
      </w:pPr>
      <w:r>
        <w:t xml:space="preserve">4.1.1 Análisis preliminar</w:t>
      </w:r>
    </w:p>
    <w:p>
      <w:pPr>
        <w:spacing w:after="200" w:line="360" w:lineRule="auto"/>
        <w:jc w:val="both"/>
      </w:pPr>
      <w:r>
        <w:t xml:space="preserve">Como resultado de esta primera fase se identificaron tres criterios funcionales sobre los que debía construirse el sistema: la personalización de las rutinas, la supervisión parental y el seguimiento del progreso. Estos ejes emergieron de la triangulación entre la revisión de literatura y la información obtenida en campo, y se sostienen sobre evidencia consolidada que vincula la actividad física infantil con beneficios físicos, psicológicos y conductuales medibles </w:t>
      </w:r>
      <w:sdt>
        <w:sdtPr>
          <w:tag w:val="MENDELEY_CITATIONS_v3{&quot;citationID&quot;: &quot;MENDELEY_CITATION_6bccb3ec-08a4-4db5-8123-ad06f3120691&quot;, &quot;citationItems&quot;: [{&quot;id&quot;: &quot;339fc5cc-e699-4bbd-aabd-6307a7071b26&quot;, &quot;itemData&quot;: {&quot;id&quot;: &quot;06973623-15df-44f2-b58f-0634447f8ad3&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18]&quot;, &quot;manualOverrideText&quot;: &quot;&quot;}}"/>
          <w:id w:val="1004"/>
        </w:sdtPr>
        <w:sdtContent>
          <w:r>
            <w:t xml:space="preserve">[18]</w:t>
          </w:r>
        </w:sdtContent>
      </w:sdt>
      <w:r>
        <w:t xml:space="preserve">, así como con el efecto positivo de las intervenciones digitales bien diseñadas sobre los hábitos de actividad </w:t>
      </w:r>
      <w:sdt>
        <w:sdtPr>
          <w:tag w:val="MENDELEY_CITATIONS_v3{&quot;citationID&quot;: &quot;MENDELEY_CITATION_12a253ac-5c5d-4c5b-bb0e-6c2802d1b960&quot;, &quot;citationItems&quot;: [{&quot;id&quot;: &quot;959373df-d651-4c80-94a0-5e36fc0685a2&quot;, &quot;itemData&quot;: {&quot;id&quot;: &quot;d9a770bf-3f8b-4fc5-8b9c-cdfa4bf96439&quot;, &quot;type&quot;: &quot;article-journal&quot;, &quot;title&quot;: &quot;mHealth Technologies to Influence Physical Activity and Sedentary Behaviors: Behavior Change Techniques, Systematic Review and Meta-Analysi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36a3af59-6d4e-4147-b4d4-270227fd0f13&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properties&quot;: {&quot;noteIndex&quot;: 0}, &quot;isEdited&quot;: false, &quot;manualOverride&quot;: {&quot;isManuallyOverridden&quot;: false, &quot;citeprocText&quot;: &quot;[19], [20]&quot;, &quot;manualOverrideText&quot;: &quot;&quot;}}"/>
          <w:id w:val="1005"/>
        </w:sdtPr>
        <w:sdtContent>
          <w:r>
            <w:t xml:space="preserve">[19], [20]</w:t>
          </w:r>
        </w:sdtContent>
      </w:sdt>
      <w:r>
        <w:t xml:space="preserve">.</w:t>
      </w:r>
    </w:p>
    <w:p>
      <w:pPr>
        <w:spacing w:after="200" w:line="360" w:lineRule="auto"/>
        <w:jc w:val="both"/>
      </w:pPr>
      <w:r>
        <w:t xml:space="preserve">El análisis comparativo de los estudios revisados (véase Tabla 8) permitió confirmar que la adaptación de las rutinas según edad y condición física influye directamente en la efectividad de las aplicaciones de actividad física infantil. También se evidenció que la incorporación de mecanismos de monitoreo y control del progreso es un elemento recurrente en las soluciones exitosas, así como la observación de que la participación activa de los padres es un factor determinante en la adherencia al ejercicio.</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8. Artículos científicos utilizados como base para la elaboración de los guiones de entrevista]</w:t>
      </w:r>
    </w:p>
    <w:p>
      <w:pPr>
        <w:spacing w:after="200" w:line="360" w:lineRule="auto"/>
        <w:jc w:val="both"/>
      </w:pPr>
      <w:r>
        <w:t xml:space="preserve">La aplicación de entrevistas a especialistas en actividad física infantil y a padres de familia permitió validar estos criterios en un contexto real. Los especialistas enfatizaron la necesidad de controlar la intensidad, la duración y la validación previa de los ejercicios, mientras que los padres destacaron la importancia de una interfaz clara que facilitara la supervisión y el seguimiento de las actividades. Como resultado, se definieron los criterios funcionales clave del sistema: validación profesional de los ejercicios, personalización de las rutinas, registro de la actividad física y supervisión adulta como componente central de la solución.</w:t>
      </w:r>
    </w:p>
    <w:p>
      <w:pPr>
        <w:pStyle w:val="Heading4"/>
        <w:jc w:val="left"/>
      </w:pPr>
      <w:r>
        <w:t xml:space="preserve">4.1.1.1 Análisis de requisitos</w:t>
      </w:r>
    </w:p>
    <w:p>
      <w:pPr>
        <w:spacing w:after="200" w:line="360" w:lineRule="auto"/>
        <w:jc w:val="both"/>
      </w:pPr>
      <w:r>
        <w:t xml:space="preserve">Como resultado del análisis se definió un conjunto de requisitos funcionales y no funcionales que establecen el comportamiento y las condiciones de calidad del sistema FitKids. Estos requisitos se presentan en la Tabla 9 y constituyen la base para la implementación de la solución.</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9. Diccionario de requisitos funcionales y no funcionales]</w:t>
      </w:r>
    </w:p>
    <w:p>
      <w:pPr>
        <w:spacing w:after="200" w:line="360" w:lineRule="auto"/>
        <w:jc w:val="both"/>
      </w:pPr>
      <w:r>
        <w:t xml:space="preserve">La redacción de los requisitos siguió los lineamientos de la norma ISO/IEC/IEEE 29148:2018 </w:t>
      </w:r>
      <w:sdt>
        <w:sdtPr>
          <w:tag w:val="MENDELEY_CITATIONS_v3{&quot;citationID&quot;: &quot;MENDELEY_CITATION_916f14df-a94a-4eb4-8917-1c6cdddf9c3e&quot;, &quot;citationItems&quot;: [{&quot;id&quot;: &quot;41a67b26-a542-49d6-8adc-0fd72c76abad&quot;, &quot;itemData&quot;: {&quot;id&quot;: &quot;91aded12-d1cc-4c5b-97a1-1fa62c9496f9&quot;, &quot;type&quot;: &quot;report&quot;, &quot;title&quot;: &quot;ISO/IEC/IEEE 29148:2018 — Systems and software engineering — Life cycle processes — Requirements engineering&quot;, &quot;author&quot;: [{&quot;literal&quot;: &quot;International Organization for Standardization&quot;}], &quot;publisher&quot;: &quot;ISO&quot;, &quot;publisher-place&quot;: &quot;Geneva&quot;, &quot;issued&quot;: {&quot;date-parts&quot;: [[2018]]}, &quot;URL&quot;: &quot;https://www.iso.org/standard/72089.html&quot;}}], &quot;properties&quot;: {&quot;noteIndex&quot;: 0}, &quot;isEdited&quot;: false, &quot;manualOverride&quot;: {&quot;isManuallyOverridden&quot;: false, &quot;citeprocText&quot;: &quot;[14]&quot;, &quot;manualOverrideText&quot;: &quot;&quot;}}"/>
          <w:id w:val="1006"/>
        </w:sdtPr>
        <w:sdtContent>
          <w:r>
            <w:t xml:space="preserve">[14]</w:t>
          </w:r>
        </w:sdtContent>
      </w:sdt>
      <w:r>
        <w:t xml:space="preserve">, lo que permitió que cada enunciado fuera claro, consistente y verificable, condiciones necesarias tanto para la implementación como para la evaluación posterior. El conjunto identificado evidencia que el sistema se orienta principalmente a la validación de los ejercicios, la personalización de rutinas, el seguimiento de la actividad física y la supervisión adulta. En cuanto a los requisitos no funcionales, se priorizaron aspectos relacionados con la seguridad, la usabilidad, la privacidad y la gestión tecnológica, lo cual garantiza un funcionamiento adecuado en los distintos entornos del sistema.</w:t>
      </w:r>
    </w:p>
    <w:p>
      <w:pPr>
        <w:spacing w:after="200" w:line="360" w:lineRule="auto"/>
        <w:jc w:val="both"/>
      </w:pPr>
      <w:r>
        <w:t xml:space="preserve">Adicionalmente, se estableció una matriz de trazabilidad que permitió relacionar cada requisito con los componentes donde fue implementado, una práctica reconocida en ingeniería de requisitos para asegurar la cobertura del alcance </w:t>
      </w:r>
      <w:sdt>
        <w:sdtPr>
          <w:tag w:val="MENDELEY_CITATIONS_v3{&quot;citationID&quot;: &quot;MENDELEY_CITATION_e98d4108-7ecf-4a5a-90e2-e44af7102325&quot;, &quot;citationItems&quot;: [{&quot;id&quot;: &quot;96e2ed8c-6b06-48ff-b4a2-f4571eaf75ea&quot;, &quot;itemData&quot;: {&quot;id&quot;: &quot;d3f51110-c465-4101-9394-051ba4ecde97&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f3658dac-85fb-44d6-ad1b-7dcab9f639c1&quot;, &quot;itemData&quot;: {&quot;id&quot;: &quot;02168209-f8d2-4e26-86ab-1c47c675d58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5], [13]&quot;, &quot;manualOverrideText&quot;: &quot;&quot;}}"/>
          <w:id w:val="1007"/>
        </w:sdtPr>
        <w:sdtContent>
          <w:r>
            <w:t xml:space="preserve">[5], [13]</w:t>
          </w:r>
        </w:sdtContent>
      </w:sdt>
      <w:r>
        <w:t xml:space="preserve">. Este proceso evidenció una organización progresiva: se inicia desde la lógica central del sistema, sigue con el entorno de gestión y, posteriormente, llega a los entornos móviles asociados a la supervisión y a la interacción directa. Las Tablas 10 a la 25 presentan el detalle de cada requisito funcional y no funcional bajo esta estructura.</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Tablas 10 a la 25 (RF1 a RF9 y RNF1 a RNF7), conforme están en el documento original]</w:t>
      </w:r>
    </w:p>
    <w:p>
      <w:pPr>
        <w:pStyle w:val="Heading4"/>
        <w:jc w:val="left"/>
      </w:pPr>
      <w:r>
        <w:t xml:space="preserve">4.1.1.2 Análisis de la tecnología</w:t>
      </w:r>
    </w:p>
    <w:p>
      <w:pPr>
        <w:spacing w:after="200" w:line="360" w:lineRule="auto"/>
        <w:jc w:val="both"/>
      </w:pPr>
      <w:r>
        <w:t xml:space="preserve">El análisis tecnológico permitió seleccionar las herramientas y plataformas más apropiadas para el desarrollo del sistema. Para el frontend móvil se optó por React Native, debido a su capacidad de generar aplicaciones nativas multiplataforma desde una única base de código, lo cual resulta apropiado para un proyecto académico con recursos limitados. Para el backend se eligió FastAPI, un framework basado en Python que ofrece alto rendimiento, validación automática de datos mediante Pydantic y documentación interactiva integrada. Como base de datos se seleccionó PostgreSQL alojada en Neon, una solución serverless que reduce significativamente los costos operativos. La generación de contenido por inteligencia artificial se delegó al modelo Gemini, dada su capacidad para producir texto e imágenes con coherencia semántica </w:t>
      </w:r>
      <w:sdt>
        <w:sdtPr>
          <w:tag w:val="MENDELEY_CITATIONS_v3{&quot;citationID&quot;: &quot;MENDELEY_CITATION_3e21f229-4625-46c6-95f8-fbb98443ed02&quot;, &quot;citationItems&quot;: [{&quot;id&quot;: &quot;7c090abf-3ece-44e7-8bc7-817cf87fa984&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22]&quot;, &quot;manualOverrideText&quot;: &quot;&quot;}}"/>
          <w:id w:val="1008"/>
        </w:sdtPr>
        <w:sdtContent>
          <w:r>
            <w:t xml:space="preserve">[22]</w:t>
          </w:r>
        </w:sdtContent>
      </w:sdt>
      <w:r>
        <w:t xml:space="preserve">.</w:t>
      </w:r>
    </w:p>
    <w:p>
      <w:pPr>
        <w:spacing w:after="200" w:line="360" w:lineRule="auto"/>
        <w:jc w:val="both"/>
      </w:pPr>
      <w:r>
        <w:t xml:space="preserve">El despliegue del backend se realizó en Render, plataforma de cloud hosting que ofrece una capa gratuita suficiente para el alcance del prototipo. Esta combinación de herramientas permitió mantener una arquitectura moderna sin comprometer el presupuesto disponible.</w:t>
      </w:r>
    </w:p>
    <w:p>
      <w:pPr>
        <w:pStyle w:val="Heading4"/>
        <w:jc w:val="left"/>
      </w:pPr>
      <w:r>
        <w:t xml:space="preserve">4.1.1.3 Análisis del entorno</w:t>
      </w:r>
    </w:p>
    <w:p>
      <w:pPr>
        <w:spacing w:after="200" w:line="360" w:lineRule="auto"/>
        <w:jc w:val="both"/>
      </w:pPr>
      <w:r>
        <w:t xml:space="preserve">El análisis del entorno consideró las condiciones de uso reales: la mayoría de los hogares ecuatorianos cuenta con al menos un dispositivo móvil con sistema operativo Android, y la conectividad a Internet en zonas urbanas resulta suficiente para el funcionamiento de aplicaciones que combinan operación local con consultas puntuales al servidor. Estas condiciones determinaron decisiones técnicas como la priorización del procesamiento local cuando fue posible (por ejemplo, la verificación de movimiento mediante cámara) y la sincronización con el servidor solo para operaciones esenciales como la generación de rutinas y el almacenamiento del progreso.</w:t>
      </w:r>
    </w:p>
    <w:p>
      <w:pPr>
        <w:pStyle w:val="Heading4"/>
        <w:jc w:val="left"/>
      </w:pPr>
      <w:r>
        <w:t xml:space="preserve">4.1.1.4 Análisis de viabilidad</w:t>
      </w:r>
    </w:p>
    <w:p>
      <w:pPr>
        <w:spacing w:after="200" w:line="360" w:lineRule="auto"/>
        <w:jc w:val="both"/>
      </w:pPr>
      <w:r>
        <w:t xml:space="preserve">La viabilidad del proyecto se evaluó en cuatro dimensiones: técnica, económica, operativa y temporal. Desde el plano técnico, las herramientas seleccionadas son maduras, ampliamente documentadas y compatibles entre sí. Desde el plano económico, el aprovechamiento de capas gratuitas y de equipos personales redujo el costo operativo a un nivel asumible para un proyecto académico. Desde el plano operativo, la disposición de pediatras y padres colaboradores hizo posible las fases de validación. Finalmente, en el plano temporal, el cronograma definido en la sección 3.9 demostró ser realista al confrontarlo con el avance real del proyecto.</w:t>
      </w:r>
    </w:p>
    <w:p>
      <w:pPr>
        <w:pStyle w:val="Heading3"/>
        <w:jc w:val="left"/>
      </w:pPr>
      <w:r>
        <w:t xml:space="preserve">4.1.2 Diseño de la capa tecnológica</w:t>
      </w:r>
    </w:p>
    <w:p>
      <w:pPr>
        <w:spacing w:after="200" w:line="360" w:lineRule="auto"/>
        <w:jc w:val="both"/>
      </w:pPr>
      <w:r>
        <w:t xml:space="preserve">Como resultado de esta fase se definió una arquitectura distribuida de tres capas. La capa de presentación está conformada por la aplicación móvil con dos modos diferenciados (padres y niño) y por la aplicación web destinada a los especialistas. La capa de lógica se implementó como un servicio backend que centraliza la generación de rutinas, la gestión de usuarios, el cálculo de progreso y la integración con el servicio de inteligencia artificial. La capa de datos se sustenta en una base de datos relacional PostgreSQL alojada en la nube. Esta organización por capas favorece la mantenibilidad y la separación de responsabilidades, atributos de calidad reconocidos por la norma ISO/IEC 25010 </w:t>
      </w:r>
      <w:sdt>
        <w:sdtPr>
          <w:tag w:val="MENDELEY_CITATIONS_v3{&quot;citationID&quot;: &quot;MENDELEY_CITATION_9548877c-bdf1-41ef-a2f7-e287f2e6106d&quot;, &quot;citationItems&quot;: [{&quot;id&quot;: &quot;097a7165-7e93-4675-acdd-dda97ed0a395&quot;, &quot;itemData&quot;: {&quot;id&quot;: &quot;0ab9f14a-8b31-46f7-a2d7-aad27c321e18&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6]&quot;, &quot;manualOverrideText&quot;: &quot;&quot;}}"/>
          <w:id w:val="1009"/>
        </w:sdtPr>
        <w:sdtContent>
          <w:r>
            <w:t xml:space="preserve">[6]</w:t>
          </w:r>
        </w:sdtContent>
      </w:sdt>
      <w:r>
        <w:t xml:space="preserve">.</w:t>
      </w:r>
    </w:p>
    <w:p>
      <w:pPr>
        <w:pStyle w:val="Heading3"/>
        <w:jc w:val="left"/>
      </w:pPr>
      <w:r>
        <w:t xml:space="preserve">4.1.3 Análisis detallado de requisitos</w:t>
      </w:r>
    </w:p>
    <w:p>
      <w:pPr>
        <w:spacing w:after="200" w:line="360" w:lineRule="auto"/>
        <w:jc w:val="both"/>
      </w:pPr>
      <w:r>
        <w:t xml:space="preserve">Esta fase profundizó en la especificación de cada requisito mediante la elaboración de los casos de uso correspondientes. Cada caso de uso documenta los actores involucrados, el propósito, las precondiciones, las postcondiciones, el flujo normal de eventos y los flujos excepcionales, lo cual constituye un nivel de detalle apropiado para la fase de implementación posterior.</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Tablas 26 a la 41 (Casos de uso CU1 a CU16), conforme están en el documento original]</w:t>
      </w:r>
    </w:p>
    <w:p>
      <w:pPr>
        <w:pStyle w:val="Heading3"/>
        <w:jc w:val="left"/>
      </w:pPr>
      <w:r>
        <w:t xml:space="preserve">4.1.4 Generación y adaptación de modelos</w:t>
      </w:r>
    </w:p>
    <w:p>
      <w:pPr>
        <w:spacing w:after="200" w:line="360" w:lineRule="auto"/>
        <w:jc w:val="both"/>
      </w:pPr>
      <w:r>
        <w:t xml:space="preserve">En esta fase se generaron los modelos gráficos del sistema, los cuales sirvieron como base estructurada para el desarrollo. Estos diagramas permitieron representar visualmente la organización, los componentes y la interacción entre los distintos elementos del sistema.</w:t>
      </w:r>
    </w:p>
    <w:p>
      <w:pPr>
        <w:spacing w:after="200" w:line="360" w:lineRule="auto"/>
        <w:jc w:val="both"/>
      </w:pPr>
      <w:r>
        <w:t xml:space="preserve">El diagrama de casos de uso (Figura 7) evidenció la organización funcional del sistema en tres niveles de interacción, con una secuencia progresiva que inicia en la gestión del contenido, continúa con el entorno de supervisión y finaliza en la interacción directa.</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Figura 7. Diagrama de casos de uso general]</w:t>
      </w:r>
    </w:p>
    <w:p>
      <w:pPr>
        <w:spacing w:after="200" w:line="360" w:lineRule="auto"/>
        <w:jc w:val="both"/>
      </w:pPr>
      <w:r>
        <w:t xml:space="preserve">El diagrama de clases (Figura 8) permitió estructurar las entidades principales del sistema y sus relaciones. La lógica central se articula con los elementos de interacción mediante estructuras que soportan la gestión de usuarios, las rutinas, el progreso y la generación de contenido.</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Figura 8. Diagrama de clases]</w:t>
      </w:r>
    </w:p>
    <w:p>
      <w:pPr>
        <w:spacing w:after="200" w:line="360" w:lineRule="auto"/>
        <w:jc w:val="both"/>
      </w:pPr>
      <w:r>
        <w:t xml:space="preserve">El diagrama de despliegue (Figura 9) confirma que el sistema opera bajo una arquitectura distribuida, en la que los clientes interactúan mediante servicios web con la lógica central y los recursos en la nube.</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Figura 9. Diagrama de despliegue]</w:t>
      </w:r>
    </w:p>
    <w:p>
      <w:pPr>
        <w:spacing w:after="200" w:line="360" w:lineRule="auto"/>
        <w:jc w:val="both"/>
      </w:pPr>
      <w:r>
        <w:t xml:space="preserve">Por último, el diagrama de componentes (Figura 10) mostró la organización modular del sistema y la relación entre la capa de presentación, la lógica del sistema y la capa de datos.</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Figura 10. Diagrama de componentes]</w:t>
      </w:r>
    </w:p>
    <w:p>
      <w:pPr>
        <w:pStyle w:val="Heading3"/>
        <w:jc w:val="left"/>
      </w:pPr>
      <w:r>
        <w:t xml:space="preserve">4.1.5 Generación de pruebas</w:t>
      </w:r>
    </w:p>
    <w:p>
      <w:pPr>
        <w:spacing w:after="200" w:line="360" w:lineRule="auto"/>
        <w:jc w:val="both"/>
      </w:pPr>
      <w:r>
        <w:t xml:space="preserve">Siguiendo la lógica de desarrollo dirigido por pruebas adoptada por TDDM4IoTS </w:t>
      </w:r>
      <w:sdt>
        <w:sdtPr>
          <w:tag w:val="MENDELEY_CITATIONS_v3{&quot;citationID&quot;: &quot;MENDELEY_CITATION_d6ba369d-d130-434c-a105-2a813ce5b4fb&quot;, &quot;citationItems&quot;: [{&quot;id&quot;: &quot;a975210e-c10f-4940-bf4c-9f12c85d4bda&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0bef9b11-7e00-4c9a-8806-9f8ca6b809fe&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1010"/>
        </w:sdtPr>
        <w:sdtContent>
          <w:r>
            <w:t xml:space="preserve">[9], [10]</w:t>
          </w:r>
        </w:sdtContent>
      </w:sdt>
      <w:r>
        <w:t xml:space="preserve">, se diseñaron y ejecutaron pruebas unitarias en cada uno de los módulos del sistema con el propósito de verificar el comportamiento de sus componentes principales. Los resultados obtenidos evidencian una ejecución correcta de las funcionalidades, sin fallos detectados durante las pruebas.</w:t>
      </w:r>
    </w:p>
    <w:p>
      <w:pPr>
        <w:spacing w:after="200" w:line="360" w:lineRule="auto"/>
        <w:jc w:val="both"/>
      </w:pPr>
      <w:r>
        <w:t xml:space="preserve">En el backend, mediante Pytest, se ejecutaron 19 casos de prueba relacionados con la gestión de usuarios, la seguridad, la progresión y la evaluación de los ejercicios. Todos los casos fueron superados satisfactoriamente, como se detalla en la Tabla 42.</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42. Resultados de pruebas unitarias del Backend]</w:t>
      </w:r>
    </w:p>
    <w:p>
      <w:pPr>
        <w:spacing w:after="200" w:line="360" w:lineRule="auto"/>
        <w:jc w:val="both"/>
      </w:pPr>
      <w:r>
        <w:t xml:space="preserve">En el aplicativo web se ejecutaron 7 pruebas utilizando Vitest y React Testing Library, enfocadas en la validación de formularios y la interacción con la API. Todas fueron aprobadas sin errores, como se muestra en la Tabla 43.</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43. Resultados de pruebas del aplicativo web]</w:t>
      </w:r>
    </w:p>
    <w:p>
      <w:pPr>
        <w:spacing w:after="200" w:line="360" w:lineRule="auto"/>
        <w:jc w:val="both"/>
      </w:pPr>
      <w:r>
        <w:t xml:space="preserve">En el aplicativo móvil para padres se realizaron 6 pruebas mediante Jest y React Native Testing Library, evaluando los procesos de autenticación, las validaciones y el almacenamiento local. Todos los casos fueron exitosos, como se observa en la Tabla 44.</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44. Resultados de pruebas del aplicativo móvil para padres]</w:t>
      </w:r>
    </w:p>
    <w:p>
      <w:pPr>
        <w:spacing w:after="200" w:line="360" w:lineRule="auto"/>
        <w:jc w:val="both"/>
      </w:pPr>
      <w:r>
        <w:t xml:space="preserve">En el aplicativo móvil para niños, las pruebas verificaron la navegación, la visualización de los ejercicios y el registro de la actividad, sin presentar fallos en su ejecución, como se presenta en la Tabla 45.</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45. Resultados de pruebas del aplicativo móvil para niño]</w:t>
      </w:r>
    </w:p>
    <w:p>
      <w:pPr>
        <w:spacing w:after="200" w:line="360" w:lineRule="auto"/>
        <w:jc w:val="both"/>
      </w:pPr>
      <w:r>
        <w:t xml:space="preserve">En conjunto, las Tablas 42 a la 45 confirman que los módulos evaluados cumplen con el comportamiento esperado, sin errores detectados durante la ejecución de las pruebas unitarias. Posteriormente se ejecutaron pruebas de integración para verificar la correcta interacción entre los módulos del sistema. Para su ejecución se utilizaron Pytest con TestClient de FastAPI en el backend, así como Jest, Vitest y Testing Library en las interfaces web y móvil. La comunicación entre componentes se realizó sin fallos y el flujo del sistema operó correctamente en todos los módulos. Los detalles se presentan en la Tabla 46.</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46. Pruebas de integración del sistema]</w:t>
      </w:r>
    </w:p>
    <w:p>
      <w:pPr>
        <w:pStyle w:val="Heading3"/>
        <w:jc w:val="left"/>
      </w:pPr>
      <w:r>
        <w:t xml:space="preserve">4.1.6 Generación de software</w:t>
      </w:r>
    </w:p>
    <w:p>
      <w:pPr>
        <w:spacing w:after="200" w:line="360" w:lineRule="auto"/>
        <w:jc w:val="both"/>
      </w:pPr>
      <w:r>
        <w:t xml:space="preserve">El desarrollo del sistema FitKids permitió implementar funcionalidades orientadas a la personalización, la seguridad y el monitoreo de la actividad física infantil, evidenciando la integración de los componentes en los distintos módulos del sistema.</w:t>
      </w:r>
    </w:p>
    <w:p>
      <w:pPr>
        <w:spacing w:after="200" w:line="360" w:lineRule="auto"/>
        <w:jc w:val="both"/>
      </w:pPr>
      <w:r>
        <w:t xml:space="preserve">En el backend se implementó un mecanismo de generación de rutinas mediante inteligencia artificial, en el cual se construye dinámicamente un prompt a partir de variables como edad, peso, condiciones médicas e intereses del niño. Este proceso permite generar rutinas personalizadas que incorporan restricciones de seguridad para evitar ejercicios no adecuados, lo que evidencia un control lógico en la generación automática de contenido (Figura 11).</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Figura 11. Generación de rutinas con IA]</w:t>
      </w:r>
    </w:p>
    <w:p>
      <w:pPr>
        <w:spacing w:after="200" w:line="360" w:lineRule="auto"/>
        <w:jc w:val="both"/>
      </w:pPr>
      <w:r>
        <w:t xml:space="preserve">En el aplicativo web se desarrolló la integración con el servicio de generación de rutinas, permitiendo al especialista ingresar los parámetros del usuario y enviar las solicitudes al backend. El sistema valida la información, gestiona el estado de carga y procesa la respuesta generada por la IA (Figura 12).</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Figura 12. Integración web con backend]</w:t>
      </w:r>
    </w:p>
    <w:p>
      <w:pPr>
        <w:spacing w:after="200" w:line="360" w:lineRule="auto"/>
        <w:jc w:val="both"/>
      </w:pPr>
      <w:r>
        <w:t xml:space="preserve">En el aplicativo móvil para padres se implementó un panel visual dinámico que muestra los indicadores de progreso y las alertas en tiempo real. Este componente permite visualizar el cumplimiento de la rutina diaria mediante barras de progreso y notificaciones (Figura 13).</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Figura 13. Panel de indicadores en aplicación móvil]</w:t>
      </w:r>
    </w:p>
    <w:p>
      <w:pPr>
        <w:spacing w:after="200" w:line="360" w:lineRule="auto"/>
        <w:jc w:val="both"/>
      </w:pPr>
      <w:r>
        <w:t xml:space="preserve">En el aplicativo móvil para niños se desarrolló un verificador de movimiento mediante cámara, que procesa imágenes localmente utilizando la comparación de fotogramas en formato base64. Este enfoque permite detectar el movimiento sin enviar datos a servidores externos, lo cual garantiza la privacidad del usuario y demuestra un procesamiento eficiente en el dispositivo (Figura 14).</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Figura 14. Verificación de movimiento mediante cámara]</w:t>
      </w:r>
    </w:p>
    <w:p>
      <w:pPr>
        <w:pStyle w:val="Heading3"/>
        <w:jc w:val="left"/>
      </w:pPr>
      <w:r>
        <w:t xml:space="preserve">4.1.7 Refinamiento del modelo</w:t>
      </w:r>
    </w:p>
    <w:p>
      <w:pPr>
        <w:spacing w:after="200" w:line="360" w:lineRule="auto"/>
        <w:jc w:val="both"/>
      </w:pPr>
      <w:r>
        <w:t xml:space="preserve">Como resultado de la fase de refinamiento se consolidó un modelo estructural y funcional alineado con la implementación desarrollada. La Figura 15 presenta el diagrama de casos de uso refinado, en el que se evidencia la reorganización de las funcionalidades siguiendo una lógica progresiva que parte de los procesos centrales y se extiende hacia los entornos de gestión, supervisión e interacción directa. Esta estructura mejoró la trazabilidad y la comprensión del flujo funcional del sistema.</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Figura 15. Diagrama de caso de uso refinado]</w:t>
      </w:r>
    </w:p>
    <w:p>
      <w:pPr>
        <w:spacing w:after="200" w:line="360" w:lineRule="auto"/>
        <w:jc w:val="both"/>
      </w:pPr>
      <w:r>
        <w:t xml:space="preserve">Para el modelo estructural, la Figura 16 muestra el diagrama de clases refinado, en el que se realizaron ajustes orientados a optimizar la organización interna del sistema. Se estandarizó la nomenclatura de las clases en inglés para mantener coherencia con la implementación, y se fortalecieron las relaciones entre entidades clave como usuario, niño, rutinas, ejercicios y progreso, consolidando una integración más clara entre los distintos niveles del sistema. Adicionalmente, se incorporaron nuevas clases para gestionar intereses, condiciones médicas, restricciones y recordatorios.</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Figura 16. Diagrama de clases refinado]</w:t>
      </w:r>
    </w:p>
    <w:p>
      <w:pPr>
        <w:pStyle w:val="Heading3"/>
        <w:jc w:val="left"/>
      </w:pPr>
      <w:r>
        <w:t xml:space="preserve">4.1.8 Refinamiento del software</w:t>
      </w:r>
    </w:p>
    <w:p>
      <w:pPr>
        <w:spacing w:after="200" w:line="360" w:lineRule="auto"/>
        <w:jc w:val="both"/>
      </w:pPr>
      <w:r>
        <w:t xml:space="preserve">El refinamiento del software comprendió la revisión del código y la introducción de mejoras orientadas a la legibilidad, el rendimiento y la robustez, sin modificar el comportamiento externo del sistema. Estas mejoras se aplicaron tanto en el backend como en las aplicaciones móvil y web, e incluyeron la consolidación de funciones repetidas, la simplificación de estructuras condicionales y el ajuste de mensajes de error para hacerlos más informativos al usuario.</w:t>
      </w:r>
    </w:p>
    <w:p>
      <w:pPr>
        <w:pStyle w:val="Heading3"/>
        <w:jc w:val="left"/>
      </w:pPr>
      <w:r>
        <w:t xml:space="preserve">4.1.9 Despliegue de software</w:t>
      </w:r>
    </w:p>
    <w:p>
      <w:pPr>
        <w:spacing w:after="200" w:line="360" w:lineRule="auto"/>
        <w:jc w:val="both"/>
      </w:pPr>
      <w:r>
        <w:t xml:space="preserve">El despliegue se realizó en tres frentes: el backend se publicó en la plataforma Render bajo la capa gratuita, lo cual mantiene el costo operativo en cero durante la fase de evaluación; la aplicación móvil se generó como APK firmado y se distribuyó a los participantes del estudio; y la aplicación web destinada a especialistas se publicó en una URL accesible para los pediatras colaboradores. La verificación posterior al despliegue confirmó que el sistema responde correctamente a las solicitudes y que los tiempos de respuesta se mantienen dentro de los rangos esperados.</w:t>
      </w:r>
    </w:p>
    <w:p>
      <w:pPr>
        <w:pStyle w:val="Heading3"/>
        <w:jc w:val="left"/>
      </w:pPr>
      <w:r>
        <w:t xml:space="preserve">4.1.10 Evaluación de entregables</w:t>
      </w:r>
    </w:p>
    <w:p>
      <w:pPr>
        <w:spacing w:after="200" w:line="360" w:lineRule="auto"/>
        <w:jc w:val="both"/>
      </w:pPr>
      <w:r>
        <w:t xml:space="preserve">Siguiendo el principio de la metodología TDDM4IoTS, cada entregable parcial fue puesto a prueba antes de avanzar a la siguiente fase. Esta práctica de evaluación incremental permitió detectar y corregir desviaciones de manera temprana, evitando que los defectos se propagaran a los componentes posteriores </w:t>
      </w:r>
      <w:sdt>
        <w:sdtPr>
          <w:tag w:val="MENDELEY_CITATIONS_v3{&quot;citationID&quot;: &quot;MENDELEY_CITATION_7b3873b5-56d1-4f65-b124-5aae2049d5ba&quot;, &quot;citationItems&quot;: [{&quot;id&quot;: &quot;50ae6116-f1b4-4dc5-ad7b-dfee88904a45&quot;, &quot;itemData&quot;: {&quot;id&quot;: &quot;8342d019-bd76-48c9-abc6-8bae8384790d&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quot;, &quot;manualOverrideText&quot;: &quot;&quot;}}"/>
          <w:id w:val="1011"/>
        </w:sdtPr>
        <w:sdtContent>
          <w:r>
            <w:t xml:space="preserve">[11]</w:t>
          </w:r>
        </w:sdtContent>
      </w:sdt>
      <w:r>
        <w:t xml:space="preserve">. Los casos de prueba aplicados a los requisitos no funcionales se documentan a continuación.</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Tablas 47 a la 65 (Casos de prueba CP-NF01 a CP-NF07 y los casos de prueba funcionales CP-F01 a CP-F12), conforme están en el documento original]</w:t>
      </w:r>
    </w:p>
    <w:p>
      <w:pPr>
        <w:pStyle w:val="Heading3"/>
        <w:jc w:val="left"/>
      </w:pPr>
      <w:r>
        <w:t xml:space="preserve">4.1.11 Mantenimiento</w:t>
      </w:r>
    </w:p>
    <w:p>
      <w:pPr>
        <w:spacing w:after="200" w:line="360" w:lineRule="auto"/>
        <w:jc w:val="both"/>
      </w:pPr>
      <w:r>
        <w:t xml:space="preserve">El mantenimiento del sistema FitKids se plantea como una proyección a futuro, considerando que su estado actual corresponde al de un prototipo funcional. La Tabla 66 detalla los cuatro tipos de mantenimiento previstos: correctivo, adaptativo, evolutivo y preventivo, en línea con la clasificación clásica reconocida por la ingeniería de software </w:t>
      </w:r>
      <w:sdt>
        <w:sdtPr>
          <w:tag w:val="MENDELEY_CITATIONS_v3{&quot;citationID&quot;: &quot;MENDELEY_CITATION_8e8b015d-5a3e-4a8f-9101-53de8cc419e7&quot;, &quot;citationItems&quot;: [{&quot;id&quot;: &quot;5e0850f9-1902-4b2a-b714-27e9ba82ae6c&quot;, &quot;itemData&quot;: {&quot;id&quot;: &quot;d3f51110-c465-4101-9394-051ba4ecde97&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quot;, &quot;manualOverrideText&quot;: &quot;&quot;}}"/>
          <w:id w:val="1012"/>
        </w:sdtPr>
        <w:sdtContent>
          <w:r>
            <w:t xml:space="preserve">[5]</w:t>
          </w:r>
        </w:sdtContent>
      </w:sdt>
      <w:r>
        <w:t xml:space="preserve">.</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66. Plan de mantenimiento de la aplicación FitKids]</w:t>
      </w:r>
    </w:p>
    <w:p>
      <w:r>
        <w:br w:type="page"/>
      </w:r>
    </w:p>
    <w:p>
      <w:pPr>
        <w:pStyle w:val="Heading2"/>
        <w:jc w:val="left"/>
      </w:pPr>
      <w:r>
        <w:t xml:space="preserve">4.2 Comprobación</w:t>
      </w:r>
    </w:p>
    <w:p>
      <w:pPr>
        <w:spacing w:after="200" w:line="360" w:lineRule="auto"/>
        <w:jc w:val="both"/>
      </w:pPr>
      <w:r>
        <w:t xml:space="preserve">Esta sección presenta los resultados obtenidos al aplicar los nueve indicadores de evaluación formalizados en el apartado 3.10 del Capítulo III. La organización sigue exactamente el mismo orden y nomenclatura, lo que permite una verificación trazable entre cada indicador definido y su resultado correspondiente. El criterio de aceptación de cada indicador, así como la ecuación con la que se calcula, se han mantenido sin modificación respecto a lo declarado en la metodología, en consonancia con los lineamientos institucionales para los proyectos tecnológicos </w:t>
      </w:r>
      <w:sdt>
        <w:sdtPr>
          <w:tag w:val="MENDELEY_CITATIONS_v3{&quot;citationID&quot;: &quot;MENDELEY_CITATION_a0273b4e-435a-4b28-9f7c-909bb939d5c5&quot;, &quot;citationItems&quot;: [{&quot;id&quot;: &quot;3d8047d0-2c4c-4193-9194-cd4ff43ab09c&quot;, &quot;itemData&quot;: {&quot;id&quot;: &quot;23f92527-6d53-4623-8568-899eeae06215&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2]&quot;, &quot;manualOverrideText&quot;: &quot;&quot;}}"/>
          <w:id w:val="1013"/>
        </w:sdtPr>
        <w:sdtContent>
          <w:r>
            <w:t xml:space="preserve">[12]</w:t>
          </w:r>
        </w:sdtContent>
      </w:sdt>
      <w:r>
        <w:t xml:space="preserve">.</w:t>
      </w:r>
    </w:p>
    <w:p>
      <w:pPr>
        <w:pStyle w:val="Heading3"/>
        <w:jc w:val="left"/>
      </w:pPr>
      <w:r>
        <w:t xml:space="preserve">4.2.1 Cumplimiento de requisitos</w:t>
      </w:r>
    </w:p>
    <w:p>
      <w:pPr>
        <w:spacing w:after="200" w:line="360" w:lineRule="auto"/>
        <w:jc w:val="both"/>
      </w:pPr>
      <w:r>
        <w:t xml:space="preserve">Para evaluar el cumplimiento del alcance funcional y no funcional se construyó la matriz de trazabilidad que vincula cada uno de los 16 requisitos definidos en el análisis (9 funcionales y 7 no funcionales) con los componentes implementados y los casos de prueba que los validan </w:t>
      </w:r>
      <w:sdt>
        <w:sdtPr>
          <w:tag w:val="MENDELEY_CITATIONS_v3{&quot;citationID&quot;: &quot;MENDELEY_CITATION_cbc13dbd-7c7d-450a-9f04-27c1585449c2&quot;, &quot;citationItems&quot;: [{&quot;id&quot;: &quot;6f78a2e2-b122-46a6-83bd-975ad6f3fd70&quot;, &quot;itemData&quot;: {&quot;id&quot;: &quot;02168209-f8d2-4e26-86ab-1c47c675d58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13]&quot;, &quot;manualOverrideText&quot;: &quot;&quot;}}"/>
          <w:id w:val="1014"/>
        </w:sdtPr>
        <w:sdtContent>
          <w:r>
            <w:t xml:space="preserve">[13]</w:t>
          </w:r>
        </w:sdtContent>
      </w:sdt>
      <w:r>
        <w:t xml:space="preserve">. Aplicando la fórmula (1) declarada en la metodología, donde Rc es el número de requisitos cubiertos y Rt el número total de requisitos definidos:</w:t>
      </w:r>
    </w:p>
    <w:p>
      <w:pPr>
        <w:spacing w:after="200" w:line="360" w:lineRule="auto"/>
        <w:jc w:val="both"/>
      </w:pPr>
      <w:r>
        <w:rPr>
          <w:i/>
        </w:rPr>
        <w:t xml:space="preserve">CR = (16 / 16) × 100 % = 100 %</w:t>
      </w:r>
    </w:p>
    <w:p>
      <w:pPr>
        <w:spacing w:after="200" w:line="360" w:lineRule="auto"/>
        <w:jc w:val="both"/>
      </w:pPr>
      <w:r>
        <w:t xml:space="preserve">La totalidad de los requisitos definidos fue implementada y verificada mediante los casos de prueba documentados en las secciones 4.1.5 y 4.1.10. El valor obtenido (100 %) supera ampliamente el umbral de aceptación establecido (CR ≥ 95 %), lo cual evidencia que el alcance comprometido se cumplió íntegramente. Cabe señalar que algunos requisitos fueron objeto de ajustes menores durante el proceso de refinamiento, particularmente en los aspectos relacionados con la usabilidad infantil, los cuales se incorporaron como mejoras dentro del mismo requisito original sin modificar su identificador.</w:t>
      </w:r>
    </w:p>
    <w:p>
      <w:pPr>
        <w:pStyle w:val="Heading3"/>
        <w:jc w:val="left"/>
      </w:pPr>
      <w:r>
        <w:t xml:space="preserve">4.2.2 Variación del cronograma e índice SPI</w:t>
      </w:r>
    </w:p>
    <w:p>
      <w:pPr>
        <w:spacing w:after="200" w:line="360" w:lineRule="auto"/>
        <w:jc w:val="both"/>
      </w:pPr>
      <w:r>
        <w:t xml:space="preserve">La puntualidad de la ejecución se evaluó comparando la duración planificada de cada fase con la duración realmente ejecutada. El cronograma original previó 26 semanas para el desarrollo completo del sistema, mientras que la ejecución efectiva requirió 28 semanas. Aplicando las fórmulas (2) y (3) de la metodología:</w:t>
      </w:r>
    </w:p>
    <w:p>
      <w:pPr>
        <w:spacing w:after="200" w:line="360" w:lineRule="auto"/>
        <w:jc w:val="both"/>
      </w:pPr>
      <w:r>
        <w:rPr>
          <w:i/>
        </w:rPr>
        <w:t xml:space="preserve">VC = (28 − 26) / 26 × 100 % = 7,69 %</w:t>
      </w:r>
    </w:p>
    <w:p>
      <w:pPr>
        <w:spacing w:after="200" w:line="360" w:lineRule="auto"/>
        <w:jc w:val="both"/>
      </w:pPr>
      <w:r>
        <w:rPr>
          <w:i/>
        </w:rPr>
        <w:t xml:space="preserve">SPI = 26 / 28 = 0,93</w:t>
      </w:r>
    </w:p>
    <w:p>
      <w:pPr>
        <w:spacing w:after="200" w:line="360" w:lineRule="auto"/>
        <w:jc w:val="both"/>
      </w:pPr>
      <w:r>
        <w:t xml:space="preserve">La variación obtenida se mantuvo dentro del umbral aceptable (|VC| ≤ 10 % y SPI ≥ 0,9), lo que indica una desviación menor respecto al plan original. Las dos semanas adicionales se concentraron en la fase de refinamiento, donde la incorporación de observaciones recibidas durante las pruebas piloto con padres exigió ajustes adicionales en la interfaz infantil. Este resultado es coherente con las prácticas reconocidas de gestión por valor ganado, que admiten desviaciones moderadas como parte del proceso natural de un proyecto </w:t>
      </w:r>
      <w:sdt>
        <w:sdtPr>
          <w:tag w:val="MENDELEY_CITATIONS_v3{&quot;citationID&quot;: &quot;MENDELEY_CITATION_23902a8e-7c42-4f2d-9832-ed92673c9eda&quot;, &quot;citationItems&quot;: [{&quot;id&quot;: &quot;3408d563-ae9a-4ff2-9afe-2d8b89926acc&quot;, &quot;itemData&quot;: {&quot;id&quot;: &quot;6e2d13e8-325c-4960-a7e3-8e4a153659f3&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8]&quot;, &quot;manualOverrideText&quot;: &quot;&quot;}}"/>
          <w:id w:val="1015"/>
        </w:sdtPr>
        <w:sdtContent>
          <w:r>
            <w:t xml:space="preserve">[8]</w:t>
          </w:r>
        </w:sdtContent>
      </w:sdt>
      <w:r>
        <w:t xml:space="preserve">.</w:t>
      </w:r>
    </w:p>
    <w:p>
      <w:pPr>
        <w:pStyle w:val="Heading3"/>
        <w:jc w:val="left"/>
      </w:pPr>
      <w:r>
        <w:t xml:space="preserve">4.2.3 Variación del presupuesto e índice CPI</w:t>
      </w:r>
    </w:p>
    <w:p>
      <w:pPr>
        <w:spacing w:after="200" w:line="360" w:lineRule="auto"/>
        <w:jc w:val="both"/>
      </w:pPr>
      <w:r>
        <w:t xml:space="preserve">El control financiero del proyecto se evaluó comparando el costo proyectado en la fase de planificación con el costo real ejecutado. La Tabla 67 sintetiza esta comparación.</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67. Presupuesto real]</w:t>
      </w:r>
    </w:p>
    <w:p>
      <w:pPr>
        <w:spacing w:after="200" w:line="360" w:lineRule="auto"/>
        <w:jc w:val="both"/>
      </w:pPr>
      <w:r>
        <w:t xml:space="preserve">Aplicando las fórmulas (4) y (5) de la metodología, donde Cp es el costo planificado (567 USD) y Cr el costo real (104 USD):</w:t>
      </w:r>
    </w:p>
    <w:p>
      <w:pPr>
        <w:spacing w:after="200" w:line="360" w:lineRule="auto"/>
        <w:jc w:val="both"/>
      </w:pPr>
      <w:r>
        <w:rPr>
          <w:i/>
        </w:rPr>
        <w:t xml:space="preserve">VP = (104 − 567) / 567 × 100 % = −81,65 %</w:t>
      </w:r>
    </w:p>
    <w:p>
      <w:pPr>
        <w:spacing w:after="200" w:line="360" w:lineRule="auto"/>
        <w:jc w:val="both"/>
      </w:pPr>
      <w:r>
        <w:rPr>
          <w:i/>
        </w:rPr>
        <w:t xml:space="preserve">CPI = 567 / 104 = 5,45</w:t>
      </w:r>
    </w:p>
    <w:p>
      <w:pPr>
        <w:spacing w:after="200" w:line="360" w:lineRule="auto"/>
        <w:jc w:val="both"/>
      </w:pPr>
      <w:r>
        <w:t xml:space="preserve">El valor obtenido evidencia una diferencia significativa entre el presupuesto estimado y el costo real ejecutado. El signo negativo de la VP indica que el gasto real fue considerablemente menor al monto planificado inicialmente, lo cual se debió principalmente al uso de equipos personales, al aprovechamiento de licencias académicas y a los servicios gratuitos en la nube. El CPI de 5,45 refleja un alto nivel de eficiencia financiera del trabajo ejecutado. Aunque el valor está fuera del umbral establecido (|VP| ≤ 10 %), la desviación se produjo por defecto y no por exceso, lo cual no compromete la viabilidad del proyecto sino que la favorece. En proyectos académicos esta situación es frecuente cuando el equipo aporta recursos propios, y debe interpretarse como una optimización del presupuesto y no como un fallo de planificación </w:t>
      </w:r>
      <w:sdt>
        <w:sdtPr>
          <w:tag w:val="MENDELEY_CITATIONS_v3{&quot;citationID&quot;: &quot;MENDELEY_CITATION_4a9ae5dd-2eb4-4e9b-9dac-42893021afc2&quot;, &quot;citationItems&quot;: [{&quot;id&quot;: &quot;81b6c73a-ff1d-4bf4-bbe8-f4f08f4c6265&quot;, &quot;itemData&quot;: {&quot;id&quot;: &quot;5cf6e478-ad7e-4ef7-811f-2745c68098d8&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9dba9b3d-50f1-46c5-9f83-720c7345c43e&quot;, &quot;itemData&quot;: {&quot;id&quot;: &quot;6e2d13e8-325c-4960-a7e3-8e4a153659f3&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8]&quot;, &quot;manualOverrideText&quot;: &quot;&quot;}}"/>
          <w:id w:val="1016"/>
        </w:sdtPr>
        <w:sdtContent>
          <w:r>
            <w:t xml:space="preserve">[7], [8]</w:t>
          </w:r>
        </w:sdtContent>
      </w:sdt>
      <w:r>
        <w:t xml:space="preserve">.</w:t>
      </w:r>
    </w:p>
    <w:p>
      <w:pPr>
        <w:pStyle w:val="Heading3"/>
        <w:jc w:val="left"/>
      </w:pPr>
      <w:r>
        <w:t xml:space="preserve">4.2.4 Cobertura de pruebas</w:t>
      </w:r>
    </w:p>
    <w:p>
      <w:pPr>
        <w:spacing w:after="200" w:line="360" w:lineRule="auto"/>
        <w:jc w:val="both"/>
      </w:pPr>
      <w:r>
        <w:t xml:space="preserve">La calidad técnica del producto se midió aplicando la fórmula (6) de la metodología. Sumando los resultados de las pruebas reportadas en las Tablas 42 a la 45, el sistema fue sometido a un total de 38 pruebas unitarias (19 en backend, 7 en web, 6 en móvil para padres y 6 en móvil para niños), de las cuales 38 fueron aprobadas. A esto se añaden las 6 pruebas de integración de la Tabla 46, todas aprobadas. El cálculo resulta:</w:t>
      </w:r>
    </w:p>
    <w:p>
      <w:pPr>
        <w:spacing w:after="200" w:line="360" w:lineRule="auto"/>
        <w:jc w:val="both"/>
      </w:pPr>
      <w:r>
        <w:rPr>
          <w:i/>
        </w:rPr>
        <w:t xml:space="preserve">CP = (44 / 44) × 100 % = 100 %</w:t>
      </w:r>
    </w:p>
    <w:p>
      <w:pPr>
        <w:spacing w:after="200" w:line="360" w:lineRule="auto"/>
        <w:jc w:val="both"/>
      </w:pPr>
      <w:r>
        <w:t xml:space="preserve">El valor obtenido supera el umbral establecido (CP ≥ 90 %), lo cual confirma que los módulos del sistema cumplen con el comportamiento esperado tanto a nivel unitario como en su integración. Este resultado es coherente con la lógica del desarrollo dirigido por pruebas adoptado por la metodología TDDM4IoTS </w:t>
      </w:r>
      <w:sdt>
        <w:sdtPr>
          <w:tag w:val="MENDELEY_CITATIONS_v3{&quot;citationID&quot;: &quot;MENDELEY_CITATION_6b43459a-ecc5-4a50-8ba8-e79ac8a612bf&quot;, &quot;citationItems&quot;: [{&quot;id&quot;: &quot;11acf810-fe28-41ca-afad-f23e93b07fc3&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227006d7-9ff4-4718-b455-f3b7e49e086c&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1017"/>
        </w:sdtPr>
        <w:sdtContent>
          <w:r>
            <w:t xml:space="preserve">[9], [10]</w:t>
          </w:r>
        </w:sdtContent>
      </w:sdt>
      <w:r>
        <w:t xml:space="preserve">, en la cual cada nueva funcionalidad se acompaña de su prueba antes de considerarse completada.</w:t>
      </w:r>
    </w:p>
    <w:p>
      <w:pPr>
        <w:pStyle w:val="Heading3"/>
        <w:jc w:val="left"/>
      </w:pPr>
      <w:r>
        <w:t xml:space="preserve">4.2.5 Caracterización de los participantes</w:t>
      </w:r>
    </w:p>
    <w:p>
      <w:pPr>
        <w:spacing w:after="200" w:line="360" w:lineRule="auto"/>
        <w:jc w:val="both"/>
      </w:pPr>
      <w:r>
        <w:t xml:space="preserve">La evaluación con usuarios contó con la participación de 15 padres o tutores y 15 niños con edades comprendidas entre los 6 y los 11 años. Adicionalmente, dos pediatras participaron como especialistas en la evaluación cualitativa del entorno web. La Tabla 68 sintetiza el perfil sociodemográfico de los padres y tutores, mientras que la Tabla 69 muestra el perfil físico y conductual de los niños participantes.</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68. Perfil sociodemográfico de padres/tutores]</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69. Perfil físico y conductual de los niños]</w:t>
      </w:r>
    </w:p>
    <w:p>
      <w:pPr>
        <w:spacing w:after="200" w:line="360" w:lineRule="auto"/>
        <w:jc w:val="both"/>
      </w:pPr>
      <w:r>
        <w:t xml:space="preserve">La distribución por género de los padres y tutores muestra una mayor participación de figuras femeninas (67 %), lo cual coincide con la tendencia frecuentemente reportada en estudios de salud infantil, donde las madres asumen con mayor frecuencia el rol de informantes principales sobre los hábitos de los hijos. En cuanto al nivel educativo, predominó el grupo con educación superior (47 %), seguido del bachillerato (40 %), lo que sugiere una muestra con disposición a interactuar con tecnología digital de salud.</w:t>
      </w:r>
    </w:p>
    <w:p>
      <w:pPr>
        <w:spacing w:after="200" w:line="360" w:lineRule="auto"/>
        <w:jc w:val="both"/>
      </w:pPr>
      <w:r>
        <w:t xml:space="preserve">El perfil físico de los niños presenta un IMC promedio de 18,2 kg/m², valor que se ubica dentro del rango de normopeso para la edad escolar según los percentiles establecidos por la Organización Mundial de la Salud para población de 5 a 19 años </w:t>
      </w:r>
      <w:sdt>
        <w:sdtPr>
          <w:tag w:val="MENDELEY_CITATIONS_v3{&quot;citationID&quot;: &quot;MENDELEY_CITATION_5eeec3dc-ac26-4f43-b673-0c478776c6ee&quot;, &quot;citationItems&quot;: [{&quot;id&quot;: &quot;f16b6416-4b5b-45fd-bfb0-6b37c3e3a0f3&quot;, &quot;itemData&quot;: {&quot;id&quot;: &quot;3b84c782-81ff-4f3e-9e9f-e9f9ba539b81&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properties&quot;: {&quot;noteIndex&quot;: 0}, &quot;isEdited&quot;: false, &quot;manualOverride&quot;: {&quot;isManuallyOverridden&quot;: false, &quot;citeprocText&quot;: &quot;[16]&quot;, &quot;manualOverrideText&quot;: &quot;&quot;}}"/>
          <w:id w:val="1018"/>
        </w:sdtPr>
        <w:sdtContent>
          <w:r>
            <w:t xml:space="preserve">[16]</w:t>
          </w:r>
        </w:sdtContent>
      </w:sdt>
      <w:r>
        <w:t xml:space="preserve">. El nivel reportado de exposición a pantallas (3,2 horas en días escolares y 4,5 horas en fines de semana) es consistente con los promedios reportados en estudios recientes y supera los rangos recomendados por la OMS para esta franja etaria, lo cual refuerza la pertinencia del problema atendido por el sistema </w:t>
      </w:r>
      <w:sdt>
        <w:sdtPr>
          <w:tag w:val="MENDELEY_CITATIONS_v3{&quot;citationID&quot;: &quot;MENDELEY_CITATION_25d40a32-98ab-474f-9be8-c10c00a8958e&quot;, &quot;citationItems&quot;: [{&quot;id&quot;: &quot;985ea6b7-fb90-4203-a911-81802c7abb42&quot;, &quot;itemData&quot;: {&quot;id&quot;: &quot;06973623-15df-44f2-b58f-0634447f8ad3&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18]&quot;, &quot;manualOverrideText&quot;: &quot;&quot;}}"/>
          <w:id w:val="1019"/>
        </w:sdtPr>
        <w:sdtContent>
          <w:r>
            <w:t xml:space="preserve">[18]</w:t>
          </w:r>
        </w:sdtContent>
      </w:sdt>
      <w:r>
        <w:t xml:space="preserve">.</w:t>
      </w:r>
    </w:p>
    <w:p>
      <w:pPr>
        <w:pStyle w:val="Heading3"/>
        <w:jc w:val="left"/>
      </w:pPr>
      <w:r>
        <w:t xml:space="preserve">4.2.6 Aceptabilidad del sistema</w:t>
      </w:r>
    </w:p>
    <w:p>
      <w:pPr>
        <w:spacing w:after="200" w:line="360" w:lineRule="auto"/>
        <w:jc w:val="both"/>
      </w:pPr>
      <w:r>
        <w:t xml:space="preserve">La aceptabilidad del sistema se evaluó mediante el cuestionario TAM aplicado a los 15 padres y tutores participantes. Los resultados individuales se presentan en la Tabla 76, y la fórmula (7) de la metodología se aplicó para calcular las medias por dimensión.</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76. Resultados del cuestionario TAM]</w:t>
      </w:r>
    </w:p>
    <w:p>
      <w:pPr>
        <w:spacing w:after="200" w:line="360" w:lineRule="auto"/>
        <w:jc w:val="both"/>
      </w:pPr>
      <w:r>
        <w:t xml:space="preserve">Las medias obtenidas fueron 4,37 en utilidad percibida y 4,25 en facilidad de uso, ambas claramente por encima del umbral de aceptación establecido (x̄_TAM ≥ 4,0). Este comportamiento sugiere que los participantes reconocen tanto la funcionalidad del sistema como su accesibilidad en términos de interacción. Estos valores son coherentes con los reportados en estudios recientes sobre aplicaciones de salud infantil, en los cuales la utilidad percibida tiende a ser ligeramente superior a la facilidad de uso cuando la herramienta resuelve un problema concreto del usuario </w:t>
      </w:r>
      <w:sdt>
        <w:sdtPr>
          <w:tag w:val="MENDELEY_CITATIONS_v3{&quot;citationID&quot;: &quot;MENDELEY_CITATION_ef1000aa-7547-445c-8c96-40e186953a2a&quot;, &quot;citationItems&quot;: [{&quot;id&quot;: &quot;c0bb4018-ad3f-4310-92db-adf577c9f8d3&quot;, &quot;itemData&quot;: {&quot;id&quot;: &quot;5a21b701-b319-405d-a356-e1242cb1a4d2&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fd5cfeec-5d7f-4074-b843-20157e5885c2&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properties&quot;: {&quot;noteIndex&quot;: 0}, &quot;isEdited&quot;: false, &quot;manualOverride&quot;: {&quot;isManuallyOverridden&quot;: false, &quot;citeprocText&quot;: &quot;[1], [20]&quot;, &quot;manualOverrideText&quot;: &quot;&quot;}}"/>
          <w:id w:val="1020"/>
        </w:sdtPr>
        <w:sdtContent>
          <w:r>
            <w:t xml:space="preserve">[1], [20]</w:t>
          </w:r>
        </w:sdtContent>
      </w:sdt>
      <w:r>
        <w:t xml:space="preserve">.</w:t>
      </w:r>
    </w:p>
    <w:p>
      <w:pPr>
        <w:spacing w:after="200" w:line="360" w:lineRule="auto"/>
        <w:jc w:val="both"/>
      </w:pPr>
      <w:r>
        <w:t xml:space="preserve">Más allá de los valores promedio, se observa una dispersión reducida entre las respuestas individuales (las puntuaciones se concentran entre 4,0 y 4,7), lo que indica una percepción relativamente homogénea entre los participantes. Esta consistencia podría interpretarse como una experiencia de usuario estable, donde las variaciones individuales no alteran significativamente la valoración global del sistema. Cabe señalar que la diferencia entre las dos dimensiones (0,12 puntos) no fue sometida a una prueba estadística inferencial, por lo que no es posible afirmar con certeza que exista una distinción real entre utilidad y facilidad de uso más allá de la variación observada en los promedios. Esta limitación es propia del alcance exploratorio del estudio y queda señalada como oportunidad para investigaciones futuras con muestras de mayor tamaño.</w:t>
      </w:r>
    </w:p>
    <w:p>
      <w:pPr>
        <w:pStyle w:val="Heading3"/>
        <w:jc w:val="left"/>
      </w:pPr>
      <w:r>
        <w:t xml:space="preserve">4.2.7 Usabilidad infantil</w:t>
      </w:r>
    </w:p>
    <w:p>
      <w:pPr>
        <w:spacing w:after="200" w:line="360" w:lineRule="auto"/>
        <w:jc w:val="both"/>
      </w:pPr>
      <w:r>
        <w:t xml:space="preserve">La usabilidad del modo niño se evaluó aplicando el cuestionario SUS a los 15 niños participantes, con el acompañamiento de sus representantes legales y siguiendo las adaptaciones recomendadas para evaluar usabilidad con menores de edad </w:t>
      </w:r>
      <w:sdt>
        <w:sdtPr>
          <w:tag w:val="MENDELEY_CITATIONS_v3{&quot;citationID&quot;: &quot;MENDELEY_CITATION_1b28528c-11f6-4a27-9567-98a26e93de84&quot;, &quot;citationItems&quot;: [{&quot;id&quot;: &quot;e02ffdd6-a68b-48d7-9095-e01431ca0436&quot;, &quot;itemData&quot;: {&quot;id&quot;: &quot;8c65dbde-071f-45b6-99cb-45425394dec1&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17]&quot;, &quot;manualOverrideText&quot;: &quot;&quot;}}"/>
          <w:id w:val="1021"/>
        </w:sdtPr>
        <w:sdtContent>
          <w:r>
            <w:t xml:space="preserve">[17]</w:t>
          </w:r>
        </w:sdtContent>
      </w:sdt>
      <w:r>
        <w:t xml:space="preserve">. La fórmula (8) de la metodología, propuesta originalmente por Brooke </w:t>
      </w:r>
      <w:sdt>
        <w:sdtPr>
          <w:tag w:val="MENDELEY_CITATIONS_v3{&quot;citationID&quot;: &quot;MENDELEY_CITATION_aeaaa792-6a1d-4b0e-b9c6-9c23d1b71338&quot;, &quot;citationItems&quot;: [{&quot;id&quot;: &quot;f82c82ce-a686-441b-87dd-aeafa98a000d&quot;, &quot;itemData&quot;: {&quot;id&quot;: &quot;488cdaa6-aa50-4b1c-96a8-bba689affbfc&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2]&quot;, &quot;manualOverrideText&quot;: &quot;&quot;}}"/>
          <w:id w:val="1022"/>
        </w:sdtPr>
        <w:sdtContent>
          <w:r>
            <w:t xml:space="preserve">[2]</w:t>
          </w:r>
        </w:sdtContent>
      </w:sdt>
      <w:r>
        <w:t xml:space="preserve">, se aplicó individualmente a cada cuestionario.</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Figura 17. Resultados del cuestionario SUS]</w:t>
      </w:r>
    </w:p>
    <w:p>
      <w:pPr>
        <w:spacing w:after="200" w:line="360" w:lineRule="auto"/>
        <w:jc w:val="both"/>
      </w:pPr>
      <w:r>
        <w:t xml:space="preserve">Los resultados, presentados en la Figura 17, muestran un puntaje promedio de 81,17 puntos, con valores que oscilan entre 70 y 95. Esta puntuación supera el umbral de aceptación establecido (SUS ≥ 68) y, conforme a los rangos empíricos publicados, se ubica en la categoría de usabilidad </w:t>
      </w:r>
      <w:r>
        <w:rPr>
          <w:i/>
        </w:rPr>
        <w:t xml:space="preserve">excelente</w:t>
      </w:r>
      <w:r>
        <w:t xml:space="preserve"> según la escala de Bangor, Kortum y Miller </w:t>
      </w:r>
      <w:sdt>
        <w:sdtPr>
          <w:tag w:val="MENDELEY_CITATIONS_v3{&quot;citationID&quot;: &quot;MENDELEY_CITATION_eed6a135-fd4e-4836-b93c-057911b9cc5f&quot;, &quot;citationItems&quot;: [{&quot;id&quot;: &quot;720eff45-5490-449a-9768-887920b8062f&quot;, &quot;itemData&quot;: {&quot;id&quot;: &quot;7dc93b1a-1c2e-4d4d-8540-103ed557ea01&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7509287e-7709-49ab-8f71-460f0c83e6ad&quot;, &quot;itemData&quot;: {&quot;id&quot;: &quot;54f29e73-cc07-4fe5-a15f-0c55d29a8253&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3], [4]&quot;, &quot;manualOverrideText&quot;: &quot;&quot;}}"/>
          <w:id w:val="1023"/>
        </w:sdtPr>
        <w:sdtContent>
          <w:r>
            <w:t xml:space="preserve">[3], [4]</w:t>
          </w:r>
        </w:sdtContent>
      </w:sdt>
      <w:r>
        <w:t xml:space="preserve">. La distribución evidencia una clara inclinación hacia los valores altos, con una concentración significativa en los rangos superiores de la escala.</w:t>
      </w:r>
    </w:p>
    <w:p>
      <w:pPr>
        <w:spacing w:after="200" w:line="360" w:lineRule="auto"/>
        <w:jc w:val="both"/>
      </w:pPr>
      <w:r>
        <w:t xml:space="preserve">La variabilidad observada entre los puntajes no resulta pronunciada (con valores entre 70 y 95 puntos), lo que sugiere que la experiencia de uso se mantiene relativamente homogénea entre los participantes. La ausencia de puntuaciones críticas y la concentración en los valores altos permiten inferir que la aplicación logra adaptarse de forma efectiva a su público objetivo, lo cual reviste especial relevancia tratándose de un grupo etario que típicamente presenta diferencias notables en habilidades cognitivas y tecnológicas </w:t>
      </w:r>
      <w:sdt>
        <w:sdtPr>
          <w:tag w:val="MENDELEY_CITATIONS_v3{&quot;citationID&quot;: &quot;MENDELEY_CITATION_48e4d26c-42ca-4f63-86a1-f3ea9933f33c&quot;, &quot;citationItems&quot;: [{&quot;id&quot;: &quot;4d38df9d-f8e0-4b8f-b6e5-e058b219e70c&quot;, &quot;itemData&quot;: {&quot;id&quot;: &quot;8c65dbde-071f-45b6-99cb-45425394dec1&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17]&quot;, &quot;manualOverrideText&quot;: &quot;&quot;}}"/>
          <w:id w:val="1024"/>
        </w:sdtPr>
        <w:sdtContent>
          <w:r>
            <w:t xml:space="preserve">[17]</w:t>
          </w:r>
        </w:sdtContent>
      </w:sdt>
      <w:r>
        <w:t xml:space="preserve">.</w:t>
      </w:r>
    </w:p>
    <w:p>
      <w:pPr>
        <w:pStyle w:val="Heading3"/>
        <w:jc w:val="left"/>
      </w:pPr>
      <w:r>
        <w:t xml:space="preserve">4.2.8 Validación clínica</w:t>
      </w:r>
    </w:p>
    <w:p>
      <w:pPr>
        <w:spacing w:after="200" w:line="360" w:lineRule="auto"/>
        <w:jc w:val="both"/>
      </w:pPr>
      <w:r>
        <w:t xml:space="preserve">La pertinencia clínica y la seguridad de las rutinas generadas por inteligencia artificial fueron evaluadas mediante la revisión de dos pediatras colaboradoras, quienes analizaron individualmente cada uno de los ejercicios producidos por el modelo Gemini antes de su publicación. Los resultados se presentan en las Tablas 74 y 75.</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74. Resultado de validación de ejercicios generados por IA]</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75. Motivos de rechazo de ejercicios generados]</w:t>
      </w:r>
    </w:p>
    <w:p>
      <w:pPr>
        <w:spacing w:after="200" w:line="360" w:lineRule="auto"/>
        <w:jc w:val="both"/>
      </w:pPr>
      <w:r>
        <w:t xml:space="preserve">De los 50 ejercicios generados, 42 (84 %) fueron aprobados y 8 (16 %) rechazados. Los motivos de rechazo se distribuyeron entre intensidad excesiva para la edad (3 casos), instrucciones poco claras (2 casos), riesgo potencial de lesión (1 caso), no realizable en el hogar (1 caso) y contenido repetitivo (1 caso). El criterio de aceptación adoptado en la metodología (sin objeciones críticas relacionadas con la seguridad) se cumplió, ya que los ocho casos rechazados fueron interceptados por el filtro humano antes de llegar al niño usuario.</w:t>
      </w:r>
    </w:p>
    <w:p>
      <w:pPr>
        <w:spacing w:after="200" w:line="360" w:lineRule="auto"/>
        <w:jc w:val="both"/>
      </w:pPr>
      <w:r>
        <w:t xml:space="preserve">Este resultado confirma una observación bien documentada en la literatura sobre IA generativa: los modelos pueden producir contenido aparentemente correcto pero no siempre adecuado desde el punto de vista clínico o pedagógico </w:t>
      </w:r>
      <w:sdt>
        <w:sdtPr>
          <w:tag w:val="MENDELEY_CITATIONS_v3{&quot;citationID&quot;: &quot;MENDELEY_CITATION_658a5d98-dfa7-4d69-8207-bf365fff7b9f&quot;, &quot;citationItems&quot;: [{&quot;id&quot;: &quot;98dcc2bf-7bdc-4fb3-a293-dbdb50865923&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22]&quot;, &quot;manualOverrideText&quot;: &quot;&quot;}}"/>
          <w:id w:val="1025"/>
        </w:sdtPr>
        <w:sdtContent>
          <w:r>
            <w:t xml:space="preserve">[22]</w:t>
          </w:r>
        </w:sdtContent>
      </w:sdt>
      <w:r>
        <w:t xml:space="preserve">. Por esta razón, la metodología incorpora la revisión profesional como una fase obligatoria del flujo de generación, en línea con las prácticas heurísticas complementarias a las pruebas con usuarios </w:t>
      </w:r>
      <w:sdt>
        <w:sdtPr>
          <w:tag w:val="MENDELEY_CITATIONS_v3{&quot;citationID&quot;: &quot;MENDELEY_CITATION_ee0c28d1-074f-4329-9933-d60cecc23515&quot;, &quot;citationItems&quot;: [{&quot;id&quot;: &quot;169dccdb-6b06-4f73-9f8e-2474d878ca66&quot;, &quot;itemData&quot;: {&quot;id&quot;: &quot;4a03744a-40ab-4c8d-a6d3-fcb2fd462ff6&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21]&quot;, &quot;manualOverrideText&quot;: &quot;&quot;}}"/>
          <w:id w:val="1026"/>
        </w:sdtPr>
        <w:sdtContent>
          <w:r>
            <w:t xml:space="preserve">[21]</w:t>
          </w:r>
        </w:sdtContent>
      </w:sdt>
      <w:r>
        <w:t xml:space="preserve">. La tasa de aprobación obtenida sugiere que el prompt utilizado y las restricciones programadas son razonablemente efectivas, aunque la presencia de un 16 % de rechazos justifica plenamente la permanencia del filtro humano.</w:t>
      </w:r>
    </w:p>
    <w:p>
      <w:pPr>
        <w:pStyle w:val="Heading3"/>
        <w:jc w:val="left"/>
      </w:pPr>
      <w:r>
        <w:t xml:space="preserve">4.2.9 Rendimiento del sistema</w:t>
      </w:r>
    </w:p>
    <w:p>
      <w:pPr>
        <w:spacing w:after="200" w:line="360" w:lineRule="auto"/>
        <w:jc w:val="both"/>
      </w:pPr>
      <w:r>
        <w:t xml:space="preserve">El rendimiento del sistema se evaluó mediante pruebas de carga sobre la API y la aplicación móvil, registrando el tiempo de respuesta de las operaciones críticas: autenticación, generación de rutinas y consulta de progreso. Aplicando la fórmula (9) de la metodología sobre 30 ejecuciones por operación crítica, se obtuvieron los siguientes tiempos medios de respuesta:</w:t>
      </w:r>
    </w:p>
    <w:p>
      <w:pPr>
        <w:numPr>
          <w:ilvl w:val="0"/>
          <w:numId w:val="1"/>
        </w:numPr>
        <w:spacing w:after="160" w:line="360" w:lineRule="auto"/>
        <w:jc w:val="both"/>
      </w:pPr>
      <w:r>
        <w:t xml:space="preserve">Autenticación: T̄ = 480 ms (mín. 320 ms; máx. 720 ms)</w:t>
      </w:r>
    </w:p>
    <w:p>
      <w:pPr>
        <w:numPr>
          <w:ilvl w:val="0"/>
          <w:numId w:val="1"/>
        </w:numPr>
        <w:spacing w:after="160" w:line="360" w:lineRule="auto"/>
        <w:jc w:val="both"/>
      </w:pPr>
      <w:r>
        <w:t xml:space="preserve">Generación de rutinas: T̄ = 1 850 ms (mín. 1 240 ms; máx. 2 480 ms)</w:t>
      </w:r>
    </w:p>
    <w:p>
      <w:pPr>
        <w:numPr>
          <w:ilvl w:val="0"/>
          <w:numId w:val="1"/>
        </w:numPr>
        <w:spacing w:after="160" w:line="360" w:lineRule="auto"/>
        <w:jc w:val="both"/>
      </w:pPr>
      <w:r>
        <w:t xml:space="preserve">Consulta de progreso: T̄ = 320 ms (mín. 180 ms; máx. 540 ms)</w:t>
      </w:r>
    </w:p>
    <w:p>
      <w:pPr>
        <w:spacing w:after="200" w:line="360" w:lineRule="auto"/>
        <w:jc w:val="both"/>
      </w:pPr>
      <w:r>
        <w:t xml:space="preserve">Los tiempos medios obtenidos para autenticación y consulta de progreso se mantienen muy por debajo del umbral de aceptación establecido (T̄ ≤ 2 000 ms). En el caso de la generación de rutinas, el tiempo medio se ubica también dentro del rango aceptable, aunque el valor máximo registrado roza el límite establecido. Esta variabilidad se debe a que la generación de rutinas implica una llamada al modelo Gemini, cuyo tiempo de respuesta depende de la disponibilidad y carga del servicio externo. La operación se diseñó para mostrar un indicador de progreso al usuario durante la espera, lo cual atenúa el impacto perceptivo del tiempo de respuesta y mantiene la experiencia dentro de los rangos de eficiencia recomendados por la norma ISO/IEC 25010 </w:t>
      </w:r>
      <w:sdt>
        <w:sdtPr>
          <w:tag w:val="MENDELEY_CITATIONS_v3{&quot;citationID&quot;: &quot;MENDELEY_CITATION_d494a215-47ed-409a-b5a9-6fe08cacd8f7&quot;, &quot;citationItems&quot;: [{&quot;id&quot;: &quot;da3e3687-f365-4331-9b65-50fe2a9aeb4f&quot;, &quot;itemData&quot;: {&quot;id&quot;: &quot;0ab9f14a-8b31-46f7-a2d7-aad27c321e18&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6]&quot;, &quot;manualOverrideText&quot;: &quot;&quot;}}"/>
          <w:id w:val="1027"/>
        </w:sdtPr>
        <w:sdtContent>
          <w:r>
            <w:t xml:space="preserve">[6]</w:t>
          </w:r>
        </w:sdtContent>
      </w:sdt>
      <w:r>
        <w:t xml:space="preserve">.</w:t>
      </w:r>
    </w:p>
    <w:p>
      <w:pPr>
        <w:pStyle w:val="Heading3"/>
        <w:jc w:val="left"/>
      </w:pPr>
      <w:r>
        <w:t xml:space="preserve">4.2.10 Síntesis del impacto y rigor estadístico</w:t>
      </w:r>
    </w:p>
    <w:p>
      <w:pPr>
        <w:spacing w:after="200" w:line="360" w:lineRule="auto"/>
        <w:jc w:val="both"/>
      </w:pPr>
      <w:r>
        <w:t xml:space="preserve">Más allá del cumplimiento de los nueve indicadores formales, se consideró pertinente recoger evidencia complementaria sobre el impacto conductual del sistema durante el período de evaluación. Para ello se observó el uso real de la aplicación durante cuatro semanas, registrando las sesiones completadas, el tiempo acumulado de actividad física y la frecuencia de uso. Los resultados se presentan en las Tablas 70 y 71.</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70. Indicadores de uso e impacto conductual de FitKids]</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71. Clasificación de adherencia de los niños participantes]</w:t>
      </w:r>
    </w:p>
    <w:p>
      <w:pPr>
        <w:spacing w:after="200" w:line="360" w:lineRule="auto"/>
        <w:jc w:val="both"/>
      </w:pPr>
      <w:r>
        <w:t xml:space="preserve">Durante las cuatro semanas de observación se completaron 320 sesiones, con un promedio de 5,3 sesiones por niño por semana y un tiempo total acumulado de 4 800 minutos de actividad física. La adherencia promedio alcanzó un 68 %, valor cercano al umbral de adherencia alta. La distribución por niveles muestra que el 40 % de los niños alcanzó adherencia alta, el 33 % adherencia moderada y el 27 % adherencia baja. Esta heterogeneidad sugiere que el sistema funciona de forma efectiva con la mayor parte de los participantes, pero que existe un subgrupo que requiere acompañamiento parental más sostenido para evitar el abandono temprano, observación coherente con la literatura sobre adherencia a intervenciones digitales en niños </w:t>
      </w:r>
      <w:sdt>
        <w:sdtPr>
          <w:tag w:val="MENDELEY_CITATIONS_v3{&quot;citationID&quot;: &quot;MENDELEY_CITATION_152169b5-2747-48b2-ba35-d868318a3136&quot;, &quot;citationItems&quot;: [{&quot;id&quot;: &quot;fca3959f-ed66-4cf6-b755-b6b179248728&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properties&quot;: {&quot;noteIndex&quot;: 0}, &quot;isEdited&quot;: false, &quot;manualOverride&quot;: {&quot;isManuallyOverridden&quot;: false, &quot;citeprocText&quot;: &quot;[20]&quot;, &quot;manualOverrideText&quot;: &quot;&quot;}}"/>
          <w:id w:val="1028"/>
        </w:sdtPr>
        <w:sdtContent>
          <w:r>
            <w:t xml:space="preserve">[20]</w:t>
          </w:r>
        </w:sdtContent>
      </w:sdt>
      <w:r>
        <w:t xml:space="preserve">.</w:t>
      </w:r>
    </w:p>
    <w:p>
      <w:pPr>
        <w:spacing w:after="200" w:line="360" w:lineRule="auto"/>
        <w:jc w:val="both"/>
      </w:pPr>
      <w:r>
        <w:t xml:space="preserve">Para complementar el análisis, se aplicó el cuestionario PAQ-C antes y después del período de observación, instrumento ampliamente validado para medir el nivel general de actividad física en niños en edad escolar </w:t>
      </w:r>
      <w:sdt>
        <w:sdtPr>
          <w:tag w:val="MENDELEY_CITATIONS_v3{&quot;citationID&quot;: &quot;MENDELEY_CITATION_5ed432ae-55f6-4706-a2d0-cd4ddaaebf04&quot;, &quot;citationItems&quot;: [{&quot;id&quot;: &quot;f52febb5-504e-4ea5-9ea6-dd550e97d367&quot;, &quot;itemData&quot;: {&quot;id&quot;: &quot;3d9d4b9c-1651-4908-997e-ec001e5114af&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properties&quot;: {&quot;noteIndex&quot;: 0}, &quot;isEdited&quot;: false, &quot;manualOverride&quot;: {&quot;isManuallyOverridden&quot;: false, &quot;citeprocText&quot;: &quot;[15]&quot;, &quot;manualOverrideText&quot;: &quot;&quot;}}"/>
          <w:id w:val="1029"/>
        </w:sdtPr>
        <w:sdtContent>
          <w:r>
            <w:t xml:space="preserve">[15]</w:t>
          </w:r>
        </w:sdtContent>
      </w:sdt>
      <w:r>
        <w:t xml:space="preserve">. Los resultados se presentan en la Tabla 72.</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72. Comparación pre y post del nivel de actividad física]</w:t>
      </w:r>
    </w:p>
    <w:p>
      <w:pPr>
        <w:spacing w:after="200" w:line="360" w:lineRule="auto"/>
        <w:jc w:val="both"/>
      </w:pPr>
      <w:r>
        <w:t xml:space="preserve">La puntuación media del PAQ-C pasó de 2,4 ± 0,6 al inicio a 3,1 ± 0,7 al final del período de observación, con una diferencia promedio de +0,7 puntos. Si bien este incremento sugiere una mejora inicial en el nivel de actividad física de los participantes, debe interpretarse con cautela debido a que el estudio no incorporó un grupo de control y al tamaño reducido de la muestra. Aun así, la diferencia pre-post ofrece una evidencia más consistente que la sola percepción de utilidad o facilidad de uso, ya que captura un cambio observable en el comportamiento de los niños participantes.</w:t>
      </w:r>
    </w:p>
    <w:p>
      <w:pPr>
        <w:spacing w:after="200" w:line="360" w:lineRule="auto"/>
        <w:jc w:val="both"/>
      </w:pPr>
      <w:r>
        <w:t xml:space="preserve">Finalmente, la Tabla 73 sintetiza los estadísticos generales de los tres instrumentos cuantitativos aplicados (SUS, TAM-UP y TAM-FU), incorporando media, desviación estándar y valores extremos. Esta presentación conjunta permite apreciar tanto la magnitud como la consistencia de los resultados.</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[INSERTAR AQUÍ — Tabla 73. Estadísticos generales de los instrumentos de evaluación]</w:t>
      </w:r>
    </w:p>
    <w:p>
      <w:pPr>
        <w:spacing w:after="200" w:line="360" w:lineRule="auto"/>
        <w:jc w:val="both"/>
      </w:pPr>
      <w:r>
        <w:t xml:space="preserve">Los tres instrumentos arrojaron valores favorables y dispersión moderada, lo cual sugiere una experiencia de usuario consistente. Estos resultados no deben entenderse como prueba absoluta de efectividad, sino como evidencia complementaria del grado de aceptación y usabilidad alcanzado por FitKids durante la evaluación con usuarios reales.</w:t>
      </w:r>
    </w:p>
    <w:p>
      <w:pPr>
        <w:pStyle w:val="Heading3"/>
        <w:jc w:val="left"/>
      </w:pPr>
      <w:r>
        <w:t xml:space="preserve">4.2.11 Evaluación cualitativa del entorno web por especialistas</w:t>
      </w:r>
    </w:p>
    <w:p>
      <w:pPr>
        <w:spacing w:after="200" w:line="360" w:lineRule="auto"/>
        <w:jc w:val="both"/>
      </w:pPr>
      <w:r>
        <w:t xml:space="preserve">La evaluación cualitativa del entorno web contó con la participación de dos especialistas en el área de salud infantil (pediatras), cuyas opiniones fueron recopiladas mediante preguntas abiertas orientadas a valorar la funcionalidad, la utilidad y la usabilidad del sistema en un contexto profesional. El análisis de las respuestas se realizó mediante una categorización temática manual que identificó tres ejes principales: funcionalidad del sistema, calidad de los contenidos generados y usabilidad del entorno web.</w:t>
      </w:r>
    </w:p>
    <w:p>
      <w:pPr>
        <w:spacing w:after="200" w:line="360" w:lineRule="auto"/>
        <w:jc w:val="both"/>
      </w:pPr>
      <w:r>
        <w:t xml:space="preserve">En relación con la funcionalidad, los especialistas coincidieron en que el sistema cumple adecuadamente su propósito como herramienta de apoyo profesional, facilitando la revisión y validación de los ejercicios generados mediante inteligencia artificial, así como la toma de decisiones durante el proceso de aprobación. Esta valoración es relevante porque corrobora desde el punto de vista profesional lo que la cobertura de pruebas técnicas (sección 4.2.4) ya había demostrado a nivel funcional.</w:t>
      </w:r>
    </w:p>
    <w:p>
      <w:pPr>
        <w:spacing w:after="200" w:line="360" w:lineRule="auto"/>
        <w:jc w:val="both"/>
      </w:pPr>
      <w:r>
        <w:t xml:space="preserve">En cuanto a la calidad de los contenidos, los evaluadores señalaron que los ejercicios generados presentan coherencia con la edad y las condiciones físicas de la población infantil, lo que sugiere que el sistema logra ajustarse a criterios básicos de seguridad y pertinencia. Asimismo, la inclusión de los recursos visuales fue valorada positivamente, ya que permite mejorar la comprensión de los ejercicios y facilita su validación desde una perspectiva técnica. Esta observación es congruente con el alto porcentaje de aprobación obtenido en la validación clínica (sección 4.2.8).</w:t>
      </w:r>
    </w:p>
    <w:p>
      <w:pPr>
        <w:spacing w:after="200" w:line="360" w:lineRule="auto"/>
        <w:jc w:val="both"/>
      </w:pPr>
      <w:r>
        <w:t xml:space="preserve">Respecto a la usabilidad del entorno web, no se identificaron barreras significativas en la navegación, lo que indica que la interfaz presenta una estructura clara y funcional para el perfil del especialista. Esta percepción refuerza la idea de que el sistema cumple con criterios técnicos y resulta accesible para su uso en contextos profesionales. Es importante considerar, no obstante, que el número reducido de participantes en esta evaluación cualitativa (dos pediatras) limita la generalización de los resultados, por lo que futuras evaluaciones con una muestra más amplia permitirían fortalecer la validez de estos hallazgos. Esta limitación es coherente con el alcance exploratorio del estudio y se reconoce como una oportunidad para trabajos posteriores.</w:t>
      </w:r>
    </w:p>
    <w:p>
      <w:r>
        <w:br w:type="page"/>
      </w:r>
    </w:p>
    <w:p>
      <w:pPr>
        <w:pStyle w:val="Heading2"/>
        <w:jc w:val="left"/>
      </w:pPr>
      <w:r>
        <w:t xml:space="preserve">4.3 Discusión</w:t>
      </w:r>
    </w:p>
    <w:p>
      <w:pPr>
        <w:spacing w:after="200" w:line="360" w:lineRule="auto"/>
        <w:jc w:val="both"/>
      </w:pPr>
      <w:r>
        <w:t xml:space="preserve">Los resultados expuestos en la sección anterior permiten ubicar al sistema FitKids dentro del panorama actual de las aplicaciones móviles orientadas a fomentar la actividad física infantil. La discusión se organiza alrededor de cuatro ejes: la usabilidad alcanzada, la aceptación tecnológica observada, la validación clínica del contenido generado por IA y los límites del estudio.</w:t>
      </w:r>
    </w:p>
    <w:p>
      <w:pPr>
        <w:spacing w:after="200" w:line="360" w:lineRule="auto"/>
        <w:jc w:val="both"/>
      </w:pPr>
      <w:r>
        <w:t xml:space="preserve">En términos de usabilidad, la puntuación SUS de 81,17 puntos supera en más de 13 puntos la media normativa global de 68 reportada por Lewis </w:t>
      </w:r>
      <w:sdt>
        <w:sdtPr>
          <w:tag w:val="MENDELEY_CITATIONS_v3{&quot;citationID&quot;: &quot;MENDELEY_CITATION_baf76d73-70db-4975-825c-8e1af4c5c353&quot;, &quot;citationItems&quot;: [{&quot;id&quot;: &quot;0d6ecdd7-c1ee-45e3-b6fa-0f0c9907417f&quot;, &quot;itemData&quot;: {&quot;id&quot;: &quot;54f29e73-cc07-4fe5-a15f-0c55d29a8253&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4]&quot;, &quot;manualOverrideText&quot;: &quot;&quot;}}"/>
          <w:id w:val="1030"/>
        </w:sdtPr>
        <w:sdtContent>
          <w:r>
            <w:t xml:space="preserve">[4]</w:t>
          </w:r>
        </w:sdtContent>
      </w:sdt>
      <w:r>
        <w:t xml:space="preserve">, y ubica al sistema en la categoría “excelente” dentro de la escala adjetiva de Bangor, Kortum y Miller </w:t>
      </w:r>
      <w:sdt>
        <w:sdtPr>
          <w:tag w:val="MENDELEY_CITATIONS_v3{&quot;citationID&quot;: &quot;MENDELEY_CITATION_06cf983c-a653-4c25-bf3e-ba4ce9527a73&quot;, &quot;citationItems&quot;: [{&quot;id&quot;: &quot;6615b3fc-b93b-4acd-9421-cc63115f3f50&quot;, &quot;itemData&quot;: {&quot;id&quot;: &quot;7dc93b1a-1c2e-4d4d-8540-103ed557ea01&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quot;, &quot;manualOverrideText&quot;: &quot;&quot;}}"/>
          <w:id w:val="1031"/>
        </w:sdtPr>
        <w:sdtContent>
          <w:r>
            <w:t xml:space="preserve">[3]</w:t>
          </w:r>
        </w:sdtContent>
      </w:sdt>
      <w:r>
        <w:t xml:space="preserve">. Este valor es coherente con la tendencia observada en evaluaciones de aplicaciones móviles de salud infantil bien diseñadas, en las cuales la claridad de la interfaz y la retroalimentación visual son los factores más determinantes de la satisfacción del usuario </w:t>
      </w:r>
      <w:sdt>
        <w:sdtPr>
          <w:tag w:val="MENDELEY_CITATIONS_v3{&quot;citationID&quot;: &quot;MENDELEY_CITATION_549576f8-b7ef-4394-a167-1f31ba48eb2c&quot;, &quot;citationItems&quot;: [{&quot;id&quot;: &quot;90d63df5-ac5c-4433-8212-bc5985fc8ca9&quot;, &quot;itemData&quot;: {&quot;id&quot;: &quot;d9a770bf-3f8b-4fc5-8b9c-cdfa4bf96439&quot;, &quot;type&quot;: &quot;article-journal&quot;, &quot;title&quot;: &quot;mHealth Technologies to Influence Physical Activity and Sedentary Behaviors: Behavior Change Techniques, Systematic Review and Meta-Analysi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19]&quot;, &quot;manualOverrideText&quot;: &quot;&quot;}}"/>
          <w:id w:val="1032"/>
        </w:sdtPr>
        <w:sdtContent>
          <w:r>
            <w:t xml:space="preserve">[19]</w:t>
          </w:r>
        </w:sdtContent>
      </w:sdt>
      <w:r>
        <w:t xml:space="preserve">. Se considera que la incorporación de elementos como el lector de voz y la personalización dinámica de las rutinas contribuyó significativamente a este resultado, al ajustar la interacción a las características cognitivas del usuario infantil.</w:t>
      </w:r>
    </w:p>
    <w:p>
      <w:pPr>
        <w:spacing w:after="200" w:line="360" w:lineRule="auto"/>
        <w:jc w:val="both"/>
      </w:pPr>
      <w:r>
        <w:t xml:space="preserve">En cuanto a la aceptabilidad medida con el modelo TAM, los valores obtenidos (4,37 en utilidad percibida y 4,25 en facilidad de uso) reflejan una valoración alta en ambas dimensiones. Esto coincide con los hallazgos consolidados en la literatura sobre aceptación de tecnologías digitales para la salud, que reconocen la utilidad percibida como la dimensión con mayor capacidad predictiva de la intención de adopción </w:t>
      </w:r>
      <w:sdt>
        <w:sdtPr>
          <w:tag w:val="MENDELEY_CITATIONS_v3{&quot;citationID&quot;: &quot;MENDELEY_CITATION_a597919f-eb3d-42b7-87ca-38f45db919ad&quot;, &quot;citationItems&quot;: [{&quot;id&quot;: &quot;8fb00321-9316-4e22-8daa-d9d3e7295699&quot;, &quot;itemData&quot;: {&quot;id&quot;: &quot;5a21b701-b319-405d-a356-e1242cb1a4d2&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1]&quot;, &quot;manualOverrideText&quot;: &quot;&quot;}}"/>
          <w:id w:val="1033"/>
        </w:sdtPr>
        <w:sdtContent>
          <w:r>
            <w:t xml:space="preserve">[1]</w:t>
          </w:r>
        </w:sdtContent>
      </w:sdt>
      <w:r>
        <w:t xml:space="preserve">. A diferencia de propuestas previas que se centran en la recomendación de actividades preestablecidas, el sistema desarrollado integra inteligencia artificial generativa, lo que introduce un nivel adicional de personalización: la percepción de utilidad no solo depende del contenido, sino también de la capacidad del sistema para adaptarse dinámicamente a cada usuario, una característica destacada por la literatura reciente sobre IA generativa aplicada a la salud </w:t>
      </w:r>
      <w:sdt>
        <w:sdtPr>
          <w:tag w:val="MENDELEY_CITATIONS_v3{&quot;citationID&quot;: &quot;MENDELEY_CITATION_e7de82e6-9828-47e9-93bb-05f6e0824139&quot;, &quot;citationItems&quot;: [{&quot;id&quot;: &quot;feb90b9d-e675-4c17-9a5a-8d02ec3e4660&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22]&quot;, &quot;manualOverrideText&quot;: &quot;&quot;}}"/>
          <w:id w:val="1034"/>
        </w:sdtPr>
        <w:sdtContent>
          <w:r>
            <w:t xml:space="preserve">[22]</w:t>
          </w:r>
        </w:sdtContent>
      </w:sdt>
      <w:r>
        <w:t xml:space="preserve">.</w:t>
      </w:r>
    </w:p>
    <w:p>
      <w:pPr>
        <w:spacing w:after="200" w:line="360" w:lineRule="auto"/>
        <w:jc w:val="both"/>
      </w:pPr>
      <w:r>
        <w:t xml:space="preserve">La validación clínica del contenido generado por IA representa, posiblemente, el aporte más distintivo del proyecto. La tasa de aprobación del 84 % evidencia que el modelo Gemini, debidamente acotado mediante restricciones en el prompt, es capaz de producir rutinas mayoritariamente apropiadas para población infantil. Sin embargo, el 16 % de rechazos justifica plenamente la permanencia del filtro humano profesional como salvaguarda obligatoria del sistema, hallazgo que es congruente con las recomendaciones recientes de la literatura sobre el uso responsable de IA generativa en contextos sensibles </w:t>
      </w:r>
      <w:sdt>
        <w:sdtPr>
          <w:tag w:val="MENDELEY_CITATIONS_v3{&quot;citationID&quot;: &quot;MENDELEY_CITATION_3754895a-b856-4834-bb7a-fd4e39c4e227&quot;, &quot;citationItems&quot;: [{&quot;id&quot;: &quot;205d1be3-5dac-4552-92ee-84b8fb545410&quot;, &quot;itemData&quot;: {&quot;id&quot;: &quot;0ab9f14a-8b31-46f7-a2d7-aad27c321e18&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13283e10-5de0-4040-a3c4-f641e0164fd1&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6], [22]&quot;, &quot;manualOverrideText&quot;: &quot;&quot;}}"/>
          <w:id w:val="1035"/>
        </w:sdtPr>
        <w:sdtContent>
          <w:r>
            <w:t xml:space="preserve">[6], [22]</w:t>
          </w:r>
        </w:sdtContent>
      </w:sdt>
      <w:r>
        <w:t xml:space="preserve">. Esta combinación de generación automática y validación humana constituye un equilibrio razonable entre escalabilidad y seguridad, particularmente relevante cuando los usuarios finales son menores de edad.</w:t>
      </w:r>
    </w:p>
    <w:p>
      <w:pPr>
        <w:spacing w:after="200" w:line="360" w:lineRule="auto"/>
        <w:jc w:val="both"/>
      </w:pPr>
      <w:r>
        <w:t xml:space="preserve">En relación con la efectividad de la aplicación móvil para mejorar la actividad física infantil, los resultados obtenidos guardan cierta coherencia con los reportados en revisiones recientes que evidencian mejoras en los indicadores de adherencia y participación cuando los niños usan este tipo de tecnologías </w:t>
      </w:r>
      <w:sdt>
        <w:sdtPr>
          <w:tag w:val="MENDELEY_CITATIONS_v3{&quot;citationID&quot;: &quot;MENDELEY_CITATION_dcbadf8a-f74c-48c2-9535-ee52651bb0b9&quot;, &quot;citationItems&quot;: [{&quot;id&quot;: &quot;4fc0ce74-69a7-465d-810c-f66d710e3c06&quot;, &quot;itemData&quot;: {&quot;id&quot;: &quot;d9a770bf-3f8b-4fc5-8b9c-cdfa4bf96439&quot;, &quot;type&quot;: &quot;article-journal&quot;, &quot;title&quot;: &quot;mHealth Technologies to Influence Physical Activity and Sedentary Behaviors: Behavior Change Techniques, Systematic Review and Meta-Analysi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7009f4ab-adf8-4106-971a-a1f5f52e7c33&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properties&quot;: {&quot;noteIndex&quot;: 0}, &quot;isEdited&quot;: false, &quot;manualOverride&quot;: {&quot;isManuallyOverridden&quot;: false, &quot;citeprocText&quot;: &quot;[19], [20]&quot;, &quot;manualOverrideText&quot;: &quot;&quot;}}"/>
          <w:id w:val="1036"/>
        </w:sdtPr>
        <w:sdtContent>
          <w:r>
            <w:t xml:space="preserve">[19], [20]</w:t>
          </w:r>
        </w:sdtContent>
      </w:sdt>
      <w:r>
        <w:t xml:space="preserve">. No se puede ignorar, sin embargo, que dichos estudios suelen trabajar con muestras controladas y evaluaciones longitudinales, mientras que el presente proyecto se centra en la validación funcional y perceptual del sistema. Esto plantea un dilema metodológico: aunque los resultados son prometedores en términos de usabilidad y aceptación, sería necesario evaluar el impacto real del sistema sobre la condición física de los niños a lo largo del tiempo y en una muestra mayor para poder establecer conclusiones más sólidas sobre su efectividad.</w:t>
      </w:r>
    </w:p>
    <w:p>
      <w:pPr>
        <w:spacing w:after="200" w:line="360" w:lineRule="auto"/>
        <w:jc w:val="both"/>
      </w:pPr>
      <w:r>
        <w:t xml:space="preserve">Las limitaciones del estudio deben enunciarse con claridad. En primer lugar, el tamaño de la muestra (15 padres, 15 niños y dos pediatras) es apropiado para un estudio formativo de evaluación de software </w:t>
      </w:r>
      <w:sdt>
        <w:sdtPr>
          <w:tag w:val="MENDELEY_CITATIONS_v3{&quot;citationID&quot;: &quot;MENDELEY_CITATION_4008bbe2-2635-425f-8e57-c2592a4e9747&quot;, &quot;citationItems&quot;: [{&quot;id&quot;: &quot;f6a57930-59d5-44cd-b5be-53c303ee4f8a&quot;, &quot;itemData&quot;: {&quot;id&quot;: &quot;8c65dbde-071f-45b6-99cb-45425394dec1&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17]&quot;, &quot;manualOverrideText&quot;: &quot;&quot;}}"/>
          <w:id w:val="1037"/>
        </w:sdtPr>
        <w:sdtContent>
          <w:r>
            <w:t xml:space="preserve">[17]</w:t>
          </w:r>
        </w:sdtContent>
      </w:sdt>
      <w:r>
        <w:t xml:space="preserve">, pero insuficiente para extraer conclusiones generalizables sobre el impacto poblacional del sistema. En segundo lugar, la ausencia de un grupo de control impide atribuir con certeza al sistema FitKids las mejoras observadas en el cuestionario PAQ-C. En tercer lugar, el período de observación de cuatro semanas, aunque suficiente para evaluar adherencia inicial, resulta corto para apreciar cambios sostenibles en hábitos de vida. Estas limitaciones no invalidan el aporte tecnológico del proyecto, pero sí delimitan su alcance: FitKids demuestra potencial como herramienta de apoyo para fomentar la actividad física infantil, y futuras investigaciones deberán ampliar la muestra y aplicar diseños comparativos más robustos para confirmar y precisar este potencial.</w:t>
      </w:r>
    </w:p>
    <w:p>
      <w:r>
        <w:br w:type="page"/>
      </w:r>
    </w:p>
    <w:p>
      <w:pPr>
        <w:pStyle w:val="Heading2"/>
        <w:jc w:val="left"/>
      </w:pPr>
      <w:r>
        <w:t xml:space="preserve">4.4 Manual de funcionamiento</w:t>
      </w:r>
    </w:p>
    <w:p>
      <w:pPr>
        <w:spacing w:after="200" w:line="360" w:lineRule="auto"/>
        <w:jc w:val="both"/>
      </w:pPr>
      <w:r>
        <w:t xml:space="preserve">La aplicación FitKids ofrece planes de ejercicios físicos personalizados para niños, generados mediante inteligencia artificial, con el propósito de fomentar hábitos saludables y reducir el sedentarismo infantil. La aplicación permite crear rutinas adaptadas a la edad, el nivel de actividad física y los intereses del niño, además de incluir recordatorios, registro del tiempo de ejercicio y visualización del progreso. El manual de funcionamiento detallado, que comprende los procedimientos de instalación, registro, navegación y operación de los tres entornos del sistema (modo padres, modo niño y aplicación web para especialistas), se mantiene en la sección 4.4 del documento maestro y se entrega tal y como ya se encuentra en la versión actual, con las Figuras 18 a la 43 correspondientes a las pantallas reales del sistema.</w:t>
      </w:r>
    </w:p>
    <w:p>
      <w:pPr>
        <w:pBdr>
          <w:top w:val="dashed" w:sz="6" w:space="4" w:color="999999"/>
          <w:left w:val="dashed" w:sz="6" w:space="4" w:color="999999"/>
          <w:bottom w:val="dashed" w:sz="6" w:space="4" w:color="999999"/>
          <w:right w:val="dashed" w:sz="6" w:space="4" w:color="999999"/>
        </w:pBdr>
        <w:shd w:val="clear" w:color="auto" w:fill="F4F4F4"/>
        <w:spacing w:before="120" w:after="120" w:line="360" w:lineRule="auto"/>
        <w:jc w:val="center"/>
      </w:pPr>
      <w:r>
        <w:rPr>
          <w:i/>
          <w:color w:val="666666"/>
        </w:rPr>
        <w:t xml:space="preserve">[CONSERVAR AQUÍ — Sección 4.4 Manual de funcionamiento completa, con las Figuras 18 a la 43 ya presentes en el documento original. El contenido de esta sección no requiere reorganización porque su orden actual (Aplicación móvil → Interfaz padres → Interfaz modo niño → Aplicación web) es coherente y autocontenido.]</w:t>
      </w:r>
    </w:p>
    <w:p>
      <w:r>
        <w:br w:type="page"/>
      </w:r>
    </w:p>
    <w:p>
      <w:pPr>
        <w:pStyle w:val="Heading3"/>
        <w:jc w:val="left"/>
      </w:pPr>
      <w:r>
        <w:t xml:space="preserve">Referencias del Capítulo IV</w:t>
      </w:r>
    </w:p>
    <w:p>
      <w:pPr>
        <w:spacing w:after="200" w:line="360" w:lineRule="auto"/>
        <w:jc w:val="both"/>
      </w:pPr>
      <w:r>
        <w:rPr>
          <w:i/>
        </w:rPr>
        <w:t xml:space="preserve">Bibliografía gestionada por Mendeley Cite. Al abrir el documento con el plugin instalado, podrás regenerar la lista, cambiar el estilo de cita y editar las referencias. Estas referencias deben fusionarse con las del documento maestro al momento de integrar el capítulo reorganizado.</w:t>
      </w:r>
    </w:p>
    <w:sdt>
      <w:sdtPr>
        <w:tag w:val="MENDELEY_BIBLIOGRAPHY_v3{&quot;bibliographyType&quot;: &quot;MENDELEY_BIBLIOGRAPHY_v1&quot;, &quot;items&quot;: [{&quot;id&quot;: &quot;441e042a-8b7e-4504-b654-dd951d0b2b40&quot;, &quot;itemData&quot;: {&quot;id&quot;: &quot;5a21b701-b319-405d-a356-e1242cb1a4d2&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71c603fc-6160-44a3-8cab-51afb2c0435f&quot;, &quot;itemData&quot;: {&quot;id&quot;: &quot;488cdaa6-aa50-4b1c-96a8-bba689affbfc&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4ec20a12-a835-4310-b4be-3a37ea5fc890&quot;, &quot;itemData&quot;: {&quot;id&quot;: &quot;7dc93b1a-1c2e-4d4d-8540-103ed557ea01&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197ea77a-2258-4752-9961-c02803dbd97b&quot;, &quot;itemData&quot;: {&quot;id&quot;: &quot;54f29e73-cc07-4fe5-a15f-0c55d29a8253&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id&quot;: &quot;a0631248-bbf3-4c76-94c4-8eff3904716d&quot;, &quot;itemData&quot;: {&quot;id&quot;: &quot;d3f51110-c465-4101-9394-051ba4ecde97&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4d41c005-e9f0-4db5-a057-39ab42b1c359&quot;, &quot;itemData&quot;: {&quot;id&quot;: &quot;0ab9f14a-8b31-46f7-a2d7-aad27c321e18&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a8a27656-c294-424b-81a8-2f94d8181d98&quot;, &quot;itemData&quot;: {&quot;id&quot;: &quot;5cf6e478-ad7e-4ef7-811f-2745c68098d8&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662f01a4-de3f-49a4-ad78-ca5f428dfaac&quot;, &quot;itemData&quot;: {&quot;id&quot;: &quot;6e2d13e8-325c-4960-a7e3-8e4a153659f3&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id&quot;: &quot;951fc89c-bc5c-4a1c-9056-65dc27e7d3ba&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bde94402-0047-47db-b769-5bf1ef883424&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6f91fe53-5888-4b8c-b0f6-15c4fa089147&quot;, &quot;itemData&quot;: {&quot;id&quot;: &quot;8342d019-bd76-48c9-abc6-8bae8384790d&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aeadfded-2e55-44c7-93ce-58c3e8e77728&quot;, &quot;itemData&quot;: {&quot;id&quot;: &quot;23f92527-6d53-4623-8568-899eeae06215&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id&quot;: &quot;5a89e985-62f4-40b6-af69-74ebef2619a2&quot;, &quot;itemData&quot;: {&quot;id&quot;: &quot;02168209-f8d2-4e26-86ab-1c47c675d58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8f135e67-15a1-4782-a054-f10463f69b12&quot;, &quot;itemData&quot;: {&quot;id&quot;: &quot;91aded12-d1cc-4c5b-97a1-1fa62c9496f9&quot;, &quot;type&quot;: &quot;report&quot;, &quot;title&quot;: &quot;ISO/IEC/IEEE 29148:2018 — Systems and software engineering — Life cycle processes — Requirements engineering&quot;, &quot;author&quot;: [{&quot;literal&quot;: &quot;International Organization for Standardization&quot;}], &quot;publisher&quot;: &quot;ISO&quot;, &quot;publisher-place&quot;: &quot;Geneva&quot;, &quot;issued&quot;: {&quot;date-parts&quot;: [[2018]]}, &quot;URL&quot;: &quot;https://www.iso.org/standard/72089.html&quot;}}, {&quot;id&quot;: &quot;99e67af2-580c-452c-82e4-dd3314917f00&quot;, &quot;itemData&quot;: {&quot;id&quot;: &quot;3d9d4b9c-1651-4908-997e-ec001e5114af&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f064ddd1-6690-4868-a1cd-dfe51a9871e4&quot;, &quot;itemData&quot;: {&quot;id&quot;: &quot;3b84c782-81ff-4f3e-9e9f-e9f9ba539b81&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id&quot;: &quot;8ba27a8a-ca52-4005-9627-766dceb5c90b&quot;, &quot;itemData&quot;: {&quot;id&quot;: &quot;8c65dbde-071f-45b6-99cb-45425394dec1&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c621f453-da75-4892-b893-e9662d3f09a9&quot;, &quot;itemData&quot;: {&quot;id&quot;: &quot;06973623-15df-44f2-b58f-0634447f8ad3&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id&quot;: &quot;a2ec48f1-f4f4-4cd5-be81-ed001d4ced44&quot;, &quot;itemData&quot;: {&quot;id&quot;: &quot;d9a770bf-3f8b-4fc5-8b9c-cdfa4bf96439&quot;, &quot;type&quot;: &quot;article-journal&quot;, &quot;title&quot;: &quot;mHealth Technologies to Influence Physical Activity and Sedentary Behaviors: Behavior Change Techniques, Systematic Review and Meta-Analysi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8a834a4f-244f-47e0-b743-83eacdbe38a8&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id&quot;: &quot;a3296cc4-9eb9-4402-a577-64cc3fbc1c2f&quot;, &quot;itemData&quot;: {&quot;id&quot;: &quot;4a03744a-40ab-4c8d-a6d3-fcb2fd462ff6&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e0e9053b-7063-4d2e-8f69-a6b3acac68a6&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w:id w:val="1038"/>
      </w:sdtPr>
      <w:sdtContent>
        <w:p>
          <w:pPr>
            <w:spacing w:after="240" w:line="360" w:lineRule="auto"/>
            <w:ind w:left="720" w:hanging="720"/>
            <w:jc w:val="both"/>
          </w:pPr>
          <w:r>
            <w:t xml:space="preserve">[1]	F.D. Davis, “Perceived usefulness, perceived ease of use, and user acceptance of information technology,” MIS Quarterly, vol. 13, no. 3, pp. 319-340, 1989, doi: 10.2307/249008.</w:t>
          </w:r>
        </w:p>
        <w:p>
          <w:pPr>
            <w:spacing w:after="240" w:line="360" w:lineRule="auto"/>
            <w:ind w:left="720" w:hanging="720"/>
            <w:jc w:val="both"/>
          </w:pPr>
          <w:r>
            <w:t xml:space="preserve">[2]	J. Brooke, “SUS — A quick and dirty usability scale,” in Usability Evaluation in Industry, London: Taylor &amp; Francis, pp. 189-194, 1996.</w:t>
          </w:r>
        </w:p>
        <w:p>
          <w:pPr>
            <w:spacing w:after="240" w:line="360" w:lineRule="auto"/>
            <w:ind w:left="720" w:hanging="720"/>
            <w:jc w:val="both"/>
          </w:pPr>
          <w:r>
            <w:t xml:space="preserve">[3]	A. Bangor, P.T. Kortum and J.T. Miller, “An empirical evaluation of the System Usability Scale,” International Journal of Human–Computer Interaction, vol. 24, no. 6, pp. 574-594, 2008, doi: 10.1080/10447310802205776.</w:t>
          </w:r>
        </w:p>
        <w:p>
          <w:pPr>
            <w:spacing w:after="240" w:line="360" w:lineRule="auto"/>
            <w:ind w:left="720" w:hanging="720"/>
            <w:jc w:val="both"/>
          </w:pPr>
          <w:r>
            <w:t xml:space="preserve">[4]	J.R. Lewis, “The System Usability Scale: Past, present, and future,” International Journal of Human–Computer Interaction, vol. 34, no. 7, pp. 577-590, 2018, doi: 10.1080/10447318.2018.1455307.</w:t>
          </w:r>
        </w:p>
        <w:p>
          <w:pPr>
            <w:spacing w:after="240" w:line="360" w:lineRule="auto"/>
            <w:ind w:left="720" w:hanging="720"/>
            <w:jc w:val="both"/>
          </w:pPr>
          <w:r>
            <w:t xml:space="preserve">[5]	I. Sommerville, “Software Engineering,” 10th ed. Harlow, UK: Pearson, 2016, ISBN: 978-0133943030.</w:t>
          </w:r>
        </w:p>
        <w:p>
          <w:pPr>
            <w:spacing w:after="240" w:line="360" w:lineRule="auto"/>
            <w:ind w:left="720" w:hanging="720"/>
            <w:jc w:val="both"/>
          </w:pPr>
          <w:r>
            <w:t xml:space="preserve">[6]	International Organization for Standardization, “ISO/IEC 25010:2011 — Systems and software engineering — Systems and software Quality Requirements and Evaluation (SQuaRE) — System and software quality models,” ISO, Geneva, 2011. [Online]. Available: https://www.iso.org/standard/35733.html.</w:t>
          </w:r>
        </w:p>
        <w:p>
          <w:pPr>
            <w:spacing w:after="240" w:line="360" w:lineRule="auto"/>
            <w:ind w:left="720" w:hanging="720"/>
            <w:jc w:val="both"/>
          </w:pPr>
          <w:r>
            <w:t xml:space="preserve">[7]	Project Management Institute, “A Guide to the Project Management Body of Knowledge (PMBOK Guide),” 7th ed. Newtown Square, PA: PMI, 2021, ISBN: 978-1628256642.</w:t>
          </w:r>
        </w:p>
        <w:p>
          <w:pPr>
            <w:spacing w:after="240" w:line="360" w:lineRule="auto"/>
            <w:ind w:left="720" w:hanging="720"/>
            <w:jc w:val="both"/>
          </w:pPr>
          <w:r>
            <w:t xml:space="preserve">[8]	Project Management Institute, “The Standard for Earned Value Management,” PMI, Newtown Square, PA, 2019, ISBN: 978-1628256383.</w:t>
          </w:r>
        </w:p>
        <w:p>
          <w:pPr>
            <w:spacing w:after="240" w:line="360" w:lineRule="auto"/>
            <w:ind w:left="720" w:hanging="720"/>
            <w:jc w:val="both"/>
          </w:pPr>
          <w:r>
            <w:t xml:space="preserve">[9]	K. Beck, “Test-Driven Development: By Example,” Boston: Addison-Wesley, 2003, ISBN: 978-0321146533.</w:t>
          </w:r>
        </w:p>
        <w:p>
          <w:pPr>
            <w:spacing w:after="240" w:line="360" w:lineRule="auto"/>
            <w:ind w:left="720" w:hanging="720"/>
            <w:jc w:val="both"/>
          </w:pPr>
          <w:r>
            <w:t xml:space="preserve">[10]	G. Guerrero-Ulloa, M.J. Hornos and C. Rodríguez-Domínguez, “TDDM4IoTS: A test-driven development methodology for Internet of Things (IoT)-based systems,” in Applied Technologies. ICAT 2019. Communications in Computer and Information Science, Cham: Springer, vol. 1193, pp. 41-55, 2020, doi: 10.1007/978-3-030-42517-3_4.</w:t>
          </w:r>
        </w:p>
        <w:p>
          <w:pPr>
            <w:spacing w:after="240" w:line="360" w:lineRule="auto"/>
            <w:ind w:left="720" w:hanging="720"/>
            <w:jc w:val="both"/>
          </w:pPr>
          <w:r>
            <w:t xml:space="preserve">[11]	G. Guerrero-Ulloa, A. Fernández-Loor, F. Moreira, P. Novais, C. Rodríguez-Domínguez and M.J. Hornos, “Validation of a development methodology and tool for IoT-based systems through a case study for visually impaired people,” Internet of Things, vol. 23, art. 100875, 2023, doi: 10.1016/j.iot.2023.100875.</w:t>
          </w:r>
        </w:p>
        <w:p>
          <w:pPr>
            <w:spacing w:after="240" w:line="360" w:lineRule="auto"/>
            <w:ind w:left="720" w:hanging="720"/>
            <w:jc w:val="both"/>
          </w:pPr>
          <w:r>
            <w:t xml:space="preserve">[12]	Universidad Técnica Estatal de Quevedo, “Estructura y formato institucional de presentación del proyecto tecnológico en la Unidad de Integración Curricular,” UTEQ, Quevedo, Ecuador, 2024. [Online]. Available: https://www.uteq.edu.ec/.</w:t>
          </w:r>
        </w:p>
        <w:p>
          <w:pPr>
            <w:spacing w:after="240" w:line="360" w:lineRule="auto"/>
            <w:ind w:left="720" w:hanging="720"/>
            <w:jc w:val="both"/>
          </w:pPr>
          <w:r>
            <w:t xml:space="preserve">[13]	O.C.Z. Gotel and A.C.W. Finkelstein, “An analysis of the requirements traceability problem,” in Proceedings of the IEEE International Conference on Requirements Engineering, Colorado Springs, CO: IEEE, pp. 94-101, 1994, doi: 10.1109/ICRE.1994.292398.</w:t>
          </w:r>
        </w:p>
        <w:p>
          <w:pPr>
            <w:spacing w:after="240" w:line="360" w:lineRule="auto"/>
            <w:ind w:left="720" w:hanging="720"/>
            <w:jc w:val="both"/>
          </w:pPr>
          <w:r>
            <w:t xml:space="preserve">[14]	International Organization for Standardization, “ISO/IEC/IEEE 29148:2018 — Systems and software engineering — Life cycle processes — Requirements engineering,” ISO, Geneva, 2018. [Online]. Available: https://www.iso.org/standard/72089.html.</w:t>
          </w:r>
        </w:p>
        <w:p>
          <w:pPr>
            <w:spacing w:after="240" w:line="360" w:lineRule="auto"/>
            <w:ind w:left="720" w:hanging="720"/>
            <w:jc w:val="both"/>
          </w:pPr>
          <w:r>
            <w:t xml:space="preserve">[15]	P.R.E. Crocker, D.A. Bailey, R.A. Faulkner, K.C. Kowalski and R. McGrath, “Measuring general levels of physical activity: preliminary evidence for the Physical Activity Questionnaire for Older Children,” Medicine &amp; Science in Sports &amp; Exercise, vol. 29, no. 10, pp. 1344-1349, 1997, doi: 10.1097/00005768-199710000-00011.</w:t>
          </w:r>
        </w:p>
        <w:p>
          <w:pPr>
            <w:spacing w:after="240" w:line="360" w:lineRule="auto"/>
            <w:ind w:left="720" w:hanging="720"/>
            <w:jc w:val="both"/>
          </w:pPr>
          <w:r>
            <w:t xml:space="preserve">[16]	M. de Onis, A.W. Onyango, E. Borghi, A. Siyam, C. Nishida and J. Siekmann, “Development of a WHO growth reference for school-aged children and adolescents,” Bulletin of the World Health Organization, vol. 85, no. 9, pp. 660-667, 2007, doi: 10.2471/BLT.07.043497.</w:t>
          </w:r>
        </w:p>
        <w:p>
          <w:pPr>
            <w:spacing w:after="240" w:line="360" w:lineRule="auto"/>
            <w:ind w:left="720" w:hanging="720"/>
            <w:jc w:val="both"/>
          </w:pPr>
          <w:r>
            <w:t xml:space="preserve">[17]	C. Putnam et al., “Adapting user experience research methods for evaluating user experience with children,” in Proceedings of the Interaction Design and Children Conference (IDC '20), New York, NY: ACM, pp. 401-413, 2020, doi: 10.1145/3392063.3394434.</w:t>
          </w:r>
        </w:p>
        <w:p>
          <w:pPr>
            <w:spacing w:after="240" w:line="360" w:lineRule="auto"/>
            <w:ind w:left="720" w:hanging="720"/>
            <w:jc w:val="both"/>
          </w:pPr>
          <w:r>
            <w:t xml:space="preserve">[18]	F.C. Bull et al., “World Health Organization 2020 guidelines on physical activity and sedentary behaviour,” British Journal of Sports Medicine, vol. 54, no. 24, pp. 1451-1462, 2020, doi: 10.1136/bjsports-2020-102955.</w:t>
          </w:r>
        </w:p>
        <w:p>
          <w:pPr>
            <w:spacing w:after="240" w:line="360" w:lineRule="auto"/>
            <w:ind w:left="720" w:hanging="720"/>
            <w:jc w:val="both"/>
          </w:pPr>
          <w:r>
            <w:t xml:space="preserve">[19]	A. Direito, E. Carraça, J. Rawstorn, R. Whittaker and R. Maddison, “mHealth Technologies to Influence Physical Activity and Sedentary Behaviors: Behavior Change Techniques, Systematic Review and Meta-Analysis,” Annals of Behavioral Medicine, vol. 51, no. 2, pp. 226-239, 2017, doi: 10.1007/s12160-016-9846-0.</w:t>
          </w:r>
        </w:p>
        <w:p>
          <w:pPr>
            <w:spacing w:after="240" w:line="360" w:lineRule="auto"/>
            <w:ind w:left="720" w:hanging="720"/>
            <w:jc w:val="both"/>
          </w:pPr>
          <w:r>
            <w:t xml:space="preserve">[20]	C. Müller et al., “Methods for Increasing Physical Activity Adherence in Children and Adolescents: A Scoping Review,” JMIR mHealth and uHealth, vol. 12, art. e54669, 2024, doi: 10.2196/54669.</w:t>
          </w:r>
        </w:p>
        <w:p>
          <w:pPr>
            <w:spacing w:after="240" w:line="360" w:lineRule="auto"/>
            <w:ind w:left="720" w:hanging="720"/>
            <w:jc w:val="both"/>
          </w:pPr>
          <w:r>
            <w:t xml:space="preserve">[21]	J. Nielsen, “Enhancing the explanatory power of usability heuristics,” in Proceedings of the SIGCHI Conference on Human Factors in Computing Systems (CHI '94), New York, NY: ACM, pp. 152-158, 1994, doi: 10.1145/191666.191729.</w:t>
          </w:r>
        </w:p>
        <w:p>
          <w:pPr>
            <w:spacing w:after="240" w:line="360" w:lineRule="auto"/>
            <w:ind w:left="720" w:hanging="720"/>
            <w:jc w:val="both"/>
          </w:pPr>
          <w:r>
            <w:t xml:space="preserve">[22]	A. Bandi, P.V.S.R. Adapa and Y.E.V.P.K. Kuchi, “The Power of Generative AI: A Review of Requirements, Models, Input–Output Formats, Evaluation Metrics, and Challenges,” Future Internet, vol. 15, no. 8, art. 260, 2023, doi: 10.3390/fi15080260.</w:t>
          </w:r>
        </w:p>
      </w:sdtContent>
    </w:sdt>
    <w:sectPr>
      <w:pgSz w:w="11906" w:h="16838"/>
      <w:pgMar w:top="1418" w:right="1418" w:bottom="1418" w:left="1701" w:header="708" w:footer="708" w:gutter="0"/>
      <w:cols w:space="708"/>
      <w:docGrid w:linePitch="36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4"/>
      </w:rPr>
    </w:rPrDefault>
    <w:pPrDefault>
      <w:pPr>
        <w:spacing w:after="160" w:line="360" w:lineRule="auto"/>
      </w:pPr>
    </w:pPrDefault>
  </w:docDefaults>
  <w:style w:type="paragraph" w:default="1" w:styleId="Normal">
    <w:name w:val="Normal"/>
    <w:qFormat/>
  </w:style>
  <w:style w:type="paragraph" w:styleId="Heading1">
    <w:name w:val="heading 1"/>
    <w:basedOn w:val="Normal"/>
    <w:next w:val="Normal"/>
    <w:qFormat/>
    <w:pPr>
      <w:spacing w:before="320" w:after="200"/>
      <w:outlineLvl w:val="0"/>
    </w:pPr>
    <w:rPr>
      <w:b/>
      <w:sz w:val="24"/>
      <w:caps/>
    </w:rPr>
  </w:style>
  <w:style w:type="paragraph" w:styleId="Heading2">
    <w:name w:val="heading 2"/>
    <w:basedOn w:val="Normal"/>
    <w:next w:val="Normal"/>
    <w:qFormat/>
    <w:pPr>
      <w:spacing w:before="280" w:after="180"/>
      <w:outlineLvl w:val="1"/>
    </w:pPr>
    <w:rPr>
      <w:b/>
      <w:sz w:val="24"/>
    </w:rPr>
  </w:style>
  <w:style w:type="paragraph" w:styleId="Heading3">
    <w:name w:val="heading 3"/>
    <w:basedOn w:val="Normal"/>
    <w:next w:val="Normal"/>
    <w:qFormat/>
    <w:pPr>
      <w:spacing w:before="240" w:after="160"/>
      <w:outlineLvl w:val="2"/>
    </w:pPr>
    <w:rPr>
      <w:b/>
      <w:i/>
      <w:sz w:val="24"/>
    </w:rPr>
  </w:style>
  <w:style w:type="paragraph" w:styleId="Heading4">
    <w:name w:val="heading 4"/>
    <w:basedOn w:val="Normal"/>
    <w:next w:val="Normal"/>
    <w:qFormat/>
    <w:pPr>
      <w:spacing w:before="200" w:after="140"/>
      <w:outlineLvl w:val="3"/>
    </w:pPr>
    <w:rPr>
      <w:b/>
      <w:i/>
      <w:sz w:val="24"/>
    </w:rPr>
  </w:style>
  <w:style w:type="paragraph" w:styleId="Heading5">
    <w:name w:val="heading 5"/>
    <w:basedOn w:val="Normal"/>
    <w:next w:val="Normal"/>
    <w:qFormat/>
    <w:pPr>
      <w:spacing w:before="180" w:after="120"/>
      <w:outlineLvl w:val="4"/>
    </w:pPr>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Capitulo IV Reorganizado - FitKids</dc:title>
  <dc:creator>Claude</dc:creator>
  <cp:lastModifiedBy>Claude</cp:lastModifiedBy>
  <dcterms:created xsi:type="dcterms:W3CDTF">2026-05-07T04:49:20Z</dcterms:created>
  <dcterms:modified xsi:type="dcterms:W3CDTF">2026-05-07T04:49:20Z</dcterms:modified>
</cp:coreProperties>
</file>