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2"/>
        <w:jc w:val="left"/>
      </w:pPr>
      <w:r>
        <w:t xml:space="preserve">3.5 Indicadores de evaluación</w:t>
      </w:r>
    </w:p>
    <w:p>
      <w:pPr>
        <w:spacing w:after="200" w:line="360" w:lineRule="auto"/>
        <w:jc w:val="both"/>
      </w:pPr>
      <w:r>
        <w:t xml:space="preserve">De acuerdo con el reglamento institucional para el Proyecto Tecnológico en la Unidad de Integración Curricular de la Universidad Técnica Estatal de Quevedo, esta sección describe las pruebas a las que fue sometido el sistema, ofrece un análisis crítico del producto obtenido y registra las modificaciones y mejoras adoptadas durante el proceso de verificación y validación </w:t>
      </w:r>
      <w:sdt>
        <w:sdtPr>
          <w:tag w:val="MENDELEY_CITATIONS_v3{&quot;citationID&quot;: &quot;MENDELEY_CITATION_9dae6453-2280-48e6-ab3f-fcfc2eb293b0&quot;, &quot;citationItems&quot;: [{&quot;id&quot;: &quot;85d91139-86e5-40e8-9eab-7a870a3909c4&quot;, &quot;itemData&quot;: {&quot;id&quot;: &quot;8eddf26c-b179-4c31-b876-6bf861a825ba&quot;, &quot;type&quot;: &quot;report&quot;, &quot;title&quot;: &quot;Estructura y formato institucional de presentación del proyecto tecnológico en la Unidad de Integración Curricular&quot;, &quot;author&quot;: [{&quot;literal&quot;: &quot;Universidad Técnica Estatal de Quevedo&quot;}], &quot;publisher&quot;: &quot;UTEQ&quot;, &quot;publisher-place&quot;: &quot;Quevedo, Ecuador&quot;, &quot;issued&quot;: {&quot;date-parts&quot;: [[2024]]}, &quot;URL&quot;: &quot;https://www.uteq.edu.ec/&quot;}}], &quot;properties&quot;: {&quot;noteIndex&quot;: 0}, &quot;isEdited&quot;: false, &quot;manualOverride&quot;: {&quot;isManuallyOverridden&quot;: false, &quot;citeprocText&quot;: &quot;[13]&quot;, &quot;manualOverrideText&quot;: &quot;&quot;}}"/>
          <w:id w:val="1001"/>
        </w:sdtPr>
        <w:sdtContent>
          <w:r>
            <w:t xml:space="preserve">[13]</w:t>
          </w:r>
        </w:sdtContent>
      </w:sdt>
      <w:r>
        <w:t xml:space="preserve">. En consecuencia, los indicadores que se reportan a continuación se han seleccionado entre los recomendados por el reglamento (cumplimiento de cronograma, presupuesto, alcance, calidad, satisfacción del usuario, adopción tecnológica, rendimiento del sistema y mantenibilidad) </w:t>
      </w:r>
      <w:sdt>
        <w:sdtPr>
          <w:tag w:val="MENDELEY_CITATIONS_v3{&quot;citationID&quot;: &quot;MENDELEY_CITATION_88e65869-2f2b-43df-bb40-66316966303d&quot;, &quot;citationItems&quot;: [{&quot;id&quot;: &quot;2de7fec2-2b35-4750-9ec7-adecc1424804&quot;, &quot;itemData&quot;: {&quot;id&quot;: &quot;48246fba-e19f-4d8a-9c5e-bc9a804057f7&quot;, &quot;type&quot;: &quot;book&quot;, &quot;title&quot;: &quot;A Guide to the Project Management Body of Knowledge (PMBOK Guide)&quot;, &quot;author&quot;: [{&quot;literal&quot;: &quot;Project Management Institute&quot;}], &quot;publisher&quot;: &quot;PMI&quot;, &quot;publisher-place&quot;: &quot;Newtown Square, PA&quot;, &quot;edition&quot;: &quot;7th&quot;, &quot;issued&quot;: {&quot;date-parts&quot;: [[2021]]}, &quot;ISBN&quot;: &quot;978-1628256642&quot;}}, {&quot;id&quot;: &quot;216539ab-1ee5-48b8-bb8b-67c9e2d3e875&quot;, &quot;itemData&quot;: {&quot;id&quot;: &quot;8eddf26c-b179-4c31-b876-6bf861a825ba&quot;, &quot;type&quot;: &quot;report&quot;, &quot;title&quot;: &quot;Estructura y formato institucional de presentación del proyecto tecnológico en la Unidad de Integración Curricular&quot;, &quot;author&quot;: [{&quot;literal&quot;: &quot;Universidad Técnica Estatal de Quevedo&quot;}], &quot;publisher&quot;: &quot;UTEQ&quot;, &quot;publisher-place&quot;: &quot;Quevedo, Ecuador&quot;, &quot;issued&quot;: {&quot;date-parts&quot;: [[2024]]}, &quot;URL&quot;: &quot;https://www.uteq.edu.ec/&quot;}}], &quot;properties&quot;: {&quot;noteIndex&quot;: 0}, &quot;isEdited&quot;: false, &quot;manualOverride&quot;: {&quot;isManuallyOverridden&quot;: false, &quot;citeprocText&quot;: &quot;[7], [13]&quot;, &quot;manualOverrideText&quot;: &quot;&quot;}}"/>
          <w:id w:val="1002"/>
        </w:sdtPr>
        <w:sdtContent>
          <w:r>
            <w:t xml:space="preserve">[7], [13]</w:t>
          </w:r>
        </w:sdtContent>
      </w:sdt>
      <w:r>
        <w:t xml:space="preserve">, complementándolos con instrumentos validados para evaluar específicamente el comportamiento de un sistema de salud digital orientado al público infantil </w:t>
      </w:r>
      <w:sdt>
        <w:sdtPr>
          <w:tag w:val="MENDELEY_CITATIONS_v3{&quot;citationID&quot;: &quot;MENDELEY_CITATION_94989e0b-32fb-423b-845c-b01b20decb3d&quot;, &quot;citationItems&quot;: [{&quot;id&quot;: &quot;00c4d193-6367-482e-88cc-eb497e4927af&quot;, &quot;itemData&quot;: {&quot;id&quot;: &quot;6ab1ef45-cecb-4e1b-82ad-749b6b7b446d&quot;, &quot;type&quot;: &quot;article-journal&quot;, &quot;title&quot;: &quot;Perceived usefulness, perceived ease of use, and user acceptance of information technology&quot;, &quot;author&quot;: [{&quot;family&quot;: &quot;Davis&quot;, &quot;given&quot;: &quot;Fred D.&quot;}], &quot;container-title&quot;: &quot;MIS Quarterly&quot;, &quot;volume&quot;: &quot;13&quot;, &quot;issue&quot;: &quot;3&quot;, &quot;page&quot;: &quot;319-340&quot;, &quot;issued&quot;: {&quot;date-parts&quot;: [[1989, 9]]}, &quot;DOI&quot;: &quot;10.2307/249008&quot;}}, {&quot;id&quot;: &quot;9d30c50b-fcb0-4f30-bfed-d80d478c652e&quot;, &quot;itemData&quot;: {&quot;id&quot;: &quot;f1ce6861-89e8-45de-aca9-10e5d77aa01a&quot;, &quot;type&quot;: &quot;article-journal&quot;, &quot;title&quot;: &quot;Barriers and facilitators to young children's physical activity and sedentary behaviour: a systematic review and synthesis of qualitative literature&quot;, &quot;author&quot;: [{&quot;family&quot;: &quot;Hesketh&quot;, &quot;given&quot;: &quot;Kathryn R.&quot;}, {&quot;family&quot;: &quot;Lakshman&quot;, &quot;given&quot;: &quot;Rajalakshmi&quot;}, {&quot;family&quot;: &quot;van Sluijs&quot;, &quot;given&quot;: &quot;Esther M. F.&quot;}], &quot;container-title&quot;: &quot;Obesity Reviews&quot;, &quot;volume&quot;: &quot;18&quot;, &quot;issue&quot;: &quot;9&quot;, &quot;page&quot;: &quot;987-1017&quot;, &quot;issued&quot;: {&quot;date-parts&quot;: [[2017, 9]]}, &quot;DOI&quot;: &quot;10.1111/obr.12562&quot;}}], &quot;properties&quot;: {&quot;noteIndex&quot;: 0}, &quot;isEdited&quot;: false, &quot;manualOverride&quot;: {&quot;isManuallyOverridden&quot;: false, &quot;citeprocText&quot;: &quot;[2], [14]&quot;, &quot;manualOverrideText&quot;: &quot;&quot;}}"/>
          <w:id w:val="1003"/>
        </w:sdtPr>
        <w:sdtContent>
          <w:r>
            <w:t xml:space="preserve">[2], [14]</w:t>
          </w:r>
        </w:sdtContent>
      </w:sdt>
      <w:r>
        <w:t xml:space="preserve">.</w:t>
      </w:r>
    </w:p>
    <w:p>
      <w:pPr>
        <w:spacing w:after="200" w:line="360" w:lineRule="auto"/>
        <w:jc w:val="both"/>
      </w:pPr>
      <w:r>
        <w:t xml:space="preserve">La evaluación del sistema FitKids contempla, de forma articulada, dos planos: un plano de verificación, orientado a comprobar que el producto cumple con las especificaciones técnicas y funcionales declaradas (pruebas unitarias, pruebas de integración, pruebas de cumplimiento de requisitos), y un plano de validación, dirigido a confirmar que el sistema satisface las necesidades reales de los usuarios finales y resuelve el problema planteado </w:t>
      </w:r>
      <w:sdt>
        <w:sdtPr>
          <w:tag w:val="MENDELEY_CITATIONS_v3{&quot;citationID&quot;: &quot;MENDELEY_CITATION_dfbefe45-929f-4289-a53d-9f83ebf07217&quot;, &quot;citationItems&quot;: [{&quot;id&quot;: &quot;760f925c-1082-4857-b76a-0aadbf1c4b8e&quot;, &quot;itemData&quot;: {&quot;id&quot;: &quot;4db060b6-089a-41b1-84cf-d5a887e08c72&quot;, &quot;type&quot;: &quot;book&quot;, &quot;title&quot;: &quot;Software Engineering&quot;, &quot;author&quot;: [{&quot;family&quot;: &quot;Sommerville&quot;, &quot;given&quot;: &quot;Ian&quot;}], &quot;publisher&quot;: &quot;Pearson&quot;, &quot;publisher-place&quot;: &quot;Harlow, UK&quot;, &quot;edition&quot;: &quot;10th&quot;, &quot;issued&quot;: {&quot;date-parts&quot;: [[2016]]}, &quot;ISBN&quot;: &quot;978-0133943030&quot;}}, {&quot;id&quot;: &quot;8777da3d-71fb-42b4-a51d-8bb02bf7d280&quot;, &quot;itemData&quot;: {&quot;id&quot;: &quot;48246fba-e19f-4d8a-9c5e-bc9a804057f7&quot;, &quot;type&quot;: &quot;book&quot;, &quot;title&quot;: &quot;A Guide to the Project Management Body of Knowledge (PMBOK Guide)&quot;, &quot;author&quot;: [{&quot;literal&quot;: &quot;Project Management Institute&quot;}], &quot;publisher&quot;: &quot;PMI&quot;, &quot;publisher-place&quot;: &quot;Newtown Square, PA&quot;, &quot;edition&quot;: &quot;7th&quot;, &quot;issued&quot;: {&quot;date-parts&quot;: [[2021]]}, &quot;ISBN&quot;: &quot;978-1628256642&quot;}}], &quot;properties&quot;: {&quot;noteIndex&quot;: 0}, &quot;isEdited&quot;: false, &quot;manualOverride&quot;: {&quot;isManuallyOverridden&quot;: false, &quot;citeprocText&quot;: &quot;[6], [7]&quot;, &quot;manualOverrideText&quot;: &quot;&quot;}}"/>
          <w:id w:val="1004"/>
        </w:sdtPr>
        <w:sdtContent>
          <w:r>
            <w:t xml:space="preserve">[6], [7]</w:t>
          </w:r>
        </w:sdtContent>
      </w:sdt>
      <w:r>
        <w:t xml:space="preserve">. Esta distinción es coherente con el modelo de calidad de producto de software propuesto por la norma ISO/IEC 25010, que separa la calidad interna y externa del producto de la calidad en uso percibida por sus usuarios </w:t>
      </w:r>
      <w:sdt>
        <w:sdtPr>
          <w:tag w:val="MENDELEY_CITATIONS_v3{&quot;citationID&quot;: &quot;MENDELEY_CITATION_e41353b2-1294-47ef-abe4-106d9e6257c6&quot;, &quot;citationItems&quot;: [{&quot;id&quot;: &quot;ae154224-7c7c-4cd3-8a46-46401d0c7542&quot;, &quot;itemData&quot;: {&quot;id&quot;: &quot;9e5824ff-188e-4710-8a77-c831cb6ffe08&quot;, &quot;type&quot;: &quot;report&quot;, &quot;title&quot;: &quot;ISO/IEC 25010:2011 — Systems and software engineering — Systems and software Quality Requirements and Evaluation (SQuaRE) — System and software quality models&quot;, &quot;author&quot;: [{&quot;literal&quot;: &quot;International Organization for Standardization&quot;}], &quot;publisher&quot;: &quot;ISO&quot;, &quot;publisher-place&quot;: &quot;Geneva&quot;, &quot;issued&quot;: {&quot;date-parts&quot;: [[2011]]}, &quot;URL&quot;: &quot;https://www.iso.org/standard/35733.html&quot;}}], &quot;properties&quot;: {&quot;noteIndex&quot;: 0}, &quot;isEdited&quot;: false, &quot;manualOverride&quot;: {&quot;isManuallyOverridden&quot;: false, &quot;citeprocText&quot;: &quot;[1]&quot;, &quot;manualOverrideText&quot;: &quot;&quot;}}"/>
          <w:id w:val="1005"/>
        </w:sdtPr>
        <w:sdtContent>
          <w:r>
            <w:t xml:space="preserve">[1]</w:t>
          </w:r>
        </w:sdtContent>
      </w:sdt>
      <w:r>
        <w:t xml:space="preserve">, y se alinea con la fase de evaluación de entregables establecida por la metodología TDDM4IoTS adoptada en el presente proyecto </w:t>
      </w:r>
      <w:sdt>
        <w:sdtPr>
          <w:tag w:val="MENDELEY_CITATIONS_v3{&quot;citationID&quot;: &quot;MENDELEY_CITATION_56a3120e-ed15-443b-8bc1-c76aedd6e908&quot;, &quot;citationItems&quot;: [{&quot;id&quot;: &quot;b2c12094-694f-4afe-92cb-61a73177e7ec&quot;, &quot;itemData&quot;: {&quot;id&quot;: &quot;bb84c198-fdf0-424c-a6de-c447d43d3681&quot;, &quot;type&quot;: &quot;paper-conference&quot;, &quot;title&quot;: &quot;TDDM4IoTS: A test-driven development methodology for Internet of Things (IoT)-based systems&quot;, &quot;author&quot;: [{&quot;family&quot;: &quot;Guerrero-Ulloa&quot;, &quot;given&quot;: &quot;Gleiston&quot;}, {&quot;family&quot;: &quot;Hornos&quot;, &quot;given&quot;: &quot;Miguel J.&quot;}, {&quot;family&quot;: &quot;Rodríguez-Domínguez&quot;, &quot;given&quot;: &quot;Carlos&quot;}], &quot;container-title&quot;: &quot;Applied Technologies. ICAT 2019. Communications in Computer and Information Science&quot;, &quot;volume&quot;: &quot;1193&quot;, &quot;page&quot;: &quot;41-55&quot;, &quot;publisher&quot;: &quot;Springer&quot;, &quot;publisher-place&quot;: &quot;Cham&quot;, &quot;issued&quot;: {&quot;date-parts&quot;: [[2020]]}, &quot;DOI&quot;: &quot;10.1007/978-3-030-42517-3_4&quot;}}, {&quot;id&quot;: &quot;e79ca669-2ddf-4006-94ae-21d33e305c2e&quot;, &quot;itemData&quot;: {&quot;id&quot;: &quot;8e65d211-8b2a-40b6-8c85-b84a2e897d00&quot;, &quot;type&quot;: &quot;article-journal&quot;, &quot;title&quot;: &quot;Validation of a development methodology and tool for IoT-based systems through a case study for visually impaired people&quot;, &quot;author&quot;: [{&quot;family&quot;: &quot;Guerrero-Ulloa&quot;, &quot;given&quot;: &quot;Gleiston&quot;}, {&quot;family&quot;: &quot;Fernández-Loor&quot;, &quot;given&quot;: &quot;Ariel&quot;}, {&quot;family&quot;: &quot;Moreira&quot;, &quot;given&quot;: &quot;Francisco&quot;}, {&quot;family&quot;: &quot;Novais&quot;, &quot;given&quot;: &quot;Paulo&quot;}, {&quot;family&quot;: &quot;Rodríguez-Domínguez&quot;, &quot;given&quot;: &quot;Carlos&quot;}, {&quot;family&quot;: &quot;Hornos&quot;, &quot;given&quot;: &quot;Miguel J.&quot;}], &quot;container-title&quot;: &quot;Internet of Things&quot;, &quot;volume&quot;: &quot;23&quot;, &quot;page&quot;: &quot;100875&quot;, &quot;issued&quot;: {&quot;date-parts&quot;: [[2023, 10]]}, &quot;DOI&quot;: &quot;10.1016/j.iot.2023.100875&quot;}}], &quot;properties&quot;: {&quot;noteIndex&quot;: 0}, &quot;isEdited&quot;: false, &quot;manualOverride&quot;: {&quot;isManuallyOverridden&quot;: false, &quot;citeprocText&quot;: &quot;[11], [12]&quot;, &quot;manualOverrideText&quot;: &quot;&quot;}}"/>
          <w:id w:val="1006"/>
        </w:sdtPr>
        <w:sdtContent>
          <w:r>
            <w:t xml:space="preserve">[11], [12]</w:t>
          </w:r>
        </w:sdtContent>
      </w:sdt>
      <w:r>
        <w:t xml:space="preserve">.</w:t>
      </w:r>
    </w:p>
    <w:p>
      <w:pPr>
        <w:pStyle w:val="Heading3"/>
        <w:jc w:val="left"/>
      </w:pPr>
      <w:r>
        <w:t xml:space="preserve">3.5.1 Categorías de indicadores adoptadas</w:t>
      </w:r>
    </w:p>
    <w:p>
      <w:pPr>
        <w:spacing w:after="200" w:line="360" w:lineRule="auto"/>
        <w:jc w:val="both"/>
      </w:pPr>
      <w:r>
        <w:t xml:space="preserve">Para una evaluación integral del proyecto se adoptan tres categorías complementarias de indicadores, cuya elección obedece tanto a las directrices del reglamento institucional como a la naturaleza del producto desarrollado </w:t>
      </w:r>
      <w:sdt>
        <w:sdtPr>
          <w:tag w:val="MENDELEY_CITATIONS_v3{&quot;citationID&quot;: &quot;MENDELEY_CITATION_f5225e90-83a3-4b3f-a41a-58770787f949&quot;, &quot;citationItems&quot;: [{&quot;id&quot;: &quot;87198330-b2f6-4531-ac20-972eaa326c84&quot;, &quot;itemData&quot;: {&quot;id&quot;: &quot;48246fba-e19f-4d8a-9c5e-bc9a804057f7&quot;, &quot;type&quot;: &quot;book&quot;, &quot;title&quot;: &quot;A Guide to the Project Management Body of Knowledge (PMBOK Guide)&quot;, &quot;author&quot;: [{&quot;literal&quot;: &quot;Project Management Institute&quot;}], &quot;publisher&quot;: &quot;PMI&quot;, &quot;publisher-place&quot;: &quot;Newtown Square, PA&quot;, &quot;edition&quot;: &quot;7th&quot;, &quot;issued&quot;: {&quot;date-parts&quot;: [[2021]]}, &quot;ISBN&quot;: &quot;978-1628256642&quot;}}, {&quot;id&quot;: &quot;5e77c91a-a081-4b4e-ad55-8c9fd5fcd7bf&quot;, &quot;itemData&quot;: {&quot;id&quot;: &quot;8eddf26c-b179-4c31-b876-6bf861a825ba&quot;, &quot;type&quot;: &quot;report&quot;, &quot;title&quot;: &quot;Estructura y formato institucional de presentación del proyecto tecnológico en la Unidad de Integración Curricular&quot;, &quot;author&quot;: [{&quot;literal&quot;: &quot;Universidad Técnica Estatal de Quevedo&quot;}], &quot;publisher&quot;: &quot;UTEQ&quot;, &quot;publisher-place&quot;: &quot;Quevedo, Ecuador&quot;, &quot;issued&quot;: {&quot;date-parts&quot;: [[2024]]}, &quot;URL&quot;: &quot;https://www.uteq.edu.ec/&quot;}}], &quot;properties&quot;: {&quot;noteIndex&quot;: 0}, &quot;isEdited&quot;: false, &quot;manualOverride&quot;: {&quot;isManuallyOverridden&quot;: false, &quot;citeprocText&quot;: &quot;[7], [13]&quot;, &quot;manualOverrideText&quot;: &quot;&quot;}}"/>
          <w:id w:val="1007"/>
        </w:sdtPr>
        <w:sdtContent>
          <w:r>
            <w:t xml:space="preserve">[7], [13]</w:t>
          </w:r>
        </w:sdtContent>
      </w:sdt>
      <w:r>
        <w:t xml:space="preserve">:</w:t>
      </w:r>
    </w:p>
    <w:p>
      <w:pPr>
        <w:numPr>
          <w:ilvl w:val="0"/>
          <w:numId w:val="1"/>
        </w:numPr>
        <w:spacing w:after="160" w:line="360" w:lineRule="auto"/>
        <w:jc w:val="both"/>
      </w:pPr>
      <w:r>
        <w:rPr>
          <w:b/>
        </w:rPr>
        <w:t xml:space="preserve">Indicadores de gestión del proyecto: </w:t>
      </w:r>
      <w:r>
        <w:t xml:space="preserve">comprenden el cumplimiento del alcance, del cronograma y del presupuesto. Permiten verificar que la ejecución se ajustó a lo planificado, en correspondencia con las prácticas estándar de gestión de proyectos </w:t>
      </w:r>
      <w:sdt>
        <w:sdtPr>
          <w:tag w:val="MENDELEY_CITATIONS_v3{&quot;citationID&quot;: &quot;MENDELEY_CITATION_cf4e9bb5-7c97-4f81-9ad6-7d3ba3c4bbe5&quot;, &quot;citationItems&quot;: [{&quot;id&quot;: &quot;6698d0ea-7fb3-48c9-a28b-0ff351201edb&quot;, &quot;itemData&quot;: {&quot;id&quot;: &quot;48246fba-e19f-4d8a-9c5e-bc9a804057f7&quot;, &quot;type&quot;: &quot;book&quot;, &quot;title&quot;: &quot;A Guide to the Project Management Body of Knowledge (PMBOK Guide)&quot;, &quot;author&quot;: [{&quot;literal&quot;: &quot;Project Management Institute&quot;}], &quot;publisher&quot;: &quot;PMI&quot;, &quot;publisher-place&quot;: &quot;Newtown Square, PA&quot;, &quot;edition&quot;: &quot;7th&quot;, &quot;issued&quot;: {&quot;date-parts&quot;: [[2021]]}, &quot;ISBN&quot;: &quot;978-1628256642&quot;}}], &quot;properties&quot;: {&quot;noteIndex&quot;: 0}, &quot;isEdited&quot;: false, &quot;manualOverride&quot;: {&quot;isManuallyOverridden&quot;: false, &quot;citeprocText&quot;: &quot;[7]&quot;, &quot;manualOverrideText&quot;: &quot;&quot;}}"/>
          <w:id w:val="1008"/>
        </w:sdtPr>
        <w:sdtContent>
          <w:r>
            <w:t xml:space="preserve">[7]</w:t>
          </w:r>
        </w:sdtContent>
      </w:sdt>
      <w:r>
        <w:t xml:space="preserve">.</w:t>
      </w:r>
    </w:p>
    <w:p>
      <w:pPr>
        <w:numPr>
          <w:ilvl w:val="0"/>
          <w:numId w:val="1"/>
        </w:numPr>
        <w:spacing w:after="160" w:line="360" w:lineRule="auto"/>
        <w:jc w:val="both"/>
      </w:pPr>
      <w:r>
        <w:rPr>
          <w:b/>
        </w:rPr>
        <w:t xml:space="preserve">Indicadores de calidad técnica del producto: </w:t>
      </w:r>
      <w:r>
        <w:t xml:space="preserve">evalúan los atributos funcionales y no funcionales del software (funcionalidad, fiabilidad, eficiencia, mantenibilidad y seguridad), tomando como marco de referencia la norma ISO/IEC 25010 </w:t>
      </w:r>
      <w:sdt>
        <w:sdtPr>
          <w:tag w:val="MENDELEY_CITATIONS_v3{&quot;citationID&quot;: &quot;MENDELEY_CITATION_baad5ee9-af52-47ee-9b37-bf308add0c28&quot;, &quot;citationItems&quot;: [{&quot;id&quot;: &quot;ae5fe59b-9837-4ac0-a954-6894f70ab8cf&quot;, &quot;itemData&quot;: {&quot;id&quot;: &quot;9e5824ff-188e-4710-8a77-c831cb6ffe08&quot;, &quot;type&quot;: &quot;report&quot;, &quot;title&quot;: &quot;ISO/IEC 25010:2011 — Systems and software engineering — Systems and software Quality Requirements and Evaluation (SQuaRE) — System and software quality models&quot;, &quot;author&quot;: [{&quot;literal&quot;: &quot;International Organization for Standardization&quot;}], &quot;publisher&quot;: &quot;ISO&quot;, &quot;publisher-place&quot;: &quot;Geneva&quot;, &quot;issued&quot;: {&quot;date-parts&quot;: [[2011]]}, &quot;URL&quot;: &quot;https://www.iso.org/standard/35733.html&quot;}}], &quot;properties&quot;: {&quot;noteIndex&quot;: 0}, &quot;isEdited&quot;: false, &quot;manualOverride&quot;: {&quot;isManuallyOverridden&quot;: false, &quot;citeprocText&quot;: &quot;[1]&quot;, &quot;manualOverrideText&quot;: &quot;&quot;}}"/>
          <w:id w:val="1009"/>
        </w:sdtPr>
        <w:sdtContent>
          <w:r>
            <w:t xml:space="preserve">[1]</w:t>
          </w:r>
        </w:sdtContent>
      </w:sdt>
      <w:r>
        <w:t xml:space="preserve"> y operacionalizándolos mediante pruebas unitarias, pruebas de integración y verificación del cumplimiento de requisitos.</w:t>
      </w:r>
    </w:p>
    <w:p>
      <w:pPr>
        <w:numPr>
          <w:ilvl w:val="0"/>
          <w:numId w:val="1"/>
        </w:numPr>
        <w:spacing w:after="160" w:line="360" w:lineRule="auto"/>
        <w:jc w:val="both"/>
      </w:pPr>
      <w:r>
        <w:rPr>
          <w:b/>
        </w:rPr>
        <w:t xml:space="preserve">Indicadores de calidad en uso: </w:t>
      </w:r>
      <w:r>
        <w:t xml:space="preserve">miden la aceptación, la usabilidad y la pertinencia del sistema desde la perspectiva de los usuarios finales, mediante instrumentos ampliamente validados como el Modelo de Aceptación Tecnológica (TAM) </w:t>
      </w:r>
      <w:sdt>
        <w:sdtPr>
          <w:tag w:val="MENDELEY_CITATIONS_v3{&quot;citationID&quot;: &quot;MENDELEY_CITATION_88a2ec9a-1857-4417-9d81-0b595aeafc88&quot;, &quot;citationItems&quot;: [{&quot;id&quot;: &quot;bb732286-4479-4b01-99ff-b981405749d5&quot;, &quot;itemData&quot;: {&quot;id&quot;: &quot;6ab1ef45-cecb-4e1b-82ad-749b6b7b446d&quot;, &quot;type&quot;: &quot;article-journal&quot;, &quot;title&quot;: &quot;Perceived usefulness, perceived ease of use, and user acceptance of information technology&quot;, &quot;author&quot;: [{&quot;family&quot;: &quot;Davis&quot;, &quot;given&quot;: &quot;Fred D.&quot;}], &quot;container-title&quot;: &quot;MIS Quarterly&quot;, &quot;volume&quot;: &quot;13&quot;, &quot;issue&quot;: &quot;3&quot;, &quot;page&quot;: &quot;319-340&quot;, &quot;issued&quot;: {&quot;date-parts&quot;: [[1989, 9]]}, &quot;DOI&quot;: &quot;10.2307/249008&quot;}}, {&quot;id&quot;: &quot;a7da0fbe-87a3-4fd8-b13b-3d3377bce56d&quot;, &quot;itemData&quot;: {&quot;id&quot;: &quot;3ab61c3c-4a7d-4435-923f-3b74b7b5469b&quot;, &quot;type&quot;: &quot;article-journal&quot;, &quot;title&quot;: &quot;User acceptance of information technology: Toward a unified view&quot;, &quot;author&quot;: [{&quot;family&quot;: &quot;Venkatesh&quot;, &quot;given&quot;: &quot;Viswanath&quot;}, {&quot;family&quot;: &quot;Morris&quot;, &quot;given&quot;: &quot;Michael G.&quot;}, {&quot;family&quot;: &quot;Davis&quot;, &quot;given&quot;: &quot;Gordon B.&quot;}, {&quot;family&quot;: &quot;Davis&quot;, &quot;given&quot;: &quot;Fred D.&quot;}], &quot;container-title&quot;: &quot;MIS Quarterly&quot;, &quot;volume&quot;: &quot;27&quot;, &quot;issue&quot;: &quot;3&quot;, &quot;page&quot;: &quot;425-478&quot;, &quot;issued&quot;: {&quot;date-parts&quot;: [[2003, 9]]}, &quot;DOI&quot;: &quot;10.2307/30036540&quot;}}], &quot;properties&quot;: {&quot;noteIndex&quot;: 0}, &quot;isEdited&quot;: false, &quot;manualOverride&quot;: {&quot;isManuallyOverridden&quot;: false, &quot;citeprocText&quot;: &quot;[2], [9]&quot;, &quot;manualOverrideText&quot;: &quot;&quot;}}"/>
          <w:id w:val="1010"/>
        </w:sdtPr>
        <w:sdtContent>
          <w:r>
            <w:t xml:space="preserve">[2], [9]</w:t>
          </w:r>
        </w:sdtContent>
      </w:sdt>
      <w:r>
        <w:t xml:space="preserve"> y la Escala de Usabilidad del Sistema (SUS) </w:t>
      </w:r>
      <w:sdt>
        <w:sdtPr>
          <w:tag w:val="MENDELEY_CITATIONS_v3{&quot;citationID&quot;: &quot;MENDELEY_CITATION_06116419-3cc4-48ab-a9cf-e228b62aaeda&quot;, &quot;citationItems&quot;: [{&quot;id&quot;: &quot;2ce19280-d8af-4d8e-9cb9-f3952056e3ef&quot;, &quot;itemData&quot;: {&quot;id&quot;: &quot;8a0be141-7ee2-4aa5-9f43-9b40bc42ab34&quot;, &quot;type&quot;: &quot;chapter&quot;, &quot;title&quot;: &quot;SUS — A quick and dirty usability scale&quot;, &quot;author&quot;: [{&quot;family&quot;: &quot;Brooke&quot;, &quot;given&quot;: &quot;John&quot;}], &quot;container-title&quot;: &quot;Usability Evaluation in Industry&quot;, &quot;publisher&quot;: &quot;Taylor &amp; Francis&quot;, &quot;publisher-place&quot;: &quot;London&quot;, &quot;page&quot;: &quot;189-194&quot;, &quot;editor&quot;: [{&quot;family&quot;: &quot;Jordan&quot;, &quot;given&quot;: &quot;Patrick W.&quot;}, {&quot;family&quot;: &quot;Thomas&quot;, &quot;given&quot;: &quot;Bruce&quot;}], &quot;issued&quot;: {&quot;date-parts&quot;: [[1996]]}, &quot;ISBN&quot;: &quot;978-0748404605&quot;}}, {&quot;id&quot;: &quot;b2e7dd15-95f2-43ba-9ab9-76e5609acde1&quot;, &quot;itemData&quot;: {&quot;id&quot;: &quot;6c2bc529-87ad-4629-80b9-d44265087116&quot;, &quot;type&quot;: &quot;article-journal&quot;, &quot;title&quot;: &quot;An empirical evaluation of the System Usability Scale&quot;, &quot;author&quot;: [{&quot;family&quot;: &quot;Bangor&quot;, &quot;given&quot;: &quot;Aaron&quot;}, {&quot;family&quot;: &quot;Kortum&quot;, &quot;given&quot;: &quot;Philip T.&quot;}, {&quot;family&quot;: &quot;Miller&quot;, &quot;given&quot;: &quot;James T.&quot;}], &quot;container-title&quot;: &quot;International Journal of Human–Computer Interaction&quot;, &quot;volume&quot;: &quot;24&quot;, &quot;issue&quot;: &quot;6&quot;, &quot;page&quot;: &quot;574-594&quot;, &quot;issued&quot;: {&quot;date-parts&quot;: [[2008, 7]]}, &quot;DOI&quot;: &quot;10.1080/10447310802205776&quot;}}], &quot;properties&quot;: {&quot;noteIndex&quot;: 0}, &quot;isEdited&quot;: false, &quot;manualOverride&quot;: {&quot;isManuallyOverridden&quot;: false, &quot;citeprocText&quot;: &quot;[3], [4]&quot;, &quot;manualOverrideText&quot;: &quot;&quot;}}"/>
          <w:id w:val="1011"/>
        </w:sdtPr>
        <w:sdtContent>
          <w:r>
            <w:t xml:space="preserve">[3], [4]</w:t>
          </w:r>
        </w:sdtContent>
      </w:sdt>
      <w:r>
        <w:t xml:space="preserve">.</w:t>
      </w:r>
    </w:p>
    <w:p>
      <w:pPr>
        <w:pStyle w:val="Heading3"/>
        <w:jc w:val="left"/>
      </w:pPr>
      <w:r>
        <w:t xml:space="preserve">3.5.2 Instrumentos de medición</w:t>
      </w:r>
    </w:p>
    <w:p>
      <w:pPr>
        <w:spacing w:after="200" w:line="360" w:lineRule="auto"/>
        <w:jc w:val="both"/>
      </w:pPr>
      <w:r>
        <w:t xml:space="preserve">Cada indicador se evaluó mediante un instrumento específico, acorde con el aspecto analizado del sistema FitKids. La selección de los instrumentos respondió a tres criterios: validez documentada en la literatura, pertinencia respecto al perfil del usuario evaluado y compatibilidad con el alcance del proyecto tecnológico </w:t>
      </w:r>
      <w:sdt>
        <w:sdtPr>
          <w:tag w:val="MENDELEY_CITATIONS_v3{&quot;citationID&quot;: &quot;MENDELEY_CITATION_c519a14f-7267-4168-8123-b5ffac7a8e1f&quot;, &quot;citationItems&quot;: [{&quot;id&quot;: &quot;1700c0d0-cf95-4154-a504-b2f7d671c830&quot;, &quot;itemData&quot;: {&quot;id&quot;: &quot;48246fba-e19f-4d8a-9c5e-bc9a804057f7&quot;, &quot;type&quot;: &quot;book&quot;, &quot;title&quot;: &quot;A Guide to the Project Management Body of Knowledge (PMBOK Guide)&quot;, &quot;author&quot;: [{&quot;literal&quot;: &quot;Project Management Institute&quot;}], &quot;publisher&quot;: &quot;PMI&quot;, &quot;publisher-place&quot;: &quot;Newtown Square, PA&quot;, &quot;edition&quot;: &quot;7th&quot;, &quot;issued&quot;: {&quot;date-parts&quot;: [[2021]]}, &quot;ISBN&quot;: &quot;978-1628256642&quot;}}, {&quot;id&quot;: &quot;be3c90d7-f3fe-4adb-96af-ac7741c117ec&quot;, &quot;itemData&quot;: {&quot;id&quot;: &quot;8eddf26c-b179-4c31-b876-6bf861a825ba&quot;, &quot;type&quot;: &quot;report&quot;, &quot;title&quot;: &quot;Estructura y formato institucional de presentación del proyecto tecnológico en la Unidad de Integración Curricular&quot;, &quot;author&quot;: [{&quot;literal&quot;: &quot;Universidad Técnica Estatal de Quevedo&quot;}], &quot;publisher&quot;: &quot;UTEQ&quot;, &quot;publisher-place&quot;: &quot;Quevedo, Ecuador&quot;, &quot;issued&quot;: {&quot;date-parts&quot;: [[2024]]}, &quot;URL&quot;: &quot;https://www.uteq.edu.ec/&quot;}}], &quot;properties&quot;: {&quot;noteIndex&quot;: 0}, &quot;isEdited&quot;: false, &quot;manualOverride&quot;: {&quot;isManuallyOverridden&quot;: false, &quot;citeprocText&quot;: &quot;[7], [13]&quot;, &quot;manualOverrideText&quot;: &quot;&quot;}}"/>
          <w:id w:val="1012"/>
        </w:sdtPr>
        <w:sdtContent>
          <w:r>
            <w:t xml:space="preserve">[7], [13]</w:t>
          </w:r>
        </w:sdtContent>
      </w:sdt>
      <w:r>
        <w:t xml:space="preserve">.</w:t>
      </w:r>
    </w:p>
    <w:p>
      <w:pPr>
        <w:numPr>
          <w:ilvl w:val="0"/>
          <w:numId w:val="1"/>
        </w:numPr>
        <w:spacing w:after="160" w:line="360" w:lineRule="auto"/>
        <w:jc w:val="both"/>
      </w:pPr>
      <w:r>
        <w:rPr>
          <w:b/>
        </w:rPr>
        <w:t xml:space="preserve">Matriz de trazabilidad de requisitos: </w:t>
      </w:r>
      <w:r>
        <w:t xml:space="preserve">permitió verificar el cumplimiento del alcance funcional y no funcional, vinculando cada requisito con los componentes desarrollados y con las pruebas que lo validan </w:t>
      </w:r>
      <w:sdt>
        <w:sdtPr>
          <w:tag w:val="MENDELEY_CITATIONS_v3{&quot;citationID&quot;: &quot;MENDELEY_CITATION_8ee08749-a181-498b-ad58-3761299a396f&quot;, &quot;citationItems&quot;: [{&quot;id&quot;: &quot;8e61eedf-b971-40bf-931a-758028c88b74&quot;, &quot;itemData&quot;: {&quot;id&quot;: &quot;738e5770-2ad7-4e44-a46b-ed494ad77f2d&quot;, &quot;type&quot;: &quot;paper-conference&quot;, &quot;title&quot;: &quot;An analysis of the requirements traceability problem&quot;, &quot;author&quot;: [{&quot;family&quot;: &quot;Gotel&quot;, &quot;given&quot;: &quot;Orlena C. Z.&quot;}, {&quot;family&quot;: &quot;Finkelstein&quot;, &quot;given&quot;: &quot;Anthony C. W.&quot;}], &quot;container-title&quot;: &quot;Proceedings of the IEEE International Conference on Requirements Engineering&quot;, &quot;publisher&quot;: &quot;IEEE&quot;, &quot;publisher-place&quot;: &quot;Colorado Springs, CO&quot;, &quot;page&quot;: &quot;94-101&quot;, &quot;issued&quot;: {&quot;date-parts&quot;: [[1994, 4]]}, &quot;DOI&quot;: &quot;10.1109/ICRE.1994.292398&quot;}}, {&quot;id&quot;: &quot;1f4bfe6a-8f9a-4370-ae97-27661aa91284&quot;, &quot;itemData&quot;: {&quot;id&quot;: &quot;4db060b6-089a-41b1-84cf-d5a887e08c72&quot;, &quot;type&quot;: &quot;book&quot;, &quot;title&quot;: &quot;Software Engineering&quot;, &quot;author&quot;: [{&quot;family&quot;: &quot;Sommerville&quot;, &quot;given&quot;: &quot;Ian&quot;}], &quot;publisher&quot;: &quot;Pearson&quot;, &quot;publisher-place&quot;: &quot;Harlow, UK&quot;, &quot;edition&quot;: &quot;10th&quot;, &quot;issued&quot;: {&quot;date-parts&quot;: [[2016]]}, &quot;ISBN&quot;: &quot;978-0133943030&quot;}}], &quot;properties&quot;: {&quot;noteIndex&quot;: 0}, &quot;isEdited&quot;: false, &quot;manualOverride&quot;: {&quot;isManuallyOverridden&quot;: false, &quot;citeprocText&quot;: &quot;[5], [6]&quot;, &quot;manualOverrideText&quot;: &quot;&quot;}}"/>
          <w:id w:val="1013"/>
        </w:sdtPr>
        <w:sdtContent>
          <w:r>
            <w:t xml:space="preserve">[5], [6]</w:t>
          </w:r>
        </w:sdtContent>
      </w:sdt>
      <w:r>
        <w:t xml:space="preserve">. El nivel de cumplimiento se calculó como la razón entre el número de requisitos cubiertos y el total de requisitos definidos.</w:t>
      </w:r>
    </w:p>
    <w:p>
      <w:pPr>
        <w:numPr>
          <w:ilvl w:val="0"/>
          <w:numId w:val="1"/>
        </w:numPr>
        <w:spacing w:after="160" w:line="360" w:lineRule="auto"/>
        <w:jc w:val="both"/>
      </w:pPr>
      <w:r>
        <w:rPr>
          <w:b/>
        </w:rPr>
        <w:t xml:space="preserve">Comparación de cronograma y presupuesto: </w:t>
      </w:r>
      <w:r>
        <w:t xml:space="preserve">se evaluaron mediante diagramas de Gantt y cuadros comparativos entre lo planificado y lo ejecutado, conforme a las prácticas estándar de gestión de proyectos </w:t>
      </w:r>
      <w:sdt>
        <w:sdtPr>
          <w:tag w:val="MENDELEY_CITATIONS_v3{&quot;citationID&quot;: &quot;MENDELEY_CITATION_13743559-58b6-46fc-b762-6e51195060dc&quot;, &quot;citationItems&quot;: [{&quot;id&quot;: &quot;ee2a9e63-fc6a-4037-9992-b5b8b6001b8d&quot;, &quot;itemData&quot;: {&quot;id&quot;: &quot;48246fba-e19f-4d8a-9c5e-bc9a804057f7&quot;, &quot;type&quot;: &quot;book&quot;, &quot;title&quot;: &quot;A Guide to the Project Management Body of Knowledge (PMBOK Guide)&quot;, &quot;author&quot;: [{&quot;literal&quot;: &quot;Project Management Institute&quot;}], &quot;publisher&quot;: &quot;PMI&quot;, &quot;publisher-place&quot;: &quot;Newtown Square, PA&quot;, &quot;edition&quot;: &quot;7th&quot;, &quot;issued&quot;: {&quot;date-parts&quot;: [[2021]]}, &quot;ISBN&quot;: &quot;978-1628256642&quot;}}], &quot;properties&quot;: {&quot;noteIndex&quot;: 0}, &quot;isEdited&quot;: false, &quot;manualOverride&quot;: {&quot;isManuallyOverridden&quot;: false, &quot;citeprocText&quot;: &quot;[7]&quot;, &quot;manualOverrideText&quot;: &quot;&quot;}}"/>
          <w:id w:val="1014"/>
        </w:sdtPr>
        <w:sdtContent>
          <w:r>
            <w:t xml:space="preserve">[7]</w:t>
          </w:r>
        </w:sdtContent>
      </w:sdt>
      <w:r>
        <w:t xml:space="preserve"> y al formato sugerido por el reglamento </w:t>
      </w:r>
      <w:sdt>
        <w:sdtPr>
          <w:tag w:val="MENDELEY_CITATIONS_v3{&quot;citationID&quot;: &quot;MENDELEY_CITATION_d43025d8-f3f5-46cf-bccd-1d83db8ae830&quot;, &quot;citationItems&quot;: [{&quot;id&quot;: &quot;3add7353-2423-4b73-8334-e94e2f86e0c1&quot;, &quot;itemData&quot;: {&quot;id&quot;: &quot;8eddf26c-b179-4c31-b876-6bf861a825ba&quot;, &quot;type&quot;: &quot;report&quot;, &quot;title&quot;: &quot;Estructura y formato institucional de presentación del proyecto tecnológico en la Unidad de Integración Curricular&quot;, &quot;author&quot;: [{&quot;literal&quot;: &quot;Universidad Técnica Estatal de Quevedo&quot;}], &quot;publisher&quot;: &quot;UTEQ&quot;, &quot;publisher-place&quot;: &quot;Quevedo, Ecuador&quot;, &quot;issued&quot;: {&quot;date-parts&quot;: [[2024]]}, &quot;URL&quot;: &quot;https://www.uteq.edu.ec/&quot;}}], &quot;properties&quot;: {&quot;noteIndex&quot;: 0}, &quot;isEdited&quot;: false, &quot;manualOverride&quot;: {&quot;isManuallyOverridden&quot;: false, &quot;citeprocText&quot;: &quot;[13]&quot;, &quot;manualOverrideText&quot;: &quot;&quot;}}"/>
          <w:id w:val="1015"/>
        </w:sdtPr>
        <w:sdtContent>
          <w:r>
            <w:t xml:space="preserve">[13]</w:t>
          </w:r>
        </w:sdtContent>
      </w:sdt>
      <w:r>
        <w:t xml:space="preserve">.</w:t>
      </w:r>
    </w:p>
    <w:p>
      <w:pPr>
        <w:numPr>
          <w:ilvl w:val="0"/>
          <w:numId w:val="1"/>
        </w:numPr>
        <w:spacing w:after="160" w:line="360" w:lineRule="auto"/>
        <w:jc w:val="both"/>
      </w:pPr>
      <w:r>
        <w:rPr>
          <w:b/>
        </w:rPr>
        <w:t xml:space="preserve">Pruebas unitarias y de integración: </w:t>
      </w:r>
      <w:r>
        <w:t xml:space="preserve">se diseñaron sobre la base de los modelos de calidad de producto de software, evaluando funcionalidad, fiabilidad, eficiencia y mantenibilidad </w:t>
      </w:r>
      <w:sdt>
        <w:sdtPr>
          <w:tag w:val="MENDELEY_CITATIONS_v3{&quot;citationID&quot;: &quot;MENDELEY_CITATION_7f374212-e63d-4c81-8c7e-11e41a1dd9e0&quot;, &quot;citationItems&quot;: [{&quot;id&quot;: &quot;756059ba-70fd-446b-a27f-101984883c39&quot;, &quot;itemData&quot;: {&quot;id&quot;: &quot;9e5824ff-188e-4710-8a77-c831cb6ffe08&quot;, &quot;type&quot;: &quot;report&quot;, &quot;title&quot;: &quot;ISO/IEC 25010:2011 — Systems and software engineering — Systems and software Quality Requirements and Evaluation (SQuaRE) — System and software quality models&quot;, &quot;author&quot;: [{&quot;literal&quot;: &quot;International Organization for Standardization&quot;}], &quot;publisher&quot;: &quot;ISO&quot;, &quot;publisher-place&quot;: &quot;Geneva&quot;, &quot;issued&quot;: {&quot;date-parts&quot;: [[2011]]}, &quot;URL&quot;: &quot;https://www.iso.org/standard/35733.html&quot;}}, {&quot;id&quot;: &quot;316cdbd9-7470-4578-91c5-41844707f91b&quot;, &quot;itemData&quot;: {&quot;id&quot;: &quot;4db060b6-089a-41b1-84cf-d5a887e08c72&quot;, &quot;type&quot;: &quot;book&quot;, &quot;title&quot;: &quot;Software Engineering&quot;, &quot;author&quot;: [{&quot;family&quot;: &quot;Sommerville&quot;, &quot;given&quot;: &quot;Ian&quot;}], &quot;publisher&quot;: &quot;Pearson&quot;, &quot;publisher-place&quot;: &quot;Harlow, UK&quot;, &quot;edition&quot;: &quot;10th&quot;, &quot;issued&quot;: {&quot;date-parts&quot;: [[2016]]}, &quot;ISBN&quot;: &quot;978-0133943030&quot;}}], &quot;properties&quot;: {&quot;noteIndex&quot;: 0}, &quot;isEdited&quot;: false, &quot;manualOverride&quot;: {&quot;isManuallyOverridden&quot;: false, &quot;citeprocText&quot;: &quot;[1], [6]&quot;, &quot;manualOverrideText&quot;: &quot;&quot;}}"/>
          <w:id w:val="1016"/>
        </w:sdtPr>
        <w:sdtContent>
          <w:r>
            <w:t xml:space="preserve">[1], [6]</w:t>
          </w:r>
        </w:sdtContent>
      </w:sdt>
      <w:r>
        <w:t xml:space="preserve">, y se ejecutaron en consonancia con la fase de generación de pruebas de la metodología TDDM4IoTS adoptada </w:t>
      </w:r>
      <w:sdt>
        <w:sdtPr>
          <w:tag w:val="MENDELEY_CITATIONS_v3{&quot;citationID&quot;: &quot;MENDELEY_CITATION_8e4f17c5-f68d-4ef3-9054-0819309da3ce&quot;, &quot;citationItems&quot;: [{&quot;id&quot;: &quot;48ffc259-10c8-440f-8c44-4dd7b05fd9c9&quot;, &quot;itemData&quot;: {&quot;id&quot;: &quot;bb84c198-fdf0-424c-a6de-c447d43d3681&quot;, &quot;type&quot;: &quot;paper-conference&quot;, &quot;title&quot;: &quot;TDDM4IoTS: A test-driven development methodology for Internet of Things (IoT)-based systems&quot;, &quot;author&quot;: [{&quot;family&quot;: &quot;Guerrero-Ulloa&quot;, &quot;given&quot;: &quot;Gleiston&quot;}, {&quot;family&quot;: &quot;Hornos&quot;, &quot;given&quot;: &quot;Miguel J.&quot;}, {&quot;family&quot;: &quot;Rodríguez-Domínguez&quot;, &quot;given&quot;: &quot;Carlos&quot;}], &quot;container-title&quot;: &quot;Applied Technologies. ICAT 2019. Communications in Computer and Information Science&quot;, &quot;volume&quot;: &quot;1193&quot;, &quot;page&quot;: &quot;41-55&quot;, &quot;publisher&quot;: &quot;Springer&quot;, &quot;publisher-place&quot;: &quot;Cham&quot;, &quot;issued&quot;: {&quot;date-parts&quot;: [[2020]]}, &quot;DOI&quot;: &quot;10.1007/978-3-030-42517-3_4&quot;}}], &quot;properties&quot;: {&quot;noteIndex&quot;: 0}, &quot;isEdited&quot;: false, &quot;manualOverride&quot;: {&quot;isManuallyOverridden&quot;: false, &quot;citeprocText&quot;: &quot;[11]&quot;, &quot;manualOverrideText&quot;: &quot;&quot;}}"/>
          <w:id w:val="1017"/>
        </w:sdtPr>
        <w:sdtContent>
          <w:r>
            <w:t xml:space="preserve">[11]</w:t>
          </w:r>
        </w:sdtContent>
      </w:sdt>
      <w:r>
        <w:t xml:space="preserve">.</w:t>
      </w:r>
    </w:p>
    <w:p>
      <w:pPr>
        <w:numPr>
          <w:ilvl w:val="0"/>
          <w:numId w:val="1"/>
        </w:numPr>
        <w:spacing w:after="160" w:line="360" w:lineRule="auto"/>
        <w:jc w:val="both"/>
      </w:pPr>
      <w:r>
        <w:rPr>
          <w:b/>
        </w:rPr>
        <w:t xml:space="preserve">Modelo de Aceptación Tecnológica (TAM): </w:t>
      </w:r>
      <w:r>
        <w:t xml:space="preserve">se aplicó a los padres de familia para medir la utilidad percibida y la facilidad de uso percibida del sistema, dimensiones que han demostrado ser predictoras consistentes de la intención de adopción de tecnologías de la información </w:t>
      </w:r>
      <w:sdt>
        <w:sdtPr>
          <w:tag w:val="MENDELEY_CITATIONS_v3{&quot;citationID&quot;: &quot;MENDELEY_CITATION_6b25e215-f27e-43e1-97e3-33396d60461c&quot;, &quot;citationItems&quot;: [{&quot;id&quot;: &quot;dfaac5b7-0973-4c07-a210-2e998417d2e6&quot;, &quot;itemData&quot;: {&quot;id&quot;: &quot;6ab1ef45-cecb-4e1b-82ad-749b6b7b446d&quot;, &quot;type&quot;: &quot;article-journal&quot;, &quot;title&quot;: &quot;Perceived usefulness, perceived ease of use, and user acceptance of information technology&quot;, &quot;author&quot;: [{&quot;family&quot;: &quot;Davis&quot;, &quot;given&quot;: &quot;Fred D.&quot;}], &quot;container-title&quot;: &quot;MIS Quarterly&quot;, &quot;volume&quot;: &quot;13&quot;, &quot;issue&quot;: &quot;3&quot;, &quot;page&quot;: &quot;319-340&quot;, &quot;issued&quot;: {&quot;date-parts&quot;: [[1989, 9]]}, &quot;DOI&quot;: &quot;10.2307/249008&quot;}}, {&quot;id&quot;: &quot;511d871f-5740-4ac0-8952-b6ac27497937&quot;, &quot;itemData&quot;: {&quot;id&quot;: &quot;3ab61c3c-4a7d-4435-923f-3b74b7b5469b&quot;, &quot;type&quot;: &quot;article-journal&quot;, &quot;title&quot;: &quot;User acceptance of information technology: Toward a unified view&quot;, &quot;author&quot;: [{&quot;family&quot;: &quot;Venkatesh&quot;, &quot;given&quot;: &quot;Viswanath&quot;}, {&quot;family&quot;: &quot;Morris&quot;, &quot;given&quot;: &quot;Michael G.&quot;}, {&quot;family&quot;: &quot;Davis&quot;, &quot;given&quot;: &quot;Gordon B.&quot;}, {&quot;family&quot;: &quot;Davis&quot;, &quot;given&quot;: &quot;Fred D.&quot;}], &quot;container-title&quot;: &quot;MIS Quarterly&quot;, &quot;volume&quot;: &quot;27&quot;, &quot;issue&quot;: &quot;3&quot;, &quot;page&quot;: &quot;425-478&quot;, &quot;issued&quot;: {&quot;date-parts&quot;: [[2003, 9]]}, &quot;DOI&quot;: &quot;10.2307/30036540&quot;}}], &quot;properties&quot;: {&quot;noteIndex&quot;: 0}, &quot;isEdited&quot;: false, &quot;manualOverride&quot;: {&quot;isManuallyOverridden&quot;: false, &quot;citeprocText&quot;: &quot;[2], [9]&quot;, &quot;manualOverrideText&quot;: &quot;&quot;}}"/>
          <w:id w:val="1018"/>
        </w:sdtPr>
        <w:sdtContent>
          <w:r>
            <w:t xml:space="preserve">[2], [9]</w:t>
          </w:r>
        </w:sdtContent>
      </w:sdt>
      <w:r>
        <w:t xml:space="preserve">.</w:t>
      </w:r>
    </w:p>
    <w:p>
      <w:pPr>
        <w:numPr>
          <w:ilvl w:val="0"/>
          <w:numId w:val="1"/>
        </w:numPr>
        <w:spacing w:after="160" w:line="360" w:lineRule="auto"/>
        <w:jc w:val="both"/>
      </w:pPr>
      <w:r>
        <w:rPr>
          <w:b/>
        </w:rPr>
        <w:t xml:space="preserve">Escala de Usabilidad del Sistema (SUS): </w:t>
      </w:r>
      <w:r>
        <w:t xml:space="preserve">se aplicó al modo niño con el acompañamiento de los representantes, considerando las adaptaciones recomendadas para evaluar usabilidad con menores de edad </w:t>
      </w:r>
      <w:sdt>
        <w:sdtPr>
          <w:tag w:val="MENDELEY_CITATIONS_v3{&quot;citationID&quot;: &quot;MENDELEY_CITATION_730e9b6c-29ab-44fa-bf38-d798cf350fce&quot;, &quot;citationItems&quot;: [{&quot;id&quot;: &quot;4b8d4f69-d7e2-4b3f-ad5b-cc09e48c6137&quot;, &quot;itemData&quot;: {&quot;id&quot;: &quot;6c2bc529-87ad-4629-80b9-d44265087116&quot;, &quot;type&quot;: &quot;article-journal&quot;, &quot;title&quot;: &quot;An empirical evaluation of the System Usability Scale&quot;, &quot;author&quot;: [{&quot;family&quot;: &quot;Bangor&quot;, &quot;given&quot;: &quot;Aaron&quot;}, {&quot;family&quot;: &quot;Kortum&quot;, &quot;given&quot;: &quot;Philip T.&quot;}, {&quot;family&quot;: &quot;Miller&quot;, &quot;given&quot;: &quot;James T.&quot;}], &quot;container-title&quot;: &quot;International Journal of Human–Computer Interaction&quot;, &quot;volume&quot;: &quot;24&quot;, &quot;issue&quot;: &quot;6&quot;, &quot;page&quot;: &quot;574-594&quot;, &quot;issued&quot;: {&quot;date-parts&quot;: [[2008, 7]]}, &quot;DOI&quot;: &quot;10.1080/10447310802205776&quot;}}, {&quot;id&quot;: &quot;1ebbc923-79ab-4e7c-bdc7-a65d92f57700&quot;, &quot;itemData&quot;: {&quot;id&quot;: &quot;e8195885-8c9a-4ec0-8b74-02aed6ca8e0b&quot;, &quot;type&quot;: &quot;paper-conference&quot;, &quot;title&quot;: &quot;Adapting user experience research methods for evaluating user experience with children&quot;, &quot;author&quot;: [{&quot;family&quot;: &quot;Putnam&quot;, &quot;given&quot;: &quot;Cynthia&quot;}, {&quot;family&quot;: &quot;Reiner&quot;, &quot;given&quot;: &quot;Aubrey&quot;}, {&quot;family&quot;: &quot;Ryou&quot;, &quot;given&quot;: &quot;Erin&quot;}, {&quot;family&quot;: &quot;Caputo&quot;, &quot;given&quot;: &quot;Maddie&quot;}, {&quot;family&quot;: &quot;Cheng&quot;, &quot;given&quot;: &quot;Jinghui&quot;}, {&quot;family&quot;: &quot;Allen&quot;, &quot;given&quot;: &quot;Maemi&quot;}, {&quot;family&quot;: &quot;Cinco&quot;, &quot;given&quot;: &quot;Roxanne&quot;}], &quot;container-title&quot;: &quot;Proceedings of the Interaction Design and Children Conference (IDC '20)&quot;, &quot;publisher&quot;: &quot;ACM&quot;, &quot;publisher-place&quot;: &quot;New York, NY&quot;, &quot;page&quot;: &quot;401-413&quot;, &quot;issued&quot;: {&quot;date-parts&quot;: [[2020, 6]]}, &quot;DOI&quot;: &quot;10.1145/3392063.3394434&quot;}}], &quot;properties&quot;: {&quot;noteIndex&quot;: 0}, &quot;isEdited&quot;: false, &quot;manualOverride&quot;: {&quot;isManuallyOverridden&quot;: false, &quot;citeprocText&quot;: &quot;[4], [15]&quot;, &quot;manualOverrideText&quot;: &quot;&quot;}}"/>
          <w:id w:val="1019"/>
        </w:sdtPr>
        <w:sdtContent>
          <w:r>
            <w:t xml:space="preserve">[4], [15]</w:t>
          </w:r>
        </w:sdtContent>
      </w:sdt>
      <w:r>
        <w:t xml:space="preserve">. La interpretación de los resultados se apoyó en los rangos empíricos publicados, según los cuales una puntuación igual o superior a 68 se considera usabilidad aceptable </w:t>
      </w:r>
      <w:sdt>
        <w:sdtPr>
          <w:tag w:val="MENDELEY_CITATIONS_v3{&quot;citationID&quot;: &quot;MENDELEY_CITATION_fc837892-0bb1-4f93-a961-da3f92bc5e21&quot;, &quot;citationItems&quot;: [{&quot;id&quot;: &quot;48328989-9a57-45e8-b5a6-a7754c9a3c18&quot;, &quot;itemData&quot;: {&quot;id&quot;: &quot;6c2bc529-87ad-4629-80b9-d44265087116&quot;, &quot;type&quot;: &quot;article-journal&quot;, &quot;title&quot;: &quot;An empirical evaluation of the System Usability Scale&quot;, &quot;author&quot;: [{&quot;family&quot;: &quot;Bangor&quot;, &quot;given&quot;: &quot;Aaron&quot;}, {&quot;family&quot;: &quot;Kortum&quot;, &quot;given&quot;: &quot;Philip T.&quot;}, {&quot;family&quot;: &quot;Miller&quot;, &quot;given&quot;: &quot;James T.&quot;}], &quot;container-title&quot;: &quot;International Journal of Human–Computer Interaction&quot;, &quot;volume&quot;: &quot;24&quot;, &quot;issue&quot;: &quot;6&quot;, &quot;page&quot;: &quot;574-594&quot;, &quot;issued&quot;: {&quot;date-parts&quot;: [[2008, 7]]}, &quot;DOI&quot;: &quot;10.1080/10447310802205776&quot;}}, {&quot;id&quot;: &quot;0e3e9f4f-7ca4-424e-9c92-cca33442e88f&quot;, &quot;itemData&quot;: {&quot;id&quot;: &quot;b5431e69-cd8d-4b7e-a800-56a8ac11c014&quot;, &quot;type&quot;: &quot;article-journal&quot;, &quot;title&quot;: &quot;The System Usability Scale: Past, present, and future&quot;, &quot;author&quot;: [{&quot;family&quot;: &quot;Lewis&quot;, &quot;given&quot;: &quot;James R.&quot;}], &quot;container-title&quot;: &quot;International Journal of Human–Computer Interaction&quot;, &quot;volume&quot;: &quot;34&quot;, &quot;issue&quot;: &quot;7&quot;, &quot;page&quot;: &quot;577-590&quot;, &quot;issued&quot;: {&quot;date-parts&quot;: [[2018, 7]]}, &quot;DOI&quot;: &quot;10.1080/10447318.2018.1455307&quot;}}], &quot;properties&quot;: {&quot;noteIndex&quot;: 0}, &quot;isEdited&quot;: false, &quot;manualOverride&quot;: {&quot;isManuallyOverridden&quot;: false, &quot;citeprocText&quot;: &quot;[4], [10]&quot;, &quot;manualOverrideText&quot;: &quot;&quot;}}"/>
          <w:id w:val="1020"/>
        </w:sdtPr>
        <w:sdtContent>
          <w:r>
            <w:t xml:space="preserve">[4], [10]</w:t>
          </w:r>
        </w:sdtContent>
      </w:sdt>
      <w:r>
        <w:t xml:space="preserve">.</w:t>
      </w:r>
    </w:p>
    <w:p>
      <w:pPr>
        <w:numPr>
          <w:ilvl w:val="0"/>
          <w:numId w:val="1"/>
        </w:numPr>
        <w:spacing w:after="160" w:line="360" w:lineRule="auto"/>
        <w:jc w:val="both"/>
      </w:pPr>
      <w:r>
        <w:rPr>
          <w:b/>
        </w:rPr>
        <w:t xml:space="preserve">Análisis cualitativo profesional: </w:t>
      </w:r>
      <w:r>
        <w:t xml:space="preserve">el entorno web destinado a especialistas en actividad física infantil se evaluó mediante observación directa y comentarios profesionales emitidos por una pediatra colaboradora, quien valoró la pertinencia clínica, la seguridad de las rutinas y la organización de la información, en línea con la práctica de evaluación heurística complementaria a las pruebas con usuarios </w:t>
      </w:r>
      <w:sdt>
        <w:sdtPr>
          <w:tag w:val="MENDELEY_CITATIONS_v3{&quot;citationID&quot;: &quot;MENDELEY_CITATION_4afcf2c4-652d-4fd7-a228-be8385f60f2d&quot;, &quot;citationItems&quot;: [{&quot;id&quot;: &quot;076ab307-f062-48da-8a25-a4f81fa433cd&quot;, &quot;itemData&quot;: {&quot;id&quot;: &quot;76c59377-5dee-47b0-b30e-41214f5e865d&quot;, &quot;type&quot;: &quot;paper-conference&quot;, &quot;title&quot;: &quot;Enhancing the explanatory power of usability heuristics&quot;, &quot;author&quot;: [{&quot;family&quot;: &quot;Nielsen&quot;, &quot;given&quot;: &quot;Jakob&quot;}], &quot;container-title&quot;: &quot;Proceedings of the SIGCHI Conference on Human Factors in Computing Systems (CHI '94)&quot;, &quot;publisher&quot;: &quot;ACM&quot;, &quot;publisher-place&quot;: &quot;New York, NY&quot;, &quot;page&quot;: &quot;152-158&quot;, &quot;issued&quot;: {&quot;date-parts&quot;: [[1994]]}, &quot;DOI&quot;: &quot;10.1145/191666.191729&quot;}}, {&quot;id&quot;: &quot;2705054a-d8d4-4fbc-8e15-dca1b71c5cad&quot;, &quot;itemData&quot;: {&quot;id&quot;: &quot;f1ce6861-89e8-45de-aca9-10e5d77aa01a&quot;, &quot;type&quot;: &quot;article-journal&quot;, &quot;title&quot;: &quot;Barriers and facilitators to young children's physical activity and sedentary behaviour: a systematic review and synthesis of qualitative literature&quot;, &quot;author&quot;: [{&quot;family&quot;: &quot;Hesketh&quot;, &quot;given&quot;: &quot;Kathryn R.&quot;}, {&quot;family&quot;: &quot;Lakshman&quot;, &quot;given&quot;: &quot;Rajalakshmi&quot;}, {&quot;family&quot;: &quot;van Sluijs&quot;, &quot;given&quot;: &quot;Esther M. F.&quot;}], &quot;container-title&quot;: &quot;Obesity Reviews&quot;, &quot;volume&quot;: &quot;18&quot;, &quot;issue&quot;: &quot;9&quot;, &quot;page&quot;: &quot;987-1017&quot;, &quot;issued&quot;: {&quot;date-parts&quot;: [[2017, 9]]}, &quot;DOI&quot;: &quot;10.1111/obr.12562&quot;}}], &quot;properties&quot;: {&quot;noteIndex&quot;: 0}, &quot;isEdited&quot;: false, &quot;manualOverride&quot;: {&quot;isManuallyOverridden&quot;: false, &quot;citeprocText&quot;: &quot;[8], [14]&quot;, &quot;manualOverrideText&quot;: &quot;&quot;}}"/>
          <w:id w:val="1021"/>
        </w:sdtPr>
        <w:sdtContent>
          <w:r>
            <w:t xml:space="preserve">[8], [14]</w:t>
          </w:r>
        </w:sdtContent>
      </w:sdt>
      <w:r>
        <w:t xml:space="preserve">.</w:t>
      </w:r>
    </w:p>
    <w:p>
      <w:pPr>
        <w:pStyle w:val="Heading3"/>
        <w:jc w:val="left"/>
      </w:pPr>
      <w:r>
        <w:t xml:space="preserve">3.5.3 Resumen de indicadores</w:t>
      </w:r>
    </w:p>
    <w:p>
      <w:pPr>
        <w:spacing w:after="200" w:line="360" w:lineRule="auto"/>
        <w:jc w:val="both"/>
      </w:pPr>
      <w:r>
        <w:t xml:space="preserve">La Tabla 1 sintetiza los indicadores adoptados, el aspecto del sistema que cada uno evalúa, el instrumento empleado, la unidad o escala de medición y el criterio de aceptación definido para considerar satisfactorio el resultado.</w:t>
      </w:r>
    </w:p>
    <w:p>
      <w:pPr>
        <w:spacing w:before="120" w:after="80" w:line="360" w:lineRule="auto"/>
        <w:jc w:val="center"/>
      </w:pPr>
      <w:r>
        <w:rPr>
          <w:b/>
        </w:rPr>
        <w:t xml:space="preserve">Tabla 1. Indicadores de evaluación del sistema FitKids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80" w:type="dxa"/>
          <w:left w:w="120" w:type="dxa"/>
          <w:bottom w:w="80" w:type="dxa"/>
          <w:right w:w="120" w:type="dxa"/>
        </w:tblCellMar>
        <w:tblLook w:val="04A0"/>
      </w:tblPr>
      <w:tblGrid>
        <w:gridCol w:w="1900"/>
        <w:gridCol w:w="2100"/>
        <w:gridCol w:w="2100"/>
        <w:gridCol w:w="1700"/>
        <w:gridCol w:w="1560"/>
      </w:tblGrid>
      <w:tr>
        <w:tc>
          <w:tcPr>
            <w:tcW w:w="1900" w:type="dxa"/>
            <w:shd w:val="clear" w:color="auto" w:fill="D5E8F0"/>
          </w:tcPr>
          <w:p>
            <w:pPr>
              <w:spacing w:after="80" w:line="280" w:lineRule="auto"/>
              <w:jc w:val="left"/>
            </w:pPr>
            <w:r>
              <w:rPr>
                <w:b/>
              </w:rPr>
              <w:t xml:space="preserve">Indicador</w:t>
            </w:r>
          </w:p>
        </w:tc>
        <w:tc>
          <w:tcPr>
            <w:tcW w:w="2100" w:type="dxa"/>
            <w:shd w:val="clear" w:color="auto" w:fill="D5E8F0"/>
          </w:tcPr>
          <w:p>
            <w:pPr>
              <w:spacing w:after="80" w:line="280" w:lineRule="auto"/>
              <w:jc w:val="left"/>
            </w:pPr>
            <w:r>
              <w:rPr>
                <w:b/>
              </w:rPr>
              <w:t xml:space="preserve">Aspecto evaluado</w:t>
            </w:r>
          </w:p>
        </w:tc>
        <w:tc>
          <w:tcPr>
            <w:tcW w:w="2100" w:type="dxa"/>
            <w:shd w:val="clear" w:color="auto" w:fill="D5E8F0"/>
          </w:tcPr>
          <w:p>
            <w:pPr>
              <w:spacing w:after="80" w:line="280" w:lineRule="auto"/>
              <w:jc w:val="left"/>
            </w:pPr>
            <w:r>
              <w:rPr>
                <w:b/>
              </w:rPr>
              <w:t xml:space="preserve">Instrumento de medición</w:t>
            </w:r>
          </w:p>
        </w:tc>
        <w:tc>
          <w:tcPr>
            <w:tcW w:w="1700" w:type="dxa"/>
            <w:shd w:val="clear" w:color="auto" w:fill="D5E8F0"/>
          </w:tcPr>
          <w:p>
            <w:pPr>
              <w:spacing w:after="80" w:line="280" w:lineRule="auto"/>
              <w:jc w:val="left"/>
            </w:pPr>
            <w:r>
              <w:rPr>
                <w:b/>
              </w:rPr>
              <w:t xml:space="preserve">Unidad / escala</w:t>
            </w:r>
          </w:p>
        </w:tc>
        <w:tc>
          <w:tcPr>
            <w:tcW w:w="1560" w:type="dxa"/>
            <w:shd w:val="clear" w:color="auto" w:fill="D5E8F0"/>
          </w:tcPr>
          <w:p>
            <w:pPr>
              <w:spacing w:after="80" w:line="280" w:lineRule="auto"/>
              <w:jc w:val="left"/>
            </w:pPr>
            <w:r>
              <w:rPr>
                <w:b/>
              </w:rPr>
              <w:t xml:space="preserve">Criterio de aceptación</w:t>
            </w:r>
          </w:p>
        </w:tc>
      </w:tr>
      <w:tr>
        <w:tc>
          <w:tcPr>
            <w:tcW w:w="1900" w:type="dxa"/>
          </w:tcPr>
          <w:p>
            <w:pPr>
              <w:spacing w:after="80" w:line="280" w:lineRule="auto"/>
              <w:jc w:val="left"/>
            </w:pPr>
            <w:r>
              <w:rPr>
                <w:b/>
              </w:rPr>
              <w:t xml:space="preserve">Cumplimiento de requisitos</w:t>
            </w:r>
          </w:p>
        </w:tc>
        <w:tc>
          <w:tcPr>
            <w:tcW w:w="2100" w:type="dxa"/>
          </w:tcPr>
          <w:p>
            <w:pPr>
              <w:spacing w:after="80" w:line="280" w:lineRule="auto"/>
              <w:jc w:val="left"/>
            </w:pPr>
            <w:r>
              <w:t xml:space="preserve">Alcance funcional y no funcional del sistema</w:t>
            </w:r>
          </w:p>
        </w:tc>
        <w:tc>
          <w:tcPr>
            <w:tcW w:w="2100" w:type="dxa"/>
          </w:tcPr>
          <w:p>
            <w:pPr>
              <w:spacing w:after="80" w:line="280" w:lineRule="auto"/>
              <w:jc w:val="left"/>
            </w:pPr>
            <w:r>
              <w:t xml:space="preserve">Matriz de trazabilidad de requisitos</w:t>
            </w:r>
          </w:p>
        </w:tc>
        <w:tc>
          <w:tcPr>
            <w:tcW w:w="1700" w:type="dxa"/>
          </w:tcPr>
          <w:p>
            <w:pPr>
              <w:spacing w:after="80" w:line="280" w:lineRule="auto"/>
              <w:jc w:val="left"/>
            </w:pPr>
            <w:r>
              <w:t xml:space="preserve">% de requisitos cubiertos</w:t>
            </w:r>
          </w:p>
        </w:tc>
        <w:tc>
          <w:tcPr>
            <w:tcW w:w="1560" w:type="dxa"/>
          </w:tcPr>
          <w:p>
            <w:pPr>
              <w:spacing w:after="80" w:line="280" w:lineRule="auto"/>
              <w:jc w:val="left"/>
            </w:pPr>
            <w:r>
              <w:t xml:space="preserve">≥ 95 %</w:t>
            </w:r>
          </w:p>
        </w:tc>
      </w:tr>
      <w:tr>
        <w:tc>
          <w:tcPr>
            <w:tcW w:w="1900" w:type="dxa"/>
          </w:tcPr>
          <w:p>
            <w:pPr>
              <w:spacing w:after="80" w:line="280" w:lineRule="auto"/>
              <w:jc w:val="left"/>
            </w:pPr>
            <w:r>
              <w:rPr>
                <w:b/>
              </w:rPr>
              <w:t xml:space="preserve">Cumplimiento del cronograma</w:t>
            </w:r>
          </w:p>
        </w:tc>
        <w:tc>
          <w:tcPr>
            <w:tcW w:w="2100" w:type="dxa"/>
          </w:tcPr>
          <w:p>
            <w:pPr>
              <w:spacing w:after="80" w:line="280" w:lineRule="auto"/>
              <w:jc w:val="left"/>
            </w:pPr>
            <w:r>
              <w:t xml:space="preserve">Puntualidad en hitos y entregables</w:t>
            </w:r>
          </w:p>
        </w:tc>
        <w:tc>
          <w:tcPr>
            <w:tcW w:w="2100" w:type="dxa"/>
          </w:tcPr>
          <w:p>
            <w:pPr>
              <w:spacing w:after="80" w:line="280" w:lineRule="auto"/>
              <w:jc w:val="left"/>
            </w:pPr>
            <w:r>
              <w:t xml:space="preserve">Diagrama de Gantt comparativo (planificado vs. ejecutado)</w:t>
            </w:r>
          </w:p>
        </w:tc>
        <w:tc>
          <w:tcPr>
            <w:tcW w:w="1700" w:type="dxa"/>
          </w:tcPr>
          <w:p>
            <w:pPr>
              <w:spacing w:after="80" w:line="280" w:lineRule="auto"/>
              <w:jc w:val="left"/>
            </w:pPr>
            <w:r>
              <w:t xml:space="preserve">Variación en días</w:t>
            </w:r>
          </w:p>
        </w:tc>
        <w:tc>
          <w:tcPr>
            <w:tcW w:w="1560" w:type="dxa"/>
          </w:tcPr>
          <w:p>
            <w:pPr>
              <w:spacing w:after="80" w:line="280" w:lineRule="auto"/>
              <w:jc w:val="left"/>
            </w:pPr>
            <w:r>
              <w:t xml:space="preserve">Desviación ≤ 10 %</w:t>
            </w:r>
          </w:p>
        </w:tc>
      </w:tr>
      <w:tr>
        <w:tc>
          <w:tcPr>
            <w:tcW w:w="1900" w:type="dxa"/>
          </w:tcPr>
          <w:p>
            <w:pPr>
              <w:spacing w:after="80" w:line="280" w:lineRule="auto"/>
              <w:jc w:val="left"/>
            </w:pPr>
            <w:r>
              <w:rPr>
                <w:b/>
              </w:rPr>
              <w:t xml:space="preserve">Cumplimiento del presupuesto</w:t>
            </w:r>
          </w:p>
        </w:tc>
        <w:tc>
          <w:tcPr>
            <w:tcW w:w="2100" w:type="dxa"/>
          </w:tcPr>
          <w:p>
            <w:pPr>
              <w:spacing w:after="80" w:line="280" w:lineRule="auto"/>
              <w:jc w:val="left"/>
            </w:pPr>
            <w:r>
              <w:t xml:space="preserve">Control financiero del proyecto</w:t>
            </w:r>
          </w:p>
        </w:tc>
        <w:tc>
          <w:tcPr>
            <w:tcW w:w="2100" w:type="dxa"/>
          </w:tcPr>
          <w:p>
            <w:pPr>
              <w:spacing w:after="80" w:line="280" w:lineRule="auto"/>
              <w:jc w:val="left"/>
            </w:pPr>
            <w:r>
              <w:t xml:space="preserve">Comparación costo planificado vs. costo real</w:t>
            </w:r>
          </w:p>
        </w:tc>
        <w:tc>
          <w:tcPr>
            <w:tcW w:w="1700" w:type="dxa"/>
          </w:tcPr>
          <w:p>
            <w:pPr>
              <w:spacing w:after="80" w:line="280" w:lineRule="auto"/>
              <w:jc w:val="left"/>
            </w:pPr>
            <w:r>
              <w:t xml:space="preserve">% de variación</w:t>
            </w:r>
          </w:p>
        </w:tc>
        <w:tc>
          <w:tcPr>
            <w:tcW w:w="1560" w:type="dxa"/>
          </w:tcPr>
          <w:p>
            <w:pPr>
              <w:spacing w:after="80" w:line="280" w:lineRule="auto"/>
              <w:jc w:val="left"/>
            </w:pPr>
            <w:r>
              <w:t xml:space="preserve">Desviación ≤ 10 %</w:t>
            </w:r>
          </w:p>
        </w:tc>
      </w:tr>
      <w:tr>
        <w:tc>
          <w:tcPr>
            <w:tcW w:w="1900" w:type="dxa"/>
          </w:tcPr>
          <w:p>
            <w:pPr>
              <w:spacing w:after="80" w:line="280" w:lineRule="auto"/>
              <w:jc w:val="left"/>
            </w:pPr>
            <w:r>
              <w:rPr>
                <w:b/>
              </w:rPr>
              <w:t xml:space="preserve">Calidad del producto</w:t>
            </w:r>
          </w:p>
        </w:tc>
        <w:tc>
          <w:tcPr>
            <w:tcW w:w="2100" w:type="dxa"/>
          </w:tcPr>
          <w:p>
            <w:pPr>
              <w:spacing w:after="80" w:line="280" w:lineRule="auto"/>
              <w:jc w:val="left"/>
            </w:pPr>
            <w:r>
              <w:t xml:space="preserve">Atributos de calidad del software (funcionalidad, fiabilidad, eficiencia)</w:t>
            </w:r>
          </w:p>
        </w:tc>
        <w:tc>
          <w:tcPr>
            <w:tcW w:w="2100" w:type="dxa"/>
          </w:tcPr>
          <w:p>
            <w:pPr>
              <w:spacing w:after="80" w:line="280" w:lineRule="auto"/>
              <w:jc w:val="left"/>
            </w:pPr>
            <w:r>
              <w:t xml:space="preserve">Pruebas unitarias y de integración bajo ISO/IEC 25010</w:t>
            </w:r>
          </w:p>
        </w:tc>
        <w:tc>
          <w:tcPr>
            <w:tcW w:w="1700" w:type="dxa"/>
          </w:tcPr>
          <w:p>
            <w:pPr>
              <w:spacing w:after="80" w:line="280" w:lineRule="auto"/>
              <w:jc w:val="left"/>
            </w:pPr>
            <w:r>
              <w:t xml:space="preserve">% de pruebas aprobadas</w:t>
            </w:r>
          </w:p>
        </w:tc>
        <w:tc>
          <w:tcPr>
            <w:tcW w:w="1560" w:type="dxa"/>
          </w:tcPr>
          <w:p>
            <w:pPr>
              <w:spacing w:after="80" w:line="280" w:lineRule="auto"/>
              <w:jc w:val="left"/>
            </w:pPr>
            <w:r>
              <w:t xml:space="preserve">≥ 90 %</w:t>
            </w:r>
          </w:p>
        </w:tc>
      </w:tr>
      <w:tr>
        <w:tc>
          <w:tcPr>
            <w:tcW w:w="1900" w:type="dxa"/>
          </w:tcPr>
          <w:p>
            <w:pPr>
              <w:spacing w:after="80" w:line="280" w:lineRule="auto"/>
              <w:jc w:val="left"/>
            </w:pPr>
            <w:r>
              <w:rPr>
                <w:b/>
              </w:rPr>
              <w:t xml:space="preserve">Aceptación tecnológica</w:t>
            </w:r>
          </w:p>
        </w:tc>
        <w:tc>
          <w:tcPr>
            <w:tcW w:w="2100" w:type="dxa"/>
          </w:tcPr>
          <w:p>
            <w:pPr>
              <w:spacing w:after="80" w:line="280" w:lineRule="auto"/>
              <w:jc w:val="left"/>
            </w:pPr>
            <w:r>
              <w:t xml:space="preserve">Utilidad y facilidad de uso percibidas por padres</w:t>
            </w:r>
          </w:p>
        </w:tc>
        <w:tc>
          <w:tcPr>
            <w:tcW w:w="2100" w:type="dxa"/>
          </w:tcPr>
          <w:p>
            <w:pPr>
              <w:spacing w:after="80" w:line="280" w:lineRule="auto"/>
              <w:jc w:val="left"/>
            </w:pPr>
            <w:r>
              <w:t xml:space="preserve">Cuestionario TAM (escala Likert 1–5)</w:t>
            </w:r>
          </w:p>
        </w:tc>
        <w:tc>
          <w:tcPr>
            <w:tcW w:w="1700" w:type="dxa"/>
          </w:tcPr>
          <w:p>
            <w:pPr>
              <w:spacing w:after="80" w:line="280" w:lineRule="auto"/>
              <w:jc w:val="left"/>
            </w:pPr>
            <w:r>
              <w:t xml:space="preserve">Puntuación media</w:t>
            </w:r>
          </w:p>
        </w:tc>
        <w:tc>
          <w:tcPr>
            <w:tcW w:w="1560" w:type="dxa"/>
          </w:tcPr>
          <w:p>
            <w:pPr>
              <w:spacing w:after="80" w:line="280" w:lineRule="auto"/>
              <w:jc w:val="left"/>
            </w:pPr>
            <w:r>
              <w:t xml:space="preserve">≥ 4,0</w:t>
            </w:r>
          </w:p>
        </w:tc>
      </w:tr>
      <w:tr>
        <w:tc>
          <w:tcPr>
            <w:tcW w:w="1900" w:type="dxa"/>
          </w:tcPr>
          <w:p>
            <w:pPr>
              <w:spacing w:after="80" w:line="280" w:lineRule="auto"/>
              <w:jc w:val="left"/>
            </w:pPr>
            <w:r>
              <w:rPr>
                <w:b/>
              </w:rPr>
              <w:t xml:space="preserve">Usabilidad infantil</w:t>
            </w:r>
          </w:p>
        </w:tc>
        <w:tc>
          <w:tcPr>
            <w:tcW w:w="2100" w:type="dxa"/>
          </w:tcPr>
          <w:p>
            <w:pPr>
              <w:spacing w:after="80" w:line="280" w:lineRule="auto"/>
              <w:jc w:val="left"/>
            </w:pPr>
            <w:r>
              <w:t xml:space="preserve">Facilidad de uso del modo niño</w:t>
            </w:r>
          </w:p>
        </w:tc>
        <w:tc>
          <w:tcPr>
            <w:tcW w:w="2100" w:type="dxa"/>
          </w:tcPr>
          <w:p>
            <w:pPr>
              <w:spacing w:after="80" w:line="280" w:lineRule="auto"/>
              <w:jc w:val="left"/>
            </w:pPr>
            <w:r>
              <w:t xml:space="preserve">SUS adaptado, aplicado a niños con acompañamiento parental</w:t>
            </w:r>
          </w:p>
        </w:tc>
        <w:tc>
          <w:tcPr>
            <w:tcW w:w="1700" w:type="dxa"/>
          </w:tcPr>
          <w:p>
            <w:pPr>
              <w:spacing w:after="80" w:line="280" w:lineRule="auto"/>
              <w:jc w:val="left"/>
            </w:pPr>
            <w:r>
              <w:t xml:space="preserve">Puntuación SUS (0–100)</w:t>
            </w:r>
          </w:p>
        </w:tc>
        <w:tc>
          <w:tcPr>
            <w:tcW w:w="1560" w:type="dxa"/>
          </w:tcPr>
          <w:p>
            <w:pPr>
              <w:spacing w:after="80" w:line="280" w:lineRule="auto"/>
              <w:jc w:val="left"/>
            </w:pPr>
            <w:r>
              <w:t xml:space="preserve">≥ 68 (aceptable)</w:t>
            </w:r>
          </w:p>
        </w:tc>
      </w:tr>
      <w:tr>
        <w:tc>
          <w:tcPr>
            <w:tcW w:w="1900" w:type="dxa"/>
          </w:tcPr>
          <w:p>
            <w:pPr>
              <w:spacing w:after="80" w:line="280" w:lineRule="auto"/>
              <w:jc w:val="left"/>
            </w:pPr>
            <w:r>
              <w:rPr>
                <w:b/>
              </w:rPr>
              <w:t xml:space="preserve">Validación clínica</w:t>
            </w:r>
          </w:p>
        </w:tc>
        <w:tc>
          <w:tcPr>
            <w:tcW w:w="2100" w:type="dxa"/>
          </w:tcPr>
          <w:p>
            <w:pPr>
              <w:spacing w:after="80" w:line="280" w:lineRule="auto"/>
              <w:jc w:val="left"/>
            </w:pPr>
            <w:r>
              <w:t xml:space="preserve">Pertinencia y seguridad de las rutinas de ejercicio</w:t>
            </w:r>
          </w:p>
        </w:tc>
        <w:tc>
          <w:tcPr>
            <w:tcW w:w="2100" w:type="dxa"/>
          </w:tcPr>
          <w:p>
            <w:pPr>
              <w:spacing w:after="80" w:line="280" w:lineRule="auto"/>
              <w:jc w:val="left"/>
            </w:pPr>
            <w:r>
              <w:t xml:space="preserve">Análisis cualitativo por especialista en pediatría</w:t>
            </w:r>
          </w:p>
        </w:tc>
        <w:tc>
          <w:tcPr>
            <w:tcW w:w="1700" w:type="dxa"/>
          </w:tcPr>
          <w:p>
            <w:pPr>
              <w:spacing w:after="80" w:line="280" w:lineRule="auto"/>
              <w:jc w:val="left"/>
            </w:pPr>
            <w:r>
              <w:t xml:space="preserve">Observaciones registradas</w:t>
            </w:r>
          </w:p>
        </w:tc>
        <w:tc>
          <w:tcPr>
            <w:tcW w:w="1560" w:type="dxa"/>
          </w:tcPr>
          <w:p>
            <w:pPr>
              <w:spacing w:after="80" w:line="280" w:lineRule="auto"/>
              <w:jc w:val="left"/>
            </w:pPr>
            <w:r>
              <w:t xml:space="preserve">Sin objeciones críticas</w:t>
            </w:r>
          </w:p>
        </w:tc>
      </w:tr>
      <w:tr>
        <w:tc>
          <w:tcPr>
            <w:tcW w:w="1900" w:type="dxa"/>
          </w:tcPr>
          <w:p>
            <w:pPr>
              <w:spacing w:after="80" w:line="280" w:lineRule="auto"/>
              <w:jc w:val="left"/>
            </w:pPr>
            <w:r>
              <w:rPr>
                <w:b/>
              </w:rPr>
              <w:t xml:space="preserve">Adopción y disponibilidad</w:t>
            </w:r>
          </w:p>
        </w:tc>
        <w:tc>
          <w:tcPr>
            <w:tcW w:w="2100" w:type="dxa"/>
          </w:tcPr>
          <w:p>
            <w:pPr>
              <w:spacing w:after="80" w:line="280" w:lineRule="auto"/>
              <w:jc w:val="left"/>
            </w:pPr>
            <w:r>
              <w:t xml:space="preserve">Acceso real al sistema desplegado</w:t>
            </w:r>
          </w:p>
        </w:tc>
        <w:tc>
          <w:tcPr>
            <w:tcW w:w="2100" w:type="dxa"/>
          </w:tcPr>
          <w:p>
            <w:pPr>
              <w:spacing w:after="80" w:line="280" w:lineRule="auto"/>
              <w:jc w:val="left"/>
            </w:pPr>
            <w:r>
              <w:t xml:space="preserve">Despliegue verificado en Render y Google Play Store</w:t>
            </w:r>
          </w:p>
        </w:tc>
        <w:tc>
          <w:tcPr>
            <w:tcW w:w="1700" w:type="dxa"/>
          </w:tcPr>
          <w:p>
            <w:pPr>
              <w:spacing w:after="80" w:line="280" w:lineRule="auto"/>
              <w:jc w:val="left"/>
            </w:pPr>
            <w:r>
              <w:t xml:space="preserve">Versión operativa</w:t>
            </w:r>
          </w:p>
        </w:tc>
        <w:tc>
          <w:tcPr>
            <w:tcW w:w="1560" w:type="dxa"/>
          </w:tcPr>
          <w:p>
            <w:pPr>
              <w:spacing w:after="80" w:line="280" w:lineRule="auto"/>
              <w:jc w:val="left"/>
            </w:pPr>
            <w:r>
              <w:t xml:space="preserve">Sistema instalable y accesible</w:t>
            </w:r>
          </w:p>
        </w:tc>
      </w:tr>
      <w:tr>
        <w:tc>
          <w:tcPr>
            <w:tcW w:w="1900" w:type="dxa"/>
          </w:tcPr>
          <w:p>
            <w:pPr>
              <w:spacing w:after="80" w:line="280" w:lineRule="auto"/>
              <w:jc w:val="left"/>
            </w:pPr>
            <w:r>
              <w:rPr>
                <w:b/>
              </w:rPr>
              <w:t xml:space="preserve">Rendimiento del sistema</w:t>
            </w:r>
          </w:p>
        </w:tc>
        <w:tc>
          <w:tcPr>
            <w:tcW w:w="2100" w:type="dxa"/>
          </w:tcPr>
          <w:p>
            <w:pPr>
              <w:spacing w:after="80" w:line="280" w:lineRule="auto"/>
              <w:jc w:val="left"/>
            </w:pPr>
            <w:r>
              <w:t xml:space="preserve">Tiempo de respuesta y estabilidad</w:t>
            </w:r>
          </w:p>
        </w:tc>
        <w:tc>
          <w:tcPr>
            <w:tcW w:w="2100" w:type="dxa"/>
          </w:tcPr>
          <w:p>
            <w:pPr>
              <w:spacing w:after="80" w:line="280" w:lineRule="auto"/>
              <w:jc w:val="left"/>
            </w:pPr>
            <w:r>
              <w:t xml:space="preserve">Pruebas de carga sobre la API y la app</w:t>
            </w:r>
          </w:p>
        </w:tc>
        <w:tc>
          <w:tcPr>
            <w:tcW w:w="1700" w:type="dxa"/>
          </w:tcPr>
          <w:p>
            <w:pPr>
              <w:spacing w:after="80" w:line="280" w:lineRule="auto"/>
              <w:jc w:val="left"/>
            </w:pPr>
            <w:r>
              <w:t xml:space="preserve">Tiempo medio de respuesta (ms)</w:t>
            </w:r>
          </w:p>
        </w:tc>
        <w:tc>
          <w:tcPr>
            <w:tcW w:w="1560" w:type="dxa"/>
          </w:tcPr>
          <w:p>
            <w:pPr>
              <w:spacing w:after="80" w:line="280" w:lineRule="auto"/>
              <w:jc w:val="left"/>
            </w:pPr>
            <w:r>
              <w:t xml:space="preserve">≤ 2 s en operaciones críticas</w:t>
            </w:r>
          </w:p>
        </w:tc>
      </w:tr>
    </w:tbl>
    <w:p>
      <w:pPr>
        <w:spacing w:before="60" w:after="240" w:line="360" w:lineRule="auto"/>
        <w:jc w:val="center"/>
      </w:pPr>
      <w:r>
        <w:rPr>
          <w:i/>
          <w:sz w:val="20"/>
        </w:rPr>
        <w:t xml:space="preserve">Elaborado por: Autor</w:t>
      </w:r>
    </w:p>
    <w:p>
      <w:pPr>
        <w:spacing w:after="200" w:line="360" w:lineRule="auto"/>
        <w:jc w:val="both"/>
      </w:pPr>
      <w:r>
        <w:t xml:space="preserve">La aplicación articulada de estos indicadores permitió obtener resultados objetivos y verificables, coherentes con el alcance del proyecto tecnológico y con los lineamientos institucionales para la evaluación de propuestas de la Unidad de Integración Curricular </w:t>
      </w:r>
      <w:sdt>
        <w:sdtPr>
          <w:tag w:val="MENDELEY_CITATIONS_v3{&quot;citationID&quot;: &quot;MENDELEY_CITATION_9f4fa633-4a0e-4299-9d30-e45eb0b0a8b1&quot;, &quot;citationItems&quot;: [{&quot;id&quot;: &quot;f7be09a9-86f1-4797-9621-202ce4643bfe&quot;, &quot;itemData&quot;: {&quot;id&quot;: &quot;9e5824ff-188e-4710-8a77-c831cb6ffe08&quot;, &quot;type&quot;: &quot;report&quot;, &quot;title&quot;: &quot;ISO/IEC 25010:2011 — Systems and software engineering — Systems and software Quality Requirements and Evaluation (SQuaRE) — System and software quality models&quot;, &quot;author&quot;: [{&quot;literal&quot;: &quot;International Organization for Standardization&quot;}], &quot;publisher&quot;: &quot;ISO&quot;, &quot;publisher-place&quot;: &quot;Geneva&quot;, &quot;issued&quot;: {&quot;date-parts&quot;: [[2011]]}, &quot;URL&quot;: &quot;https://www.iso.org/standard/35733.html&quot;}}, {&quot;id&quot;: &quot;51062f02-6139-4176-ad0c-049e59717d96&quot;, &quot;itemData&quot;: {&quot;id&quot;: &quot;8eddf26c-b179-4c31-b876-6bf861a825ba&quot;, &quot;type&quot;: &quot;report&quot;, &quot;title&quot;: &quot;Estructura y formato institucional de presentación del proyecto tecnológico en la Unidad de Integración Curricular&quot;, &quot;author&quot;: [{&quot;literal&quot;: &quot;Universidad Técnica Estatal de Quevedo&quot;}], &quot;publisher&quot;: &quot;UTEQ&quot;, &quot;publisher-place&quot;: &quot;Quevedo, Ecuador&quot;, &quot;issued&quot;: {&quot;date-parts&quot;: [[2024]]}, &quot;URL&quot;: &quot;https://www.uteq.edu.ec/&quot;}}], &quot;properties&quot;: {&quot;noteIndex&quot;: 0}, &quot;isEdited&quot;: false, &quot;manualOverride&quot;: {&quot;isManuallyOverridden&quot;: false, &quot;citeprocText&quot;: &quot;[1], [13]&quot;, &quot;manualOverrideText&quot;: &quot;&quot;}}"/>
          <w:id w:val="1022"/>
        </w:sdtPr>
        <w:sdtContent>
          <w:r>
            <w:t xml:space="preserve">[1], [13]</w:t>
          </w:r>
        </w:sdtContent>
      </w:sdt>
      <w:r>
        <w:t xml:space="preserve">. Los resultados específicos obtenidos para cada indicador, junto con el análisis crítico, las observaciones recibidas y las modificaciones derivadas del proceso de evaluación, se presentan en el capítulo de Resultados (sección de Comprobación), tal como prevé el reglamento institucional </w:t>
      </w:r>
      <w:sdt>
        <w:sdtPr>
          <w:tag w:val="MENDELEY_CITATIONS_v3{&quot;citationID&quot;: &quot;MENDELEY_CITATION_61d9a95a-f32c-4608-bf06-9cb589456d15&quot;, &quot;citationItems&quot;: [{&quot;id&quot;: &quot;3ca7c599-cf0a-47c4-815b-a89f111d25a7&quot;, &quot;itemData&quot;: {&quot;id&quot;: &quot;8eddf26c-b179-4c31-b876-6bf861a825ba&quot;, &quot;type&quot;: &quot;report&quot;, &quot;title&quot;: &quot;Estructura y formato institucional de presentación del proyecto tecnológico en la Unidad de Integración Curricular&quot;, &quot;author&quot;: [{&quot;literal&quot;: &quot;Universidad Técnica Estatal de Quevedo&quot;}], &quot;publisher&quot;: &quot;UTEQ&quot;, &quot;publisher-place&quot;: &quot;Quevedo, Ecuador&quot;, &quot;issued&quot;: {&quot;date-parts&quot;: [[2024]]}, &quot;URL&quot;: &quot;https://www.uteq.edu.ec/&quot;}}], &quot;properties&quot;: {&quot;noteIndex&quot;: 0}, &quot;isEdited&quot;: false, &quot;manualOverride&quot;: {&quot;isManuallyOverridden&quot;: false, &quot;citeprocText&quot;: &quot;[13]&quot;, &quot;manualOverrideText&quot;: &quot;&quot;}}"/>
          <w:id w:val="1023"/>
        </w:sdtPr>
        <w:sdtContent>
          <w:r>
            <w:t xml:space="preserve">[13]</w:t>
          </w:r>
        </w:sdtContent>
      </w:sdt>
      <w:r>
        <w:t xml:space="preserve">.</w:t>
      </w:r>
    </w:p>
    <w:p>
      <w:pPr>
        <w:pStyle w:val="Heading3"/>
        <w:jc w:val="left"/>
      </w:pPr>
      <w:r>
        <w:t xml:space="preserve">Referencias</w:t>
      </w:r>
    </w:p>
    <w:p>
      <w:pPr>
        <w:spacing w:after="200" w:line="360" w:lineRule="auto"/>
        <w:jc w:val="both"/>
      </w:pPr>
      <w:r>
        <w:rPr>
          <w:i/>
        </w:rPr>
        <w:t xml:space="preserve">Bibliografía gestionada por Mendeley Cite. Al abrir el documento con el plugin instalado, podrás regenerar la lista, cambiar el estilo de cita y editar las referencias.</w:t>
      </w:r>
    </w:p>
    <w:sdt>
      <w:sdtPr>
        <w:tag w:val="MENDELEY_BIBLIOGRAPHY_v3{&quot;bibliographyType&quot;: &quot;MENDELEY_BIBLIOGRAPHY_v1&quot;, &quot;items&quot;: [{&quot;id&quot;: &quot;14108c8b-6bda-48e0-9a5e-728f1f076c36&quot;, &quot;itemData&quot;: {&quot;id&quot;: &quot;9e5824ff-188e-4710-8a77-c831cb6ffe08&quot;, &quot;type&quot;: &quot;report&quot;, &quot;title&quot;: &quot;ISO/IEC 25010:2011 — Systems and software engineering — Systems and software Quality Requirements and Evaluation (SQuaRE) — System and software quality models&quot;, &quot;author&quot;: [{&quot;literal&quot;: &quot;International Organization for Standardization&quot;}], &quot;publisher&quot;: &quot;ISO&quot;, &quot;publisher-place&quot;: &quot;Geneva&quot;, &quot;issued&quot;: {&quot;date-parts&quot;: [[2011]]}, &quot;URL&quot;: &quot;https://www.iso.org/standard/35733.html&quot;}}, {&quot;id&quot;: &quot;8a953e9f-d4d6-44b2-a48c-3c0bb4dd7a51&quot;, &quot;itemData&quot;: {&quot;id&quot;: &quot;6ab1ef45-cecb-4e1b-82ad-749b6b7b446d&quot;, &quot;type&quot;: &quot;article-journal&quot;, &quot;title&quot;: &quot;Perceived usefulness, perceived ease of use, and user acceptance of information technology&quot;, &quot;author&quot;: [{&quot;family&quot;: &quot;Davis&quot;, &quot;given&quot;: &quot;Fred D.&quot;}], &quot;container-title&quot;: &quot;MIS Quarterly&quot;, &quot;volume&quot;: &quot;13&quot;, &quot;issue&quot;: &quot;3&quot;, &quot;page&quot;: &quot;319-340&quot;, &quot;issued&quot;: {&quot;date-parts&quot;: [[1989, 9]]}, &quot;DOI&quot;: &quot;10.2307/249008&quot;}}, {&quot;id&quot;: &quot;7f58d2e0-e9d9-4c3b-a8d5-4f4cf824ee69&quot;, &quot;itemData&quot;: {&quot;id&quot;: &quot;8a0be141-7ee2-4aa5-9f43-9b40bc42ab34&quot;, &quot;type&quot;: &quot;chapter&quot;, &quot;title&quot;: &quot;SUS — A quick and dirty usability scale&quot;, &quot;author&quot;: [{&quot;family&quot;: &quot;Brooke&quot;, &quot;given&quot;: &quot;John&quot;}], &quot;container-title&quot;: &quot;Usability Evaluation in Industry&quot;, &quot;publisher&quot;: &quot;Taylor &amp; Francis&quot;, &quot;publisher-place&quot;: &quot;London&quot;, &quot;page&quot;: &quot;189-194&quot;, &quot;editor&quot;: [{&quot;family&quot;: &quot;Jordan&quot;, &quot;given&quot;: &quot;Patrick W.&quot;}, {&quot;family&quot;: &quot;Thomas&quot;, &quot;given&quot;: &quot;Bruce&quot;}], &quot;issued&quot;: {&quot;date-parts&quot;: [[1996]]}, &quot;ISBN&quot;: &quot;978-0748404605&quot;}}, {&quot;id&quot;: &quot;1595f73c-b9ea-4707-98b3-7446076ef46e&quot;, &quot;itemData&quot;: {&quot;id&quot;: &quot;6c2bc529-87ad-4629-80b9-d44265087116&quot;, &quot;type&quot;: &quot;article-journal&quot;, &quot;title&quot;: &quot;An empirical evaluation of the System Usability Scale&quot;, &quot;author&quot;: [{&quot;family&quot;: &quot;Bangor&quot;, &quot;given&quot;: &quot;Aaron&quot;}, {&quot;family&quot;: &quot;Kortum&quot;, &quot;given&quot;: &quot;Philip T.&quot;}, {&quot;family&quot;: &quot;Miller&quot;, &quot;given&quot;: &quot;James T.&quot;}], &quot;container-title&quot;: &quot;International Journal of Human–Computer Interaction&quot;, &quot;volume&quot;: &quot;24&quot;, &quot;issue&quot;: &quot;6&quot;, &quot;page&quot;: &quot;574-594&quot;, &quot;issued&quot;: {&quot;date-parts&quot;: [[2008, 7]]}, &quot;DOI&quot;: &quot;10.1080/10447310802205776&quot;}}, {&quot;id&quot;: &quot;fdbb8453-7b05-49b5-b1b4-58905e8a35b1&quot;, &quot;itemData&quot;: {&quot;id&quot;: &quot;738e5770-2ad7-4e44-a46b-ed494ad77f2d&quot;, &quot;type&quot;: &quot;paper-conference&quot;, &quot;title&quot;: &quot;An analysis of the requirements traceability problem&quot;, &quot;author&quot;: [{&quot;family&quot;: &quot;Gotel&quot;, &quot;given&quot;: &quot;Orlena C. Z.&quot;}, {&quot;family&quot;: &quot;Finkelstein&quot;, &quot;given&quot;: &quot;Anthony C. W.&quot;}], &quot;container-title&quot;: &quot;Proceedings of the IEEE International Conference on Requirements Engineering&quot;, &quot;publisher&quot;: &quot;IEEE&quot;, &quot;publisher-place&quot;: &quot;Colorado Springs, CO&quot;, &quot;page&quot;: &quot;94-101&quot;, &quot;issued&quot;: {&quot;date-parts&quot;: [[1994, 4]]}, &quot;DOI&quot;: &quot;10.1109/ICRE.1994.292398&quot;}}, {&quot;id&quot;: &quot;87934e8c-15dd-467b-902b-d6b238f58e2f&quot;, &quot;itemData&quot;: {&quot;id&quot;: &quot;4db060b6-089a-41b1-84cf-d5a887e08c72&quot;, &quot;type&quot;: &quot;book&quot;, &quot;title&quot;: &quot;Software Engineering&quot;, &quot;author&quot;: [{&quot;family&quot;: &quot;Sommerville&quot;, &quot;given&quot;: &quot;Ian&quot;}], &quot;publisher&quot;: &quot;Pearson&quot;, &quot;publisher-place&quot;: &quot;Harlow, UK&quot;, &quot;edition&quot;: &quot;10th&quot;, &quot;issued&quot;: {&quot;date-parts&quot;: [[2016]]}, &quot;ISBN&quot;: &quot;978-0133943030&quot;}}, {&quot;id&quot;: &quot;0ca9dc39-c7a7-46fc-8483-2a110f4041c2&quot;, &quot;itemData&quot;: {&quot;id&quot;: &quot;48246fba-e19f-4d8a-9c5e-bc9a804057f7&quot;, &quot;type&quot;: &quot;book&quot;, &quot;title&quot;: &quot;A Guide to the Project Management Body of Knowledge (PMBOK Guide)&quot;, &quot;author&quot;: [{&quot;literal&quot;: &quot;Project Management Institute&quot;}], &quot;publisher&quot;: &quot;PMI&quot;, &quot;publisher-place&quot;: &quot;Newtown Square, PA&quot;, &quot;edition&quot;: &quot;7th&quot;, &quot;issued&quot;: {&quot;date-parts&quot;: [[2021]]}, &quot;ISBN&quot;: &quot;978-1628256642&quot;}}, {&quot;id&quot;: &quot;5ff20969-4790-4d1a-8693-79f29cc8f9cd&quot;, &quot;itemData&quot;: {&quot;id&quot;: &quot;76c59377-5dee-47b0-b30e-41214f5e865d&quot;, &quot;type&quot;: &quot;paper-conference&quot;, &quot;title&quot;: &quot;Enhancing the explanatory power of usability heuristics&quot;, &quot;author&quot;: [{&quot;family&quot;: &quot;Nielsen&quot;, &quot;given&quot;: &quot;Jakob&quot;}], &quot;container-title&quot;: &quot;Proceedings of the SIGCHI Conference on Human Factors in Computing Systems (CHI '94)&quot;, &quot;publisher&quot;: &quot;ACM&quot;, &quot;publisher-place&quot;: &quot;New York, NY&quot;, &quot;page&quot;: &quot;152-158&quot;, &quot;issued&quot;: {&quot;date-parts&quot;: [[1994]]}, &quot;DOI&quot;: &quot;10.1145/191666.191729&quot;}}, {&quot;id&quot;: &quot;37080cf2-bd5a-4cac-b8d9-3a2491624d41&quot;, &quot;itemData&quot;: {&quot;id&quot;: &quot;3ab61c3c-4a7d-4435-923f-3b74b7b5469b&quot;, &quot;type&quot;: &quot;article-journal&quot;, &quot;title&quot;: &quot;User acceptance of information technology: Toward a unified view&quot;, &quot;author&quot;: [{&quot;family&quot;: &quot;Venkatesh&quot;, &quot;given&quot;: &quot;Viswanath&quot;}, {&quot;family&quot;: &quot;Morris&quot;, &quot;given&quot;: &quot;Michael G.&quot;}, {&quot;family&quot;: &quot;Davis&quot;, &quot;given&quot;: &quot;Gordon B.&quot;}, {&quot;family&quot;: &quot;Davis&quot;, &quot;given&quot;: &quot;Fred D.&quot;}], &quot;container-title&quot;: &quot;MIS Quarterly&quot;, &quot;volume&quot;: &quot;27&quot;, &quot;issue&quot;: &quot;3&quot;, &quot;page&quot;: &quot;425-478&quot;, &quot;issued&quot;: {&quot;date-parts&quot;: [[2003, 9]]}, &quot;DOI&quot;: &quot;10.2307/30036540&quot;}}, {&quot;id&quot;: &quot;c3ccc593-8c01-4144-96ef-b85462fff618&quot;, &quot;itemData&quot;: {&quot;id&quot;: &quot;b5431e69-cd8d-4b7e-a800-56a8ac11c014&quot;, &quot;type&quot;: &quot;article-journal&quot;, &quot;title&quot;: &quot;The System Usability Scale: Past, present, and future&quot;, &quot;author&quot;: [{&quot;family&quot;: &quot;Lewis&quot;, &quot;given&quot;: &quot;James R.&quot;}], &quot;container-title&quot;: &quot;International Journal of Human–Computer Interaction&quot;, &quot;volume&quot;: &quot;34&quot;, &quot;issue&quot;: &quot;7&quot;, &quot;page&quot;: &quot;577-590&quot;, &quot;issued&quot;: {&quot;date-parts&quot;: [[2018, 7]]}, &quot;DOI&quot;: &quot;10.1080/10447318.2018.1455307&quot;}}, {&quot;id&quot;: &quot;544de6f5-3444-44ab-baad-29f85a41d3ec&quot;, &quot;itemData&quot;: {&quot;id&quot;: &quot;bb84c198-fdf0-424c-a6de-c447d43d3681&quot;, &quot;type&quot;: &quot;paper-conference&quot;, &quot;title&quot;: &quot;TDDM4IoTS: A test-driven development methodology for Internet of Things (IoT)-based systems&quot;, &quot;author&quot;: [{&quot;family&quot;: &quot;Guerrero-Ulloa&quot;, &quot;given&quot;: &quot;Gleiston&quot;}, {&quot;family&quot;: &quot;Hornos&quot;, &quot;given&quot;: &quot;Miguel J.&quot;}, {&quot;family&quot;: &quot;Rodríguez-Domínguez&quot;, &quot;given&quot;: &quot;Carlos&quot;}], &quot;container-title&quot;: &quot;Applied Technologies. ICAT 2019. Communications in Computer and Information Science&quot;, &quot;volume&quot;: &quot;1193&quot;, &quot;page&quot;: &quot;41-55&quot;, &quot;publisher&quot;: &quot;Springer&quot;, &quot;publisher-place&quot;: &quot;Cham&quot;, &quot;issued&quot;: {&quot;date-parts&quot;: [[2020]]}, &quot;DOI&quot;: &quot;10.1007/978-3-030-42517-3_4&quot;}}, {&quot;id&quot;: &quot;82fbb658-f90b-4777-8117-df193a223177&quot;, &quot;itemData&quot;: {&quot;id&quot;: &quot;8e65d211-8b2a-40b6-8c85-b84a2e897d00&quot;, &quot;type&quot;: &quot;article-journal&quot;, &quot;title&quot;: &quot;Validation of a development methodology and tool for IoT-based systems through a case study for visually impaired people&quot;, &quot;author&quot;: [{&quot;family&quot;: &quot;Guerrero-Ulloa&quot;, &quot;given&quot;: &quot;Gleiston&quot;}, {&quot;family&quot;: &quot;Fernández-Loor&quot;, &quot;given&quot;: &quot;Ariel&quot;}, {&quot;family&quot;: &quot;Moreira&quot;, &quot;given&quot;: &quot;Francisco&quot;}, {&quot;family&quot;: &quot;Novais&quot;, &quot;given&quot;: &quot;Paulo&quot;}, {&quot;family&quot;: &quot;Rodríguez-Domínguez&quot;, &quot;given&quot;: &quot;Carlos&quot;}, {&quot;family&quot;: &quot;Hornos&quot;, &quot;given&quot;: &quot;Miguel J.&quot;}], &quot;container-title&quot;: &quot;Internet of Things&quot;, &quot;volume&quot;: &quot;23&quot;, &quot;page&quot;: &quot;100875&quot;, &quot;issued&quot;: {&quot;date-parts&quot;: [[2023, 10]]}, &quot;DOI&quot;: &quot;10.1016/j.iot.2023.100875&quot;}}, {&quot;id&quot;: &quot;48b6f876-7ae4-4469-8eb7-17d1d4cffb52&quot;, &quot;itemData&quot;: {&quot;id&quot;: &quot;8eddf26c-b179-4c31-b876-6bf861a825ba&quot;, &quot;type&quot;: &quot;report&quot;, &quot;title&quot;: &quot;Estructura y formato institucional de presentación del proyecto tecnológico en la Unidad de Integración Curricular&quot;, &quot;author&quot;: [{&quot;literal&quot;: &quot;Universidad Técnica Estatal de Quevedo&quot;}], &quot;publisher&quot;: &quot;UTEQ&quot;, &quot;publisher-place&quot;: &quot;Quevedo, Ecuador&quot;, &quot;issued&quot;: {&quot;date-parts&quot;: [[2024]]}, &quot;URL&quot;: &quot;https://www.uteq.edu.ec/&quot;}}, {&quot;id&quot;: &quot;726308bf-8d81-4797-99f9-e1fac3cfca5e&quot;, &quot;itemData&quot;: {&quot;id&quot;: &quot;f1ce6861-89e8-45de-aca9-10e5d77aa01a&quot;, &quot;type&quot;: &quot;article-journal&quot;, &quot;title&quot;: &quot;Barriers and facilitators to young children's physical activity and sedentary behaviour: a systematic review and synthesis of qualitative literature&quot;, &quot;author&quot;: [{&quot;family&quot;: &quot;Hesketh&quot;, &quot;given&quot;: &quot;Kathryn R.&quot;}, {&quot;family&quot;: &quot;Lakshman&quot;, &quot;given&quot;: &quot;Rajalakshmi&quot;}, {&quot;family&quot;: &quot;van Sluijs&quot;, &quot;given&quot;: &quot;Esther M. F.&quot;}], &quot;container-title&quot;: &quot;Obesity Reviews&quot;, &quot;volume&quot;: &quot;18&quot;, &quot;issue&quot;: &quot;9&quot;, &quot;page&quot;: &quot;987-1017&quot;, &quot;issued&quot;: {&quot;date-parts&quot;: [[2017, 9]]}, &quot;DOI&quot;: &quot;10.1111/obr.12562&quot;}}, {&quot;id&quot;: &quot;63b35b1f-fd73-4ba9-b227-0ebd5783bf64&quot;, &quot;itemData&quot;: {&quot;id&quot;: &quot;e8195885-8c9a-4ec0-8b74-02aed6ca8e0b&quot;, &quot;type&quot;: &quot;paper-conference&quot;, &quot;title&quot;: &quot;Adapting user experience research methods for evaluating user experience with children&quot;, &quot;author&quot;: [{&quot;family&quot;: &quot;Putnam&quot;, &quot;given&quot;: &quot;Cynthia&quot;}, {&quot;family&quot;: &quot;Reiner&quot;, &quot;given&quot;: &quot;Aubrey&quot;}, {&quot;family&quot;: &quot;Ryou&quot;, &quot;given&quot;: &quot;Erin&quot;}, {&quot;family&quot;: &quot;Caputo&quot;, &quot;given&quot;: &quot;Maddie&quot;}, {&quot;family&quot;: &quot;Cheng&quot;, &quot;given&quot;: &quot;Jinghui&quot;}, {&quot;family&quot;: &quot;Allen&quot;, &quot;given&quot;: &quot;Maemi&quot;}, {&quot;family&quot;: &quot;Cinco&quot;, &quot;given&quot;: &quot;Roxanne&quot;}], &quot;container-title&quot;: &quot;Proceedings of the Interaction Design and Children Conference (IDC '20)&quot;, &quot;publisher&quot;: &quot;ACM&quot;, &quot;publisher-place&quot;: &quot;New York, NY&quot;, &quot;page&quot;: &quot;401-413&quot;, &quot;issued&quot;: {&quot;date-parts&quot;: [[2020, 6]]}, &quot;DOI&quot;: &quot;10.1145/3392063.3394434&quot;}}]}"/>
        <w:id w:val="1024"/>
      </w:sdtPr>
      <w:sdtContent>
        <w:p>
          <w:pPr>
            <w:spacing w:after="240" w:line="360" w:lineRule="auto"/>
            <w:ind w:left="720" w:hanging="720"/>
            <w:jc w:val="both"/>
          </w:pPr>
          <w:r>
            <w:t xml:space="preserve">[1]	International Organization for Standardization, “ISO/IEC 25010:2011 — Systems and software engineering — Systems and software Quality Requirements and Evaluation (SQuaRE) — System and software quality models,” ISO, Geneva, 2011. [Online]. Available: https://www.iso.org/standard/35733.html.</w:t>
          </w:r>
        </w:p>
        <w:p>
          <w:pPr>
            <w:spacing w:after="240" w:line="360" w:lineRule="auto"/>
            <w:ind w:left="720" w:hanging="720"/>
            <w:jc w:val="both"/>
          </w:pPr>
          <w:r>
            <w:t xml:space="preserve">[2]	F.D. Davis, “Perceived usefulness, perceived ease of use, and user acceptance of information technology,” MIS Quarterly, vol. 13, no. 3, pp. 319-340, 1989, doi: 10.2307/249008.</w:t>
          </w:r>
        </w:p>
        <w:p>
          <w:pPr>
            <w:spacing w:after="240" w:line="360" w:lineRule="auto"/>
            <w:ind w:left="720" w:hanging="720"/>
            <w:jc w:val="both"/>
          </w:pPr>
          <w:r>
            <w:t xml:space="preserve">[3]	J. Brooke, “SUS — A quick and dirty usability scale,” in Usability Evaluation in Industry, London: Taylor &amp; Francis, pp. 189-194, 1996.</w:t>
          </w:r>
        </w:p>
        <w:p>
          <w:pPr>
            <w:spacing w:after="240" w:line="360" w:lineRule="auto"/>
            <w:ind w:left="720" w:hanging="720"/>
            <w:jc w:val="both"/>
          </w:pPr>
          <w:r>
            <w:t xml:space="preserve">[4]	A. Bangor, P.T. Kortum and J.T. Miller, “An empirical evaluation of the System Usability Scale,” International Journal of Human–Computer Interaction, vol. 24, no. 6, pp. 574-594, 2008, doi: 10.1080/10447310802205776.</w:t>
          </w:r>
        </w:p>
        <w:p>
          <w:pPr>
            <w:spacing w:after="240" w:line="360" w:lineRule="auto"/>
            <w:ind w:left="720" w:hanging="720"/>
            <w:jc w:val="both"/>
          </w:pPr>
          <w:r>
            <w:t xml:space="preserve">[5]	O.C.Z. Gotel and A.C.W. Finkelstein, “An analysis of the requirements traceability problem,” in Proceedings of the IEEE International Conference on Requirements Engineering, Colorado Springs, CO: IEEE, pp. 94-101, 1994, doi: 10.1109/ICRE.1994.292398.</w:t>
          </w:r>
        </w:p>
        <w:p>
          <w:pPr>
            <w:spacing w:after="240" w:line="360" w:lineRule="auto"/>
            <w:ind w:left="720" w:hanging="720"/>
            <w:jc w:val="both"/>
          </w:pPr>
          <w:r>
            <w:t xml:space="preserve">[6]	I. Sommerville, “Software Engineering,” 10th ed. Harlow, UK: Pearson, 2016, ISBN: 978-0133943030.</w:t>
          </w:r>
        </w:p>
        <w:p>
          <w:pPr>
            <w:spacing w:after="240" w:line="360" w:lineRule="auto"/>
            <w:ind w:left="720" w:hanging="720"/>
            <w:jc w:val="both"/>
          </w:pPr>
          <w:r>
            <w:t xml:space="preserve">[7]	Project Management Institute, “A Guide to the Project Management Body of Knowledge (PMBOK Guide),” 7th ed. Newtown Square, PA: PMI, 2021, ISBN: 978-1628256642.</w:t>
          </w:r>
        </w:p>
        <w:p>
          <w:pPr>
            <w:spacing w:after="240" w:line="360" w:lineRule="auto"/>
            <w:ind w:left="720" w:hanging="720"/>
            <w:jc w:val="both"/>
          </w:pPr>
          <w:r>
            <w:t xml:space="preserve">[8]	J. Nielsen, “Enhancing the explanatory power of usability heuristics,” in Proceedings of the SIGCHI Conference on Human Factors in Computing Systems (CHI '94), New York, NY: ACM, pp. 152-158, 1994, doi: 10.1145/191666.191729.</w:t>
          </w:r>
        </w:p>
        <w:p>
          <w:pPr>
            <w:spacing w:after="240" w:line="360" w:lineRule="auto"/>
            <w:ind w:left="720" w:hanging="720"/>
            <w:jc w:val="both"/>
          </w:pPr>
          <w:r>
            <w:t xml:space="preserve">[9]	V. Venkatesh, M.G. Morris, G.B. Davis and F.D. Davis, “User acceptance of information technology: Toward a unified view,” MIS Quarterly, vol. 27, no. 3, pp. 425-478, 2003, doi: 10.2307/30036540.</w:t>
          </w:r>
        </w:p>
        <w:p>
          <w:pPr>
            <w:spacing w:after="240" w:line="360" w:lineRule="auto"/>
            <w:ind w:left="720" w:hanging="720"/>
            <w:jc w:val="both"/>
          </w:pPr>
          <w:r>
            <w:t xml:space="preserve">[10]	J.R. Lewis, “The System Usability Scale: Past, present, and future,” International Journal of Human–Computer Interaction, vol. 34, no. 7, pp. 577-590, 2018, doi: 10.1080/10447318.2018.1455307.</w:t>
          </w:r>
        </w:p>
        <w:p>
          <w:pPr>
            <w:spacing w:after="240" w:line="360" w:lineRule="auto"/>
            <w:ind w:left="720" w:hanging="720"/>
            <w:jc w:val="both"/>
          </w:pPr>
          <w:r>
            <w:t xml:space="preserve">[11]	G. Guerrero-Ulloa, M.J. Hornos and C. Rodríguez-Domínguez, “TDDM4IoTS: A test-driven development methodology for Internet of Things (IoT)-based systems,” in Applied Technologies. ICAT 2019. Communications in Computer and Information Science, Cham: Springer, vol. 1193, pp. 41-55, 2020, doi: 10.1007/978-3-030-42517-3_4.</w:t>
          </w:r>
        </w:p>
        <w:p>
          <w:pPr>
            <w:spacing w:after="240" w:line="360" w:lineRule="auto"/>
            <w:ind w:left="720" w:hanging="720"/>
            <w:jc w:val="both"/>
          </w:pPr>
          <w:r>
            <w:t xml:space="preserve">[12]	G. Guerrero-Ulloa, A. Fernández-Loor, F. Moreira, P. Novais, C. Rodríguez-Domínguez and M.J. Hornos, “Validation of a development methodology and tool for IoT-based systems through a case study for visually impaired people,” Internet of Things, vol. 23, art. 100875, 2023, doi: 10.1016/j.iot.2023.100875.</w:t>
          </w:r>
        </w:p>
        <w:p>
          <w:pPr>
            <w:spacing w:after="240" w:line="360" w:lineRule="auto"/>
            <w:ind w:left="720" w:hanging="720"/>
            <w:jc w:val="both"/>
          </w:pPr>
          <w:r>
            <w:t xml:space="preserve">[13]	Universidad Técnica Estatal de Quevedo, “Estructura y formato institucional de presentación del proyecto tecnológico en la Unidad de Integración Curricular,” UTEQ, Quevedo, Ecuador, 2024. [Online]. Available: https://www.uteq.edu.ec/.</w:t>
          </w:r>
        </w:p>
        <w:p>
          <w:pPr>
            <w:spacing w:after="240" w:line="360" w:lineRule="auto"/>
            <w:ind w:left="720" w:hanging="720"/>
            <w:jc w:val="both"/>
          </w:pPr>
          <w:r>
            <w:t xml:space="preserve">[14]	K.R. Hesketh, R. Lakshman and E.M.F. van Sluijs, “Barriers and facilitators to young children's physical activity and sedentary behaviour: a systematic review and synthesis of qualitative literature,” Obesity Reviews, vol. 18, no. 9, pp. 987-1017, 2017, doi: 10.1111/obr.12562.</w:t>
          </w:r>
        </w:p>
        <w:p>
          <w:pPr>
            <w:spacing w:after="240" w:line="360" w:lineRule="auto"/>
            <w:ind w:left="720" w:hanging="720"/>
            <w:jc w:val="both"/>
          </w:pPr>
          <w:r>
            <w:t xml:space="preserve">[15]	C. Putnam et al., “Adapting user experience research methods for evaluating user experience with children,” in Proceedings of the Interaction Design and Children Conference (IDC '20), New York, NY: ACM, pp. 401-413, 2020, doi: 10.1145/3392063.3394434.</w:t>
          </w:r>
        </w:p>
      </w:sdtContent>
    </w:sdt>
    <w:sectPr>
      <w:pgSz w:w="11906" w:h="16838"/>
      <w:pgMar w:top="1418" w:right="1418" w:bottom="1418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b/>
      <w:sz w:val="24"/>
      <w:caps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spacing w:before="240" w:after="160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spacing w:before="200" w:after="140"/>
      <w:outlineLvl w:val="3"/>
    </w:pPr>
    <w:rPr>
      <w:b/>
      <w:i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3.5 Indicadores de Evaluación - FitKids - UTEQ</dc:title>
  <dc:creator>Claude</dc:creator>
  <cp:lastModifiedBy>Claude</cp:lastModifiedBy>
  <dcterms:created xsi:type="dcterms:W3CDTF">2026-05-07T00:25:57Z</dcterms:created>
  <dcterms:modified xsi:type="dcterms:W3CDTF">2026-05-07T00:25:57Z</dcterms:modified>
</cp:coreProperties>
</file>